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6D8" w:rsidP="00D066D8">
      <w:pPr>
        <w:pStyle w:val="Title"/>
      </w:pPr>
      <w:r>
        <w:fldChar w:fldCharType="begin"/>
      </w:r>
      <w:r>
        <w:instrText xml:space="preserve"> TITLE   \* MERGEFORMAT </w:instrText>
      </w:r>
      <w:r>
        <w:fldChar w:fldCharType="separate"/>
      </w:r>
      <w:r>
        <w:t>MSTLA2009 Inspect, fold and pack theatre linen</w:t>
      </w:r>
      <w:r>
        <w:fldChar w:fldCharType="end"/>
      </w:r>
    </w:p>
    <w:p w:rsidR="00D066D8" w:rsidP="00D066D8">
      <w:pPr>
        <w:pStyle w:val="Version"/>
        <w:sectPr w:rsidSect="00C10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FA6" w:rsidP="00C10FA6">
      <w:pPr>
        <w:pStyle w:val="SuperHeading"/>
      </w:pPr>
      <w:r w:rsidRPr="00C10FA6">
        <w:t>MSTLA2009 Inspect, fold and pack theatre linen</w:t>
      </w:r>
    </w:p>
    <w:p w:rsidR="00000000" w:rsidRPr="00C10FA6" w:rsidP="00C10FA6">
      <w:pPr>
        <w:pStyle w:val="Heading1"/>
      </w:pPr>
      <w:bookmarkStart w:id="1" w:name="O_936640"/>
      <w:bookmarkEnd w:id="1"/>
      <w:r w:rsidRPr="00C10FA6">
        <w:t>Modification History</w:t>
      </w:r>
    </w:p>
    <w:p w:rsidR="00000000" w:rsidRPr="00C10FA6" w:rsidP="00D066D8">
      <w:pPr>
        <w:pStyle w:val="BodyText"/>
      </w:pPr>
      <w:r w:rsidRPr="00C10FA6">
        <w:t>Release 1. Supersedes and is equivalent to LMTLA2009A Inspect, fold and pack theatre linen</w:t>
      </w:r>
    </w:p>
    <w:p w:rsidR="00000000" w:rsidRPr="00C10FA6" w:rsidP="00C10FA6">
      <w:pPr>
        <w:pStyle w:val="Heading1"/>
      </w:pPr>
      <w:bookmarkStart w:id="2" w:name="O_936648"/>
      <w:bookmarkEnd w:id="2"/>
      <w:r w:rsidRPr="00C10FA6">
        <w:t>Application</w:t>
      </w:r>
    </w:p>
    <w:p w:rsidR="00000000" w:rsidRPr="00C10FA6" w:rsidP="00D066D8">
      <w:pPr>
        <w:pStyle w:val="BodyText"/>
      </w:pPr>
      <w:r w:rsidRPr="00C10FA6">
        <w:t>This unit of competency covers the skills and knowledge required for the final checking and inspection of c</w:t>
      </w:r>
      <w:r w:rsidRPr="00C10FA6">
        <w:t>lean theatre linen to ensure customer requirements and quality standards have been met.</w:t>
      </w:r>
    </w:p>
    <w:p w:rsidR="00000000" w:rsidRPr="00C10FA6" w:rsidP="00D066D8">
      <w:pPr>
        <w:pStyle w:val="BodyText"/>
      </w:pPr>
      <w:r w:rsidRPr="00C10FA6">
        <w:t>The unit of competency applies to the inspection, folding and packing of theatre linen. It includes the sorting, folding and packing processes.</w:t>
      </w:r>
    </w:p>
    <w:p w:rsidR="00000000" w:rsidRPr="00C10FA6" w:rsidP="00D066D8">
      <w:pPr>
        <w:pStyle w:val="BodyText"/>
      </w:pPr>
      <w:r w:rsidRPr="00C10FA6">
        <w:t xml:space="preserve">Work may be conducted </w:t>
      </w:r>
      <w:r w:rsidRPr="00C10FA6">
        <w:t xml:space="preserve">in small to large scale enterprises and may involve individual and team activities. Work is performed within defined procedures under direct supervision. </w:t>
      </w:r>
    </w:p>
    <w:p w:rsidR="00000000" w:rsidRPr="00C10FA6" w:rsidP="00D066D8">
      <w:pPr>
        <w:pStyle w:val="BodyText"/>
      </w:pPr>
      <w:r w:rsidRPr="00C10FA6">
        <w:t>No licensing, legislative or certification requirements apply to this unit at the time of publicatio</w:t>
      </w:r>
      <w:r w:rsidRPr="00C10FA6">
        <w:t>n.</w:t>
      </w:r>
    </w:p>
    <w:p w:rsidR="00000000" w:rsidRPr="00C10FA6" w:rsidP="00C10FA6">
      <w:pPr>
        <w:pStyle w:val="Heading1"/>
      </w:pPr>
      <w:bookmarkStart w:id="3" w:name="O_936647"/>
      <w:bookmarkEnd w:id="3"/>
      <w:r w:rsidRPr="00C10FA6">
        <w:t>Pre-requisite Unit</w:t>
      </w:r>
    </w:p>
    <w:p w:rsidR="00000000" w:rsidRPr="00C10FA6" w:rsidP="00D066D8">
      <w:pPr>
        <w:pStyle w:val="BodyText"/>
      </w:pPr>
      <w:r w:rsidRPr="00C10FA6">
        <w:t>Nil</w:t>
      </w:r>
    </w:p>
    <w:p w:rsidR="00000000" w:rsidRPr="00C10FA6" w:rsidP="00C10FA6">
      <w:pPr>
        <w:pStyle w:val="Heading1"/>
      </w:pPr>
      <w:bookmarkStart w:id="4" w:name="O_936646"/>
      <w:bookmarkEnd w:id="4"/>
      <w:r w:rsidRPr="00C10FA6">
        <w:t>Competency Field</w:t>
      </w:r>
    </w:p>
    <w:p w:rsidR="00000000" w:rsidRPr="00C10FA6" w:rsidP="00D066D8">
      <w:pPr>
        <w:pStyle w:val="BodyText"/>
      </w:pPr>
      <w:r w:rsidRPr="00C10FA6">
        <w:t>Laundry operations</w:t>
      </w:r>
    </w:p>
    <w:p w:rsidR="00000000" w:rsidRPr="00C10FA6" w:rsidP="00C10FA6">
      <w:pPr>
        <w:pStyle w:val="Heading1"/>
      </w:pPr>
      <w:bookmarkStart w:id="5" w:name="O_936645"/>
      <w:bookmarkEnd w:id="5"/>
      <w:r w:rsidRPr="00C10FA6">
        <w:t>Unit Sector</w:t>
      </w:r>
    </w:p>
    <w:p w:rsidR="00000000" w:rsidRPr="00C10FA6" w:rsidP="00D066D8">
      <w:pPr>
        <w:pStyle w:val="BodyText"/>
      </w:pPr>
      <w:r w:rsidRPr="00C10FA6">
        <w:t>Not applicable</w:t>
      </w:r>
    </w:p>
    <w:p w:rsidR="00000000" w:rsidRPr="00C10FA6" w:rsidP="00C10FA6">
      <w:pPr>
        <w:pStyle w:val="Heading1"/>
      </w:pPr>
      <w:bookmarkStart w:id="6" w:name="O_936644"/>
      <w:bookmarkEnd w:id="6"/>
      <w:r w:rsidRPr="00C10F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0F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Performance criteria d</w:t>
            </w:r>
            <w:r w:rsidRPr="00C10FA6">
              <w:t>escribe the performance needed to demonstrate achievement of the element.</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FA6" w:rsidP="00C10FA6">
            <w:pPr>
              <w:pStyle w:val="BodyText"/>
            </w:pPr>
            <w:r w:rsidRPr="00C10FA6">
              <w:t>1</w:t>
            </w:r>
          </w:p>
        </w:tc>
        <w:tc>
          <w:tcPr>
            <w:tcW w:w="1962" w:type="dxa"/>
            <w:vMerge w:val="restart"/>
            <w:tcBorders>
              <w:top w:val="nil"/>
              <w:left w:val="nil"/>
              <w:bottom w:val="nil"/>
              <w:right w:val="nil"/>
            </w:tcBorders>
            <w:tcMar>
              <w:top w:w="0" w:type="dxa"/>
              <w:left w:w="62" w:type="dxa"/>
              <w:bottom w:w="0" w:type="dxa"/>
              <w:right w:w="62" w:type="dxa"/>
            </w:tcMar>
          </w:tcPr>
          <w:p w:rsidR="00000000" w:rsidRPr="00C10FA6" w:rsidP="00C10FA6">
            <w:pPr>
              <w:pStyle w:val="BodyText"/>
            </w:pPr>
            <w:r w:rsidRPr="00C10FA6">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1.1</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Follow standard operating procedures (SOPs)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1.2</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 xml:space="preserve">Comply with work health and safety (WHS) </w:t>
            </w:r>
            <w:r w:rsidRPr="00C10FA6">
              <w:t>requirements at all times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1.3</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Use appropriate personal protective equipment (PPE) in accordance with SOPs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1.4</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Identify job requirements from specifications, drawings, job sheets or work instructions</w:t>
            </w:r>
          </w:p>
        </w:tc>
      </w:tr>
      <w:tr w:rsidTr="00C10F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0FA6">
            <w:pPr>
              <w:pStyle w:val="BodyText"/>
              <w:rPr>
                <w:lang w:val="en-NZ"/>
              </w:rPr>
            </w:pP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FA6" w:rsidP="00C10FA6">
            <w:pPr>
              <w:pStyle w:val="BodyText"/>
            </w:pPr>
            <w:r w:rsidRPr="00C10FA6">
              <w:t>2</w:t>
            </w:r>
          </w:p>
        </w:tc>
        <w:tc>
          <w:tcPr>
            <w:tcW w:w="1962" w:type="dxa"/>
            <w:vMerge w:val="restart"/>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Prepare to inspect, fold and pack theatre linen</w:t>
            </w: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2.1</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Identify special instructions or requirements and laundry operating procedures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2.2</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Prepare machines and equipment</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2.3</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Apply and maintain hygiene and infection control in theatre linen and environmental standards for packing</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2.4</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 xml:space="preserve">Check clean theatre linen and identify non-conformance to standards </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2.5</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Classify reject linen for rework, rewash or condemning, as required</w:t>
            </w:r>
          </w:p>
        </w:tc>
      </w:tr>
      <w:tr w:rsidTr="00C10F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0FA6">
            <w:pPr>
              <w:pStyle w:val="BodyText"/>
              <w:rPr>
                <w:lang w:val="en-NZ"/>
              </w:rPr>
            </w:pP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FA6" w:rsidP="00C10FA6">
            <w:pPr>
              <w:pStyle w:val="BodyText"/>
            </w:pPr>
            <w:r w:rsidRPr="00C10FA6">
              <w:t>3</w:t>
            </w:r>
          </w:p>
        </w:tc>
        <w:tc>
          <w:tcPr>
            <w:tcW w:w="1962" w:type="dxa"/>
            <w:vMerge w:val="restart"/>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Pack product for despatch</w:t>
            </w: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3.1</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Fold product according to hospital theatre specifications and relevant Aus</w:t>
            </w:r>
            <w:r w:rsidRPr="00C10FA6">
              <w:t>tralian Standards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3.2</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Apply hospital and laundry linen coding systems and determine package content requirements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3.3</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Check packaging and storage equipment for cleanliness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3.4</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Configure packs according to hospital theatre and laundry procedures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3.5</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Wrap packs according to hospital theatre requirements and specifications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3.6</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Assess final finish, confirm quality, and record and document packed product according to requirements</w:t>
            </w:r>
          </w:p>
        </w:tc>
      </w:tr>
      <w:tr w:rsidTr="00C10F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0FA6">
            <w:pPr>
              <w:pStyle w:val="BodyText"/>
              <w:rPr>
                <w:lang w:val="en-NZ"/>
              </w:rPr>
            </w:pP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FA6" w:rsidP="00C10FA6">
            <w:pPr>
              <w:pStyle w:val="BodyText"/>
            </w:pPr>
            <w:r w:rsidRPr="00C10FA6">
              <w:t>4</w:t>
            </w:r>
          </w:p>
        </w:tc>
        <w:tc>
          <w:tcPr>
            <w:tcW w:w="1962" w:type="dxa"/>
            <w:vMerge w:val="restart"/>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Despatch product</w:t>
            </w: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4.1</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Determine protective covering requirements for products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4.2</w:t>
            </w:r>
          </w:p>
        </w:tc>
        <w:tc>
          <w:tcPr>
            <w:tcW w:w="561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Load products into transport equipment using safe manual handling techniques</w:t>
            </w:r>
          </w:p>
        </w:tc>
      </w:tr>
      <w:tr w:rsidTr="00C10F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4.3</w:t>
            </w:r>
          </w:p>
        </w:tc>
        <w:tc>
          <w:tcPr>
            <w:tcW w:w="5610" w:type="dxa"/>
            <w:tcBorders>
              <w:top w:val="nil"/>
              <w:left w:val="nil"/>
              <w:bottom w:val="nil"/>
              <w:right w:val="nil"/>
            </w:tcBorders>
            <w:tcMar>
              <w:top w:w="0" w:type="dxa"/>
              <w:left w:w="62" w:type="dxa"/>
              <w:bottom w:w="0" w:type="dxa"/>
              <w:right w:w="62" w:type="dxa"/>
            </w:tcMar>
          </w:tcPr>
          <w:p w:rsidR="00000000" w:rsidRPr="00C10FA6" w:rsidP="00C10FA6">
            <w:pPr>
              <w:pStyle w:val="BodyText"/>
            </w:pPr>
            <w:r w:rsidRPr="00C10FA6">
              <w:t>Assign orders according to transport requirements</w:t>
            </w:r>
          </w:p>
        </w:tc>
      </w:tr>
    </w:tbl>
    <w:p w:rsidR="00000000" w:rsidRPr="00C10FA6" w:rsidP="00C10FA6">
      <w:pPr>
        <w:pStyle w:val="BodyText"/>
      </w:pPr>
    </w:p>
    <w:p w:rsidR="00000000" w:rsidRPr="00C10FA6" w:rsidP="00C10FA6">
      <w:pPr>
        <w:pStyle w:val="AllowPageBreak"/>
      </w:pPr>
    </w:p>
    <w:p w:rsidR="00000000" w:rsidRPr="00C10FA6" w:rsidP="00C10FA6">
      <w:pPr>
        <w:pStyle w:val="Heading1"/>
      </w:pPr>
      <w:bookmarkStart w:id="7" w:name="O_936643"/>
      <w:bookmarkEnd w:id="7"/>
      <w:r w:rsidRPr="00C10FA6">
        <w:t>Foundation Skills</w:t>
      </w:r>
    </w:p>
    <w:p w:rsidR="00000000" w:rsidRPr="00C10FA6" w:rsidP="00D066D8">
      <w:pPr>
        <w:pStyle w:val="BodyText"/>
      </w:pPr>
      <w:r w:rsidRPr="00C10FA6">
        <w:t>This section describes those required skills (language, literacy and numeracy) that are essential to performance.</w:t>
      </w:r>
    </w:p>
    <w:p w:rsidR="00000000" w:rsidRPr="00C10FA6" w:rsidP="00D066D8">
      <w:pPr>
        <w:pStyle w:val="BodyText"/>
      </w:pPr>
      <w:r w:rsidRPr="00C10FA6">
        <w:t>Foundation skills essential to performance are explicit in the performance criteria of this unit of competency.</w:t>
      </w:r>
    </w:p>
    <w:p w:rsidR="00000000" w:rsidRPr="00C10FA6" w:rsidP="00C10FA6">
      <w:pPr>
        <w:pStyle w:val="Heading1"/>
      </w:pPr>
      <w:bookmarkStart w:id="8" w:name="O_936642"/>
      <w:bookmarkEnd w:id="8"/>
      <w:r w:rsidRPr="00C10FA6">
        <w:t>Range of Con</w:t>
      </w:r>
      <w:r w:rsidRPr="00C10FA6">
        <w:t>ditions</w:t>
      </w:r>
    </w:p>
    <w:tbl>
      <w:tblPr>
        <w:tblW w:w="0" w:type="auto"/>
        <w:tblCellMar>
          <w:left w:w="62" w:type="dxa"/>
          <w:right w:w="62" w:type="dxa"/>
        </w:tblCellMar>
        <w:tblLook w:val="0000"/>
      </w:tblPr>
      <w:tblGrid>
        <w:gridCol w:w="2163"/>
        <w:gridCol w:w="7033"/>
      </w:tblGrid>
      <w:tr w:rsidTr="00D066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t>This field allows for different work environments and conditions that may affect performance. Essential operating conditions that may be present (depending on the work situation, needs of the candidate, accessibility of the item, and local industry</w:t>
            </w:r>
            <w:r w:rsidRPr="00C10FA6">
              <w:t xml:space="preserve"> and regional contexts) are included.</w:t>
            </w:r>
          </w:p>
        </w:tc>
      </w:tr>
      <w:tr w:rsidTr="00D06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10FA6" w:rsidP="00C10FA6">
            <w:pPr>
              <w:pStyle w:val="ListBullet"/>
            </w:pPr>
            <w:r w:rsidRPr="00C10FA6">
              <w:t>requirements prescribed by legislation, awards, agreements and conditions of employment</w:t>
            </w:r>
          </w:p>
          <w:p w:rsidR="00000000" w:rsidRPr="00C10FA6" w:rsidP="00C10FA6">
            <w:pPr>
              <w:pStyle w:val="ListBullet"/>
            </w:pPr>
            <w:r w:rsidRPr="00C10FA6">
              <w:t>SOPs</w:t>
            </w:r>
          </w:p>
          <w:p w:rsidR="00000000" w:rsidRPr="00C10FA6" w:rsidP="00C10FA6">
            <w:pPr>
              <w:pStyle w:val="ListBullet"/>
            </w:pPr>
            <w:r w:rsidRPr="00C10FA6">
              <w:t>work instructions</w:t>
            </w:r>
          </w:p>
          <w:p w:rsidR="00000000" w:rsidRPr="00C10FA6" w:rsidP="00C10FA6">
            <w:pPr>
              <w:pStyle w:val="ListBullet"/>
            </w:pPr>
            <w:r w:rsidRPr="00C10FA6">
              <w:t>oral, written and visual communication</w:t>
            </w:r>
          </w:p>
          <w:p w:rsidR="00000000" w:rsidRPr="00C10FA6" w:rsidP="00C10FA6">
            <w:pPr>
              <w:pStyle w:val="ListBullet"/>
            </w:pPr>
            <w:r w:rsidRPr="00C10FA6">
              <w:t>qualit</w:t>
            </w:r>
            <w:r w:rsidRPr="00C10FA6">
              <w:t>y practices, including responsibility for maintenance of own work quality and contribution to quality improvement of team or section output</w:t>
            </w:r>
          </w:p>
          <w:p w:rsidR="00000000" w:rsidRPr="00C10FA6" w:rsidP="00C10FA6">
            <w:pPr>
              <w:pStyle w:val="ListBullet"/>
            </w:pPr>
            <w:r w:rsidRPr="00C10FA6">
              <w:t>housekeeping</w:t>
            </w:r>
          </w:p>
          <w:p w:rsidR="00000000" w:rsidRPr="00C10FA6" w:rsidP="00C10FA6">
            <w:pPr>
              <w:pStyle w:val="ListBullet"/>
            </w:pPr>
            <w:r w:rsidRPr="00C10FA6">
              <w:t>tasks related to environmental protection, waste disposal, pollution control and recycling</w:t>
            </w:r>
          </w:p>
          <w:p w:rsidR="00000000" w:rsidRPr="00C10FA6" w:rsidP="00C10FA6">
            <w:pPr>
              <w:pStyle w:val="ListBullet"/>
            </w:pPr>
            <w:r w:rsidRPr="00C10FA6">
              <w:t>WHS practices</w:t>
            </w:r>
          </w:p>
          <w:p w:rsidR="00000000" w:rsidP="00C10FA6">
            <w:pPr>
              <w:pStyle w:val="BodyText"/>
              <w:rPr>
                <w:lang w:val="en-NZ"/>
              </w:rPr>
            </w:pPr>
          </w:p>
        </w:tc>
      </w:tr>
      <w:tr w:rsidTr="00D06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10FA6" w:rsidP="00C10FA6">
            <w:pPr>
              <w:pStyle w:val="ListBullet"/>
            </w:pPr>
            <w:r w:rsidRPr="00C10FA6">
              <w:t>the relevant industry or Australian Standards that are current at the time this unit is being undertaken</w:t>
            </w:r>
          </w:p>
          <w:p w:rsidR="00000000" w:rsidP="00C10FA6">
            <w:pPr>
              <w:pStyle w:val="BodyText"/>
              <w:rPr>
                <w:lang w:val="en-NZ"/>
              </w:rPr>
            </w:pPr>
          </w:p>
        </w:tc>
      </w:tr>
      <w:tr w:rsidTr="00D06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Special instructions or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C10FA6" w:rsidP="00C10FA6">
            <w:pPr>
              <w:pStyle w:val="ListBullet"/>
            </w:pPr>
            <w:r w:rsidRPr="00C10FA6">
              <w:t>packaging requirements, including configu</w:t>
            </w:r>
            <w:r w:rsidRPr="00C10FA6">
              <w:t>ration, wrapping and labelling</w:t>
            </w:r>
          </w:p>
          <w:p w:rsidR="00000000" w:rsidRPr="00C10FA6" w:rsidP="00C10FA6">
            <w:pPr>
              <w:pStyle w:val="ListBullet"/>
            </w:pPr>
            <w:r w:rsidRPr="00C10FA6">
              <w:t>final finishing instructions for theatre packs</w:t>
            </w:r>
          </w:p>
          <w:p w:rsidR="00000000" w:rsidRPr="00C10FA6" w:rsidP="00C10FA6">
            <w:pPr>
              <w:pStyle w:val="ListBullet"/>
            </w:pPr>
            <w:r w:rsidRPr="00C10FA6">
              <w:t>rework classification or instructions</w:t>
            </w:r>
          </w:p>
          <w:p w:rsidR="00000000" w:rsidP="00C10FA6">
            <w:pPr>
              <w:pStyle w:val="BodyText"/>
              <w:rPr>
                <w:lang w:val="en-NZ"/>
              </w:rPr>
            </w:pPr>
          </w:p>
        </w:tc>
      </w:tr>
      <w:tr w:rsidTr="00D06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C10FA6" w:rsidP="00C10FA6">
            <w:pPr>
              <w:pStyle w:val="ListBullet"/>
            </w:pPr>
            <w:r w:rsidRPr="00C10FA6">
              <w:t>hospital theatre pre-pack specifications</w:t>
            </w:r>
          </w:p>
          <w:p w:rsidR="00000000" w:rsidRPr="00C10FA6" w:rsidP="00C10FA6">
            <w:pPr>
              <w:pStyle w:val="ListBullet"/>
            </w:pPr>
            <w:r w:rsidRPr="00C10FA6">
              <w:t>reject classifications</w:t>
            </w:r>
          </w:p>
          <w:p w:rsidR="00000000" w:rsidRPr="00C10FA6" w:rsidP="00C10FA6">
            <w:pPr>
              <w:pStyle w:val="ListBullet"/>
            </w:pPr>
            <w:r w:rsidRPr="00C10FA6">
              <w:t>coding systems</w:t>
            </w:r>
          </w:p>
          <w:p w:rsidR="00000000" w:rsidRPr="00C10FA6" w:rsidP="00C10FA6">
            <w:pPr>
              <w:pStyle w:val="ListBullet"/>
            </w:pPr>
            <w:r w:rsidRPr="00C10FA6">
              <w:t>manual handling techniques</w:t>
            </w:r>
          </w:p>
          <w:p w:rsidR="00000000" w:rsidRPr="00C10FA6" w:rsidP="00C10FA6">
            <w:pPr>
              <w:pStyle w:val="ListBullet"/>
            </w:pPr>
            <w:r w:rsidRPr="00C10FA6">
              <w:t>safe use of machines and related equipment</w:t>
            </w:r>
          </w:p>
          <w:p w:rsidR="00000000" w:rsidRPr="00C10FA6" w:rsidP="00C10FA6">
            <w:pPr>
              <w:pStyle w:val="ListBullet"/>
            </w:pPr>
            <w:r w:rsidRPr="00C10FA6">
              <w:t>reporting procedures for non-conformance, faults and safety checks</w:t>
            </w:r>
          </w:p>
          <w:p w:rsidR="00000000" w:rsidP="00C10FA6">
            <w:pPr>
              <w:pStyle w:val="BodyText"/>
              <w:rPr>
                <w:lang w:val="en-NZ"/>
              </w:rPr>
            </w:pPr>
          </w:p>
        </w:tc>
      </w:tr>
      <w:tr w:rsidTr="00D06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Non-conformance to standards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10FA6" w:rsidP="00C10FA6">
            <w:pPr>
              <w:pStyle w:val="ListBullet"/>
            </w:pPr>
            <w:r w:rsidRPr="00C10FA6">
              <w:t>grease</w:t>
            </w:r>
          </w:p>
          <w:p w:rsidR="00000000" w:rsidRPr="00C10FA6" w:rsidP="00C10FA6">
            <w:pPr>
              <w:pStyle w:val="ListBullet"/>
            </w:pPr>
            <w:r w:rsidRPr="00C10FA6">
              <w:t>stains</w:t>
            </w:r>
          </w:p>
          <w:p w:rsidR="00000000" w:rsidRPr="00C10FA6" w:rsidP="00C10FA6">
            <w:pPr>
              <w:pStyle w:val="ListBullet"/>
            </w:pPr>
            <w:r w:rsidRPr="00C10FA6">
              <w:t>lint</w:t>
            </w:r>
          </w:p>
          <w:p w:rsidR="00000000" w:rsidRPr="00C10FA6" w:rsidP="00C10FA6">
            <w:pPr>
              <w:pStyle w:val="ListBullet"/>
            </w:pPr>
            <w:r w:rsidRPr="00C10FA6">
              <w:t>identifying markers</w:t>
            </w:r>
          </w:p>
          <w:p w:rsidR="00000000" w:rsidRPr="00C10FA6" w:rsidP="00C10FA6">
            <w:pPr>
              <w:pStyle w:val="ListBullet"/>
            </w:pPr>
            <w:r w:rsidRPr="00C10FA6">
              <w:t>damage</w:t>
            </w:r>
          </w:p>
          <w:p w:rsidR="00000000" w:rsidRPr="00C10FA6" w:rsidP="00C10FA6">
            <w:pPr>
              <w:pStyle w:val="ListBullet"/>
            </w:pPr>
            <w:r w:rsidRPr="00C10FA6">
              <w:t>in</w:t>
            </w:r>
            <w:r w:rsidRPr="00C10FA6">
              <w:t>ferior quality</w:t>
            </w:r>
          </w:p>
          <w:p w:rsidR="00000000" w:rsidRPr="00C10FA6" w:rsidP="00C10FA6">
            <w:pPr>
              <w:pStyle w:val="ListBullet"/>
            </w:pPr>
            <w:r w:rsidRPr="00C10FA6">
              <w:t>wear</w:t>
            </w:r>
          </w:p>
          <w:p w:rsidR="00000000" w:rsidP="00C10FA6">
            <w:pPr>
              <w:pStyle w:val="BodyText"/>
              <w:rPr>
                <w:lang w:val="en-NZ"/>
              </w:rPr>
            </w:pPr>
          </w:p>
        </w:tc>
      </w:tr>
      <w:tr w:rsidTr="00D066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FA6">
            <w:pPr>
              <w:pStyle w:val="BodyText"/>
              <w:rPr>
                <w:lang w:val="en-NZ"/>
              </w:rPr>
            </w:pPr>
            <w:r w:rsidRPr="00C10FA6">
              <w:rPr>
                <w:rStyle w:val="SpecialBold"/>
              </w:rPr>
              <w:t>Machines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10FA6" w:rsidP="00C10FA6">
            <w:pPr>
              <w:pStyle w:val="ListBullet"/>
            </w:pPr>
            <w:r w:rsidRPr="00C10FA6">
              <w:t>light intensifying table</w:t>
            </w:r>
          </w:p>
          <w:p w:rsidR="00000000" w:rsidRPr="00C10FA6" w:rsidP="00C10FA6">
            <w:pPr>
              <w:pStyle w:val="ListBullet"/>
            </w:pPr>
            <w:r w:rsidRPr="00C10FA6">
              <w:t>thermal patching machine</w:t>
            </w:r>
          </w:p>
          <w:p w:rsidR="00000000" w:rsidRPr="00C10FA6" w:rsidP="00C10FA6">
            <w:pPr>
              <w:pStyle w:val="ListBullet"/>
            </w:pPr>
            <w:r w:rsidRPr="00C10FA6">
              <w:t>de-linting equipment</w:t>
            </w:r>
          </w:p>
          <w:p w:rsidR="00000000" w:rsidRPr="00C10FA6" w:rsidP="00C10FA6">
            <w:pPr>
              <w:pStyle w:val="ListBullet"/>
            </w:pPr>
            <w:r w:rsidRPr="00C10FA6">
              <w:t>paper bags, laminate bags, non-linen wraps, linen wraps, indicator tape, markers, tags and plastic dust wrappers</w:t>
            </w:r>
          </w:p>
          <w:p w:rsidR="00000000" w:rsidRPr="00C10FA6" w:rsidP="00C10FA6">
            <w:pPr>
              <w:pStyle w:val="ListBullet"/>
            </w:pPr>
            <w:r w:rsidRPr="00C10FA6">
              <w:t>heat sealers</w:t>
            </w:r>
          </w:p>
        </w:tc>
      </w:tr>
    </w:tbl>
    <w:p w:rsidR="00000000" w:rsidRPr="00C10FA6" w:rsidP="00C10FA6">
      <w:pPr>
        <w:pStyle w:val="BodyText"/>
      </w:pPr>
    </w:p>
    <w:p w:rsidR="00000000" w:rsidRPr="00C10FA6" w:rsidP="00C10FA6">
      <w:pPr>
        <w:pStyle w:val="AllowPageBreak"/>
      </w:pPr>
    </w:p>
    <w:p w:rsidR="00000000" w:rsidRPr="00C10FA6" w:rsidP="00C10FA6">
      <w:pPr>
        <w:pStyle w:val="Heading1"/>
      </w:pPr>
      <w:bookmarkStart w:id="9" w:name="O_936641"/>
      <w:bookmarkEnd w:id="9"/>
      <w:r w:rsidRPr="00C10FA6">
        <w:t>Unit Mapping Information</w:t>
      </w:r>
    </w:p>
    <w:p w:rsidR="00000000" w:rsidRPr="00C10FA6" w:rsidP="00D066D8">
      <w:pPr>
        <w:pStyle w:val="BodyText"/>
      </w:pPr>
      <w:r w:rsidRPr="00C10FA6">
        <w:t>Release 1. Supersedes and is equivalent to LMTLA2009A Inspect, fold and pack theatre l</w:t>
      </w:r>
      <w:r w:rsidRPr="00C10FA6">
        <w:t>inen</w:t>
      </w:r>
    </w:p>
    <w:p w:rsidR="00000000" w:rsidRPr="00C10FA6" w:rsidP="00C10FA6">
      <w:pPr>
        <w:pStyle w:val="Heading1"/>
      </w:pPr>
      <w:bookmarkStart w:id="10" w:name="O_936634"/>
      <w:bookmarkEnd w:id="10"/>
      <w:r w:rsidRPr="00C10FA6">
        <w:t>Links</w:t>
      </w:r>
    </w:p>
    <w:p w:rsidR="00000000" w:rsidRPr="00C10FA6" w:rsidP="00D066D8">
      <w:pPr>
        <w:pStyle w:val="BodyText"/>
      </w:pPr>
      <w:r w:rsidRPr="00C10FA6">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775DF5">
        <w:rPr>
          <w:rStyle w:val="Hyperlink"/>
        </w:rPr>
        <w:t>https://vetnet.education.gov.au/Pages/TrainingDocs.aspx?q=a203ec5c-de7d-406b-b3e1-8f1a9b76e92e</w:t>
      </w:r>
      <w:r>
        <w:fldChar w:fldCharType="end"/>
      </w:r>
    </w:p>
    <w:p w:rsidR="00000000" w:rsidRPr="00C10FA6" w:rsidP="00C10FA6"/>
    <w:sectPr w:rsidSect="00C10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A6" w:rsidRPr="00D066D8" w:rsidP="00D06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D8" w:rsidP="00C10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6D8" w:rsidP="00C10F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66D8" w:rsidP="00C10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FA6" w:rsidRPr="00D066D8" w:rsidP="00D06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D8" w:rsidRPr="002D2AF8" w:rsidP="00C10FA6">
    <w:pPr>
      <w:pStyle w:val="Header"/>
      <w:framePr w:wrap="around"/>
    </w:pPr>
    <w:r>
      <w:fldChar w:fldCharType="begin"/>
    </w:r>
    <w:r>
      <w:instrText xml:space="preserve"> TITLE   \* MERGEFORMAT </w:instrText>
    </w:r>
    <w:r>
      <w:fldChar w:fldCharType="separate"/>
    </w:r>
    <w:r>
      <w:t>MSTLA2009 Inspect, fold and pack theatre linen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D066D8" w:rsidP="00C10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0A4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0F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FA6"/>
    <w:pPr>
      <w:spacing w:before="360" w:after="60"/>
      <w:outlineLvl w:val="0"/>
    </w:pPr>
    <w:rPr>
      <w:sz w:val="32"/>
    </w:rPr>
  </w:style>
  <w:style w:type="paragraph" w:styleId="Heading2">
    <w:name w:val="heading 2"/>
    <w:basedOn w:val="HeadingBase"/>
    <w:next w:val="BodyText"/>
    <w:link w:val="Heading2Char"/>
    <w:qFormat/>
    <w:rsid w:val="00C10FA6"/>
    <w:pPr>
      <w:keepLines/>
      <w:spacing w:before="240" w:after="120"/>
      <w:outlineLvl w:val="1"/>
    </w:pPr>
    <w:rPr>
      <w:sz w:val="28"/>
      <w:szCs w:val="40"/>
    </w:rPr>
  </w:style>
  <w:style w:type="paragraph" w:styleId="Heading3">
    <w:name w:val="heading 3"/>
    <w:basedOn w:val="HeadingBase"/>
    <w:next w:val="BodyText"/>
    <w:link w:val="Heading3Char"/>
    <w:qFormat/>
    <w:rsid w:val="00C10FA6"/>
    <w:pPr>
      <w:spacing w:before="180" w:after="120"/>
      <w:outlineLvl w:val="2"/>
    </w:pPr>
    <w:rPr>
      <w:spacing w:val="-10"/>
      <w:kern w:val="32"/>
    </w:rPr>
  </w:style>
  <w:style w:type="paragraph" w:styleId="Heading4">
    <w:name w:val="heading 4"/>
    <w:basedOn w:val="HeadingBase"/>
    <w:next w:val="BodyText"/>
    <w:link w:val="Heading4Char"/>
    <w:qFormat/>
    <w:rsid w:val="00C10FA6"/>
    <w:pPr>
      <w:spacing w:before="160" w:after="120"/>
      <w:outlineLvl w:val="3"/>
    </w:pPr>
    <w:rPr>
      <w:sz w:val="22"/>
    </w:rPr>
  </w:style>
  <w:style w:type="paragraph" w:styleId="Heading5">
    <w:name w:val="heading 5"/>
    <w:basedOn w:val="HeadingBase"/>
    <w:next w:val="Normal"/>
    <w:link w:val="Heading5Char"/>
    <w:qFormat/>
    <w:rsid w:val="00C10FA6"/>
    <w:pPr>
      <w:spacing w:before="80"/>
      <w:outlineLvl w:val="4"/>
    </w:pPr>
    <w:rPr>
      <w:color w:val="918585"/>
      <w:sz w:val="20"/>
    </w:rPr>
  </w:style>
  <w:style w:type="paragraph" w:styleId="Heading6">
    <w:name w:val="heading 6"/>
    <w:basedOn w:val="HeadingBase"/>
    <w:next w:val="Normal"/>
    <w:link w:val="Heading6Char"/>
    <w:qFormat/>
    <w:rsid w:val="00C10FA6"/>
    <w:pPr>
      <w:spacing w:before="60"/>
      <w:outlineLvl w:val="5"/>
    </w:pPr>
    <w:rPr>
      <w:color w:val="918585"/>
      <w:sz w:val="20"/>
    </w:rPr>
  </w:style>
  <w:style w:type="paragraph" w:styleId="Heading7">
    <w:name w:val="heading 7"/>
    <w:basedOn w:val="Normal"/>
    <w:next w:val="Normal"/>
    <w:link w:val="Heading7Char"/>
    <w:qFormat/>
    <w:rsid w:val="00C10FA6"/>
    <w:pPr>
      <w:ind w:left="720"/>
      <w:outlineLvl w:val="6"/>
    </w:pPr>
    <w:rPr>
      <w:i/>
    </w:rPr>
  </w:style>
  <w:style w:type="paragraph" w:styleId="Heading8">
    <w:name w:val="heading 8"/>
    <w:basedOn w:val="Normal"/>
    <w:next w:val="Normal"/>
    <w:link w:val="Heading8Char"/>
    <w:qFormat/>
    <w:rsid w:val="00C10FA6"/>
    <w:pPr>
      <w:ind w:left="720"/>
      <w:outlineLvl w:val="7"/>
    </w:pPr>
    <w:rPr>
      <w:i/>
    </w:rPr>
  </w:style>
  <w:style w:type="paragraph" w:styleId="Heading9">
    <w:name w:val="heading 9"/>
    <w:basedOn w:val="Normal"/>
    <w:next w:val="Normal"/>
    <w:link w:val="Heading9Char"/>
    <w:qFormat/>
    <w:rsid w:val="00C10FA6"/>
    <w:pPr>
      <w:ind w:left="720"/>
      <w:outlineLvl w:val="8"/>
    </w:pPr>
    <w:rPr>
      <w:i/>
    </w:rPr>
  </w:style>
  <w:style w:type="character" w:default="1" w:styleId="DefaultParagraphFont">
    <w:name w:val="Default Paragraph Font"/>
    <w:uiPriority w:val="1"/>
    <w:unhideWhenUsed/>
    <w:rsid w:val="00C10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FA6"/>
  </w:style>
  <w:style w:type="character" w:customStyle="1" w:styleId="Heading1Char">
    <w:name w:val="Heading 1 Char"/>
    <w:basedOn w:val="DefaultParagraphFont"/>
    <w:link w:val="Heading1"/>
    <w:rsid w:val="00C10FA6"/>
    <w:rPr>
      <w:rFonts w:ascii="Times New Roman" w:eastAsia="Times New Roman" w:hAnsi="Times New Roman" w:cs="Times New Roman"/>
      <w:b/>
      <w:sz w:val="32"/>
      <w:szCs w:val="20"/>
      <w:lang w:eastAsia="en-US"/>
    </w:rPr>
  </w:style>
  <w:style w:type="paragraph" w:styleId="BodyText">
    <w:name w:val="Body Text"/>
    <w:basedOn w:val="Normal"/>
    <w:link w:val="BodyTextChar"/>
    <w:rsid w:val="00C10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FA6"/>
    <w:rPr>
      <w:rFonts w:ascii="Times New Roman" w:eastAsia="Times New Roman" w:hAnsi="Times New Roman" w:cs="Times New Roman"/>
      <w:sz w:val="24"/>
      <w:lang w:eastAsia="en-US"/>
    </w:rPr>
  </w:style>
  <w:style w:type="paragraph" w:styleId="ListBullet">
    <w:name w:val="List Bullet"/>
    <w:basedOn w:val="List"/>
    <w:rsid w:val="00C10FA6"/>
    <w:pPr>
      <w:numPr>
        <w:numId w:val="11"/>
      </w:numPr>
      <w:tabs>
        <w:tab w:val="clear" w:pos="340"/>
      </w:tabs>
      <w:spacing w:before="40" w:after="40"/>
    </w:pPr>
  </w:style>
  <w:style w:type="character" w:customStyle="1" w:styleId="SpecialBold">
    <w:name w:val="Special Bold"/>
    <w:basedOn w:val="DefaultParagraphFont"/>
    <w:rsid w:val="00C10FA6"/>
    <w:rPr>
      <w:b/>
      <w:spacing w:val="0"/>
    </w:rPr>
  </w:style>
  <w:style w:type="paragraph" w:customStyle="1" w:styleId="SuperHeading">
    <w:name w:val="SuperHeading"/>
    <w:basedOn w:val="Normal"/>
    <w:rsid w:val="00C10FA6"/>
    <w:pPr>
      <w:spacing w:before="240" w:after="120"/>
      <w:outlineLvl w:val="0"/>
    </w:pPr>
    <w:rPr>
      <w:rFonts w:ascii="Times New Roman" w:hAnsi="Times New Roman"/>
      <w:b/>
      <w:sz w:val="32"/>
    </w:rPr>
  </w:style>
  <w:style w:type="paragraph" w:customStyle="1" w:styleId="AllowPageBreak">
    <w:name w:val="AllowPageBreak"/>
    <w:rsid w:val="00C10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FA6"/>
    <w:rPr>
      <w:rFonts w:ascii="Courier New" w:eastAsia="Times New Roman" w:hAnsi="Courier New" w:cs="Times New Roman"/>
      <w:i/>
      <w:szCs w:val="20"/>
      <w:lang w:eastAsia="en-US"/>
    </w:rPr>
  </w:style>
  <w:style w:type="paragraph" w:customStyle="1" w:styleId="HeadingBase">
    <w:name w:val="Heading Base"/>
    <w:rsid w:val="00C10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FA6"/>
    <w:pPr>
      <w:tabs>
        <w:tab w:val="right" w:leader="dot" w:pos="9072"/>
      </w:tabs>
      <w:ind w:left="567"/>
    </w:pPr>
    <w:rPr>
      <w:szCs w:val="22"/>
    </w:rPr>
  </w:style>
  <w:style w:type="paragraph" w:customStyle="1" w:styleId="TOCBase">
    <w:name w:val="TOC Base"/>
    <w:rsid w:val="00C10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FA6"/>
    <w:pPr>
      <w:tabs>
        <w:tab w:val="right" w:leader="dot" w:pos="9072"/>
      </w:tabs>
      <w:spacing w:before="40" w:after="40"/>
      <w:ind w:left="284"/>
    </w:pPr>
    <w:rPr>
      <w:rFonts w:ascii="Times New Roman" w:hAnsi="Times New Roman"/>
    </w:rPr>
  </w:style>
  <w:style w:type="paragraph" w:styleId="TOC1">
    <w:name w:val="toc 1"/>
    <w:basedOn w:val="TOCBase"/>
    <w:next w:val="Normal"/>
    <w:rsid w:val="00C10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FA6"/>
    <w:rPr>
      <w:rFonts w:ascii="Times New Roman" w:eastAsia="Times New Roman" w:hAnsi="Times New Roman" w:cs="Times New Roman"/>
      <w:sz w:val="16"/>
      <w:lang w:eastAsia="en-US"/>
    </w:rPr>
  </w:style>
  <w:style w:type="paragraph" w:styleId="Title">
    <w:name w:val="Title"/>
    <w:basedOn w:val="HeadingBase"/>
    <w:link w:val="TitleChar"/>
    <w:qFormat/>
    <w:rsid w:val="00C10FA6"/>
    <w:pPr>
      <w:spacing w:before="5040"/>
      <w:jc w:val="center"/>
    </w:pPr>
    <w:rPr>
      <w:sz w:val="48"/>
      <w:szCs w:val="72"/>
      <w:lang w:val="en-US"/>
    </w:rPr>
  </w:style>
  <w:style w:type="character" w:customStyle="1" w:styleId="TitleChar">
    <w:name w:val="Title Char"/>
    <w:basedOn w:val="DefaultParagraphFont"/>
    <w:link w:val="Title"/>
    <w:rsid w:val="00C10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FA6"/>
    <w:pPr>
      <w:tabs>
        <w:tab w:val="left" w:pos="3600"/>
        <w:tab w:val="left" w:pos="3958"/>
      </w:tabs>
    </w:pPr>
  </w:style>
  <w:style w:type="paragraph" w:styleId="List">
    <w:name w:val="List"/>
    <w:basedOn w:val="BodyText"/>
    <w:next w:val="BodyText"/>
    <w:rsid w:val="00C10FA6"/>
    <w:pPr>
      <w:tabs>
        <w:tab w:val="left" w:pos="340"/>
      </w:tabs>
      <w:spacing w:before="60" w:after="60"/>
      <w:ind w:left="340" w:hanging="340"/>
    </w:pPr>
  </w:style>
  <w:style w:type="paragraph" w:customStyle="1" w:styleId="Note">
    <w:name w:val="Note"/>
    <w:basedOn w:val="BodyText"/>
    <w:rsid w:val="00C10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FA6"/>
    <w:pPr>
      <w:framePr w:wrap="auto" w:hAnchor="text" w:y="6049"/>
    </w:pPr>
    <w:rPr>
      <w:color w:val="000000"/>
      <w:sz w:val="40"/>
    </w:rPr>
  </w:style>
  <w:style w:type="paragraph" w:customStyle="1" w:styleId="TOCTitle">
    <w:name w:val="TOCTitle"/>
    <w:basedOn w:val="Heading1"/>
    <w:rsid w:val="00C10FA6"/>
    <w:pPr>
      <w:spacing w:after="240"/>
      <w:jc w:val="center"/>
      <w:outlineLvl w:val="9"/>
    </w:pPr>
    <w:rPr>
      <w:caps/>
    </w:rPr>
  </w:style>
  <w:style w:type="paragraph" w:customStyle="1" w:styleId="Version">
    <w:name w:val="Version"/>
    <w:rsid w:val="00C10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FA6"/>
    <w:pPr>
      <w:numPr>
        <w:numId w:val="12"/>
      </w:numPr>
      <w:tabs>
        <w:tab w:val="clear" w:pos="680"/>
      </w:tabs>
    </w:pPr>
  </w:style>
  <w:style w:type="paragraph" w:styleId="Index1">
    <w:name w:val="index 1"/>
    <w:basedOn w:val="Normal"/>
    <w:next w:val="Normal"/>
    <w:semiHidden/>
    <w:rsid w:val="00C10FA6"/>
    <w:pPr>
      <w:keepNext w:val="0"/>
      <w:tabs>
        <w:tab w:val="right" w:pos="4176"/>
      </w:tabs>
      <w:ind w:left="198" w:hanging="198"/>
    </w:pPr>
    <w:rPr>
      <w:rFonts w:ascii="Garamond" w:hAnsi="Garamond"/>
    </w:rPr>
  </w:style>
  <w:style w:type="paragraph" w:styleId="IndexHeading">
    <w:name w:val="index heading"/>
    <w:basedOn w:val="Normal"/>
    <w:next w:val="Index1"/>
    <w:semiHidden/>
    <w:rsid w:val="00C10FA6"/>
    <w:pPr>
      <w:spacing w:before="120" w:after="120"/>
    </w:pPr>
    <w:rPr>
      <w:rFonts w:ascii="Arial" w:hAnsi="Arial"/>
      <w:b/>
      <w:color w:val="918585"/>
      <w:sz w:val="24"/>
    </w:rPr>
  </w:style>
  <w:style w:type="paragraph" w:styleId="Header">
    <w:name w:val="header"/>
    <w:basedOn w:val="Normal"/>
    <w:link w:val="HeaderChar"/>
    <w:rsid w:val="00C10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FA6"/>
    <w:rPr>
      <w:rFonts w:ascii="Times New Roman" w:eastAsia="Times New Roman" w:hAnsi="Times New Roman" w:cs="Times New Roman"/>
      <w:sz w:val="16"/>
      <w:szCs w:val="20"/>
      <w:lang w:val="en-GB" w:eastAsia="en-US"/>
    </w:rPr>
  </w:style>
  <w:style w:type="paragraph" w:customStyle="1" w:styleId="Chapter">
    <w:name w:val="Chapter"/>
    <w:basedOn w:val="Normal"/>
    <w:rsid w:val="00C10FA6"/>
    <w:pPr>
      <w:spacing w:before="240"/>
    </w:pPr>
    <w:rPr>
      <w:rFonts w:ascii="Times New Roman" w:hAnsi="Times New Roman"/>
      <w:smallCaps/>
      <w:spacing w:val="80"/>
      <w:sz w:val="28"/>
    </w:rPr>
  </w:style>
  <w:style w:type="paragraph" w:customStyle="1" w:styleId="InChapter">
    <w:name w:val="InChapter"/>
    <w:basedOn w:val="Heading3"/>
    <w:rsid w:val="00C10FA6"/>
    <w:pPr>
      <w:spacing w:after="240"/>
      <w:outlineLvl w:val="9"/>
    </w:pPr>
    <w:rPr>
      <w:noProof/>
    </w:rPr>
  </w:style>
  <w:style w:type="paragraph" w:styleId="Index2">
    <w:name w:val="index 2"/>
    <w:basedOn w:val="Normal"/>
    <w:next w:val="Normal"/>
    <w:semiHidden/>
    <w:rsid w:val="00C10FA6"/>
    <w:pPr>
      <w:tabs>
        <w:tab w:val="right" w:pos="4176"/>
      </w:tabs>
      <w:ind w:left="568" w:hanging="284"/>
    </w:pPr>
    <w:rPr>
      <w:rFonts w:ascii="Garamond" w:hAnsi="Garamond"/>
    </w:rPr>
  </w:style>
  <w:style w:type="paragraph" w:customStyle="1" w:styleId="Byline">
    <w:name w:val="Byline"/>
    <w:rsid w:val="00C10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FA6"/>
    <w:pPr>
      <w:tabs>
        <w:tab w:val="clear" w:pos="3600"/>
        <w:tab w:val="clear" w:pos="3958"/>
      </w:tabs>
      <w:jc w:val="right"/>
    </w:pPr>
  </w:style>
  <w:style w:type="character" w:styleId="Emphasis">
    <w:name w:val="Emphasis"/>
    <w:basedOn w:val="DefaultParagraphFont"/>
    <w:qFormat/>
    <w:rsid w:val="00C10FA6"/>
    <w:rPr>
      <w:i/>
    </w:rPr>
  </w:style>
  <w:style w:type="paragraph" w:styleId="Caption">
    <w:name w:val="caption"/>
    <w:basedOn w:val="BodyText"/>
    <w:next w:val="Normal"/>
    <w:qFormat/>
    <w:rsid w:val="00C10FA6"/>
    <w:pPr>
      <w:framePr w:w="2268" w:hSpace="181" w:vSpace="181" w:wrap="around" w:vAnchor="text" w:hAnchor="page" w:x="1135" w:y="285" w:anchorLock="1"/>
    </w:pPr>
    <w:rPr>
      <w:i/>
    </w:rPr>
  </w:style>
  <w:style w:type="paragraph" w:customStyle="1" w:styleId="MiniTOCTitle">
    <w:name w:val="MiniTOCTitle"/>
    <w:basedOn w:val="Heading4"/>
    <w:rsid w:val="00C10FA6"/>
    <w:pPr>
      <w:spacing w:before="240"/>
      <w:outlineLvl w:val="9"/>
    </w:pPr>
    <w:rPr>
      <w:noProof/>
      <w:sz w:val="24"/>
    </w:rPr>
  </w:style>
  <w:style w:type="paragraph" w:customStyle="1" w:styleId="MiniTOCItem">
    <w:name w:val="MiniTOCItem"/>
    <w:basedOn w:val="ListBullet"/>
    <w:rsid w:val="00C10FA6"/>
    <w:pPr>
      <w:numPr>
        <w:numId w:val="0"/>
      </w:numPr>
      <w:tabs>
        <w:tab w:val="right" w:leader="dot" w:pos="6521"/>
      </w:tabs>
      <w:spacing w:before="0" w:after="0"/>
    </w:pPr>
  </w:style>
  <w:style w:type="paragraph" w:customStyle="1" w:styleId="TOFTitle">
    <w:name w:val="TOFTitle"/>
    <w:basedOn w:val="TOCTitle"/>
    <w:rsid w:val="00C10FA6"/>
  </w:style>
  <w:style w:type="paragraph" w:styleId="TableofFigures">
    <w:name w:val="table of figures"/>
    <w:basedOn w:val="Normal"/>
    <w:next w:val="Normal"/>
    <w:semiHidden/>
    <w:rsid w:val="00C10FA6"/>
    <w:pPr>
      <w:tabs>
        <w:tab w:val="right" w:leader="dot" w:pos="9072"/>
      </w:tabs>
      <w:ind w:left="970" w:hanging="403"/>
    </w:pPr>
    <w:rPr>
      <w:rFonts w:ascii="Times New Roman" w:hAnsi="Times New Roman"/>
      <w:b/>
    </w:rPr>
  </w:style>
  <w:style w:type="paragraph" w:styleId="ListNumber">
    <w:name w:val="List Number"/>
    <w:basedOn w:val="List"/>
    <w:rsid w:val="00C10FA6"/>
    <w:pPr>
      <w:numPr>
        <w:numId w:val="14"/>
      </w:numPr>
      <w:tabs>
        <w:tab w:val="clear" w:pos="340"/>
      </w:tabs>
    </w:pPr>
  </w:style>
  <w:style w:type="character" w:customStyle="1" w:styleId="WingdingSymbols">
    <w:name w:val="Wingding Symbols"/>
    <w:rsid w:val="00C10FA6"/>
    <w:rPr>
      <w:rFonts w:ascii="Wingdings" w:hAnsi="Wingdings"/>
    </w:rPr>
  </w:style>
  <w:style w:type="paragraph" w:customStyle="1" w:styleId="TableHeading">
    <w:name w:val="Table Heading"/>
    <w:basedOn w:val="HeadingBase"/>
    <w:rsid w:val="00C10FA6"/>
    <w:pPr>
      <w:keepLines/>
      <w:pBdr>
        <w:bottom w:val="single" w:sz="6" w:space="1" w:color="918585"/>
      </w:pBdr>
      <w:spacing w:before="240"/>
    </w:pPr>
  </w:style>
  <w:style w:type="character" w:customStyle="1" w:styleId="HotSpot">
    <w:name w:val="HotSpot"/>
    <w:rsid w:val="00C10FA6"/>
    <w:rPr>
      <w:color w:val="0033CC"/>
      <w:u w:val="none"/>
    </w:rPr>
  </w:style>
  <w:style w:type="paragraph" w:customStyle="1" w:styleId="BodyTextRight">
    <w:name w:val="Body Text Right"/>
    <w:basedOn w:val="BodyText"/>
    <w:rsid w:val="00C10FA6"/>
    <w:pPr>
      <w:spacing w:before="0" w:after="0"/>
      <w:jc w:val="right"/>
    </w:pPr>
  </w:style>
  <w:style w:type="paragraph" w:styleId="Index3">
    <w:name w:val="index 3"/>
    <w:basedOn w:val="ListNumber2"/>
    <w:next w:val="Normal"/>
    <w:semiHidden/>
    <w:rsid w:val="00C10FA6"/>
    <w:pPr>
      <w:numPr>
        <w:numId w:val="0"/>
      </w:numPr>
      <w:tabs>
        <w:tab w:val="right" w:leader="dot" w:pos="4176"/>
      </w:tabs>
    </w:pPr>
  </w:style>
  <w:style w:type="paragraph" w:styleId="ListNumber2">
    <w:name w:val="List Number 2"/>
    <w:basedOn w:val="List2"/>
    <w:rsid w:val="00C10FA6"/>
    <w:pPr>
      <w:numPr>
        <w:numId w:val="9"/>
      </w:numPr>
      <w:tabs>
        <w:tab w:val="clear" w:pos="1060"/>
      </w:tabs>
    </w:pPr>
  </w:style>
  <w:style w:type="paragraph" w:customStyle="1" w:styleId="MarginNote">
    <w:name w:val="Margin Note"/>
    <w:basedOn w:val="BodyText"/>
    <w:rsid w:val="00C10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FA6"/>
    <w:rPr>
      <w:sz w:val="32"/>
    </w:rPr>
  </w:style>
  <w:style w:type="paragraph" w:customStyle="1" w:styleId="HeadingProcedure">
    <w:name w:val="Heading Procedure"/>
    <w:basedOn w:val="HeadingBase"/>
    <w:next w:val="Normal"/>
    <w:rsid w:val="00C10FA6"/>
    <w:pPr>
      <w:tabs>
        <w:tab w:val="left" w:pos="0"/>
      </w:tabs>
      <w:spacing w:before="120" w:after="60"/>
    </w:pPr>
    <w:rPr>
      <w:i/>
      <w:color w:val="918585"/>
      <w:sz w:val="22"/>
    </w:rPr>
  </w:style>
  <w:style w:type="paragraph" w:customStyle="1" w:styleId="TableBodyText">
    <w:name w:val="Table Body Text"/>
    <w:basedOn w:val="BodyText"/>
    <w:rsid w:val="00C10FA6"/>
    <w:pPr>
      <w:spacing w:before="60" w:after="60"/>
    </w:pPr>
  </w:style>
  <w:style w:type="paragraph" w:styleId="ListContinue">
    <w:name w:val="List Continue"/>
    <w:basedOn w:val="List"/>
    <w:rsid w:val="00C10FA6"/>
    <w:pPr>
      <w:ind w:firstLine="0"/>
    </w:pPr>
  </w:style>
  <w:style w:type="paragraph" w:customStyle="1" w:styleId="ListNote">
    <w:name w:val="List Note"/>
    <w:basedOn w:val="List"/>
    <w:rsid w:val="00C10FA6"/>
    <w:pPr>
      <w:pBdr>
        <w:top w:val="single" w:sz="6" w:space="2" w:color="918585"/>
        <w:bottom w:val="single" w:sz="6" w:space="2" w:color="918585"/>
      </w:pBdr>
      <w:tabs>
        <w:tab w:val="left" w:pos="1021"/>
      </w:tabs>
      <w:ind w:firstLine="0"/>
    </w:pPr>
  </w:style>
  <w:style w:type="paragraph" w:customStyle="1" w:styleId="Warning">
    <w:name w:val="Warning"/>
    <w:basedOn w:val="BodyText"/>
    <w:rsid w:val="00C10FA6"/>
    <w:pPr>
      <w:shd w:val="clear" w:color="auto" w:fill="D9D9D9"/>
      <w:tabs>
        <w:tab w:val="left" w:pos="992"/>
      </w:tabs>
      <w:ind w:left="119" w:right="119"/>
    </w:pPr>
    <w:rPr>
      <w:sz w:val="20"/>
    </w:rPr>
  </w:style>
  <w:style w:type="paragraph" w:customStyle="1" w:styleId="MarginIcons">
    <w:name w:val="Margin Icons"/>
    <w:basedOn w:val="BodyText"/>
    <w:rsid w:val="00C10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FA6"/>
    <w:rPr>
      <w:rFonts w:ascii="Courier New" w:hAnsi="Courier New"/>
    </w:rPr>
  </w:style>
  <w:style w:type="paragraph" w:customStyle="1" w:styleId="NoteBullet">
    <w:name w:val="Note Bullet"/>
    <w:basedOn w:val="Note"/>
    <w:rsid w:val="00C10FA6"/>
    <w:pPr>
      <w:tabs>
        <w:tab w:val="clear" w:pos="680"/>
      </w:tabs>
      <w:spacing w:before="60" w:after="60"/>
    </w:pPr>
  </w:style>
  <w:style w:type="paragraph" w:customStyle="1" w:styleId="SubHeading2">
    <w:name w:val="SubHeading2"/>
    <w:basedOn w:val="HeadingBase"/>
    <w:rsid w:val="00C10FA6"/>
    <w:pPr>
      <w:spacing w:before="240" w:after="60"/>
    </w:pPr>
    <w:rPr>
      <w:sz w:val="20"/>
    </w:rPr>
  </w:style>
  <w:style w:type="paragraph" w:customStyle="1" w:styleId="SubHeading1">
    <w:name w:val="SubHeading1"/>
    <w:basedOn w:val="HeadingBase"/>
    <w:rsid w:val="00C10FA6"/>
    <w:pPr>
      <w:spacing w:before="240" w:after="60"/>
    </w:pPr>
    <w:rPr>
      <w:color w:val="918585"/>
      <w:sz w:val="22"/>
    </w:rPr>
  </w:style>
  <w:style w:type="paragraph" w:customStyle="1" w:styleId="SideHeading">
    <w:name w:val="Side Heading"/>
    <w:basedOn w:val="HeadingBase"/>
    <w:rsid w:val="00C10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FA6"/>
    <w:pPr>
      <w:numPr>
        <w:numId w:val="10"/>
      </w:numPr>
    </w:pPr>
  </w:style>
  <w:style w:type="paragraph" w:styleId="PlainText">
    <w:name w:val="Plain Text"/>
    <w:basedOn w:val="Normal"/>
    <w:link w:val="PlainTextChar"/>
    <w:rsid w:val="00C10FA6"/>
    <w:rPr>
      <w:sz w:val="20"/>
    </w:rPr>
  </w:style>
  <w:style w:type="character" w:customStyle="1" w:styleId="PlainTextChar">
    <w:name w:val="Plain Text Char"/>
    <w:basedOn w:val="DefaultParagraphFont"/>
    <w:link w:val="PlainText"/>
    <w:rsid w:val="00C10FA6"/>
    <w:rPr>
      <w:rFonts w:ascii="Courier New" w:eastAsia="Times New Roman" w:hAnsi="Courier New" w:cs="Times New Roman"/>
      <w:sz w:val="20"/>
      <w:szCs w:val="20"/>
      <w:lang w:eastAsia="en-US"/>
    </w:rPr>
  </w:style>
  <w:style w:type="character" w:customStyle="1" w:styleId="MenuOption">
    <w:name w:val="Menu Option"/>
    <w:basedOn w:val="DefaultParagraphFont"/>
    <w:rsid w:val="00C10FA6"/>
    <w:rPr>
      <w:b/>
      <w:smallCaps/>
    </w:rPr>
  </w:style>
  <w:style w:type="paragraph" w:customStyle="1" w:styleId="TableListNumber">
    <w:name w:val="Table List Number"/>
    <w:basedOn w:val="ListNumber"/>
    <w:rsid w:val="00C10FA6"/>
    <w:pPr>
      <w:numPr>
        <w:numId w:val="0"/>
      </w:numPr>
    </w:pPr>
  </w:style>
  <w:style w:type="paragraph" w:styleId="TOC4">
    <w:name w:val="toc 4"/>
    <w:basedOn w:val="TOCBase"/>
    <w:next w:val="Normal"/>
    <w:semiHidden/>
    <w:rsid w:val="00C10FA6"/>
    <w:pPr>
      <w:tabs>
        <w:tab w:val="right" w:leader="dot" w:pos="9071"/>
      </w:tabs>
      <w:ind w:left="1701"/>
    </w:pPr>
  </w:style>
  <w:style w:type="paragraph" w:customStyle="1" w:styleId="ListAlpha">
    <w:name w:val="List Alpha"/>
    <w:basedOn w:val="List"/>
    <w:rsid w:val="00C10FA6"/>
    <w:pPr>
      <w:numPr>
        <w:numId w:val="8"/>
      </w:numPr>
    </w:pPr>
  </w:style>
  <w:style w:type="paragraph" w:customStyle="1" w:styleId="ListAlpha2">
    <w:name w:val="List Alpha 2"/>
    <w:basedOn w:val="List2"/>
    <w:rsid w:val="00C10FA6"/>
    <w:pPr>
      <w:numPr>
        <w:numId w:val="7"/>
      </w:numPr>
    </w:pPr>
  </w:style>
  <w:style w:type="paragraph" w:styleId="List2">
    <w:name w:val="List 2"/>
    <w:basedOn w:val="BodyText"/>
    <w:rsid w:val="00C10FA6"/>
    <w:pPr>
      <w:tabs>
        <w:tab w:val="left" w:pos="680"/>
      </w:tabs>
      <w:spacing w:before="60" w:after="60"/>
      <w:ind w:left="680" w:hanging="340"/>
    </w:pPr>
  </w:style>
  <w:style w:type="paragraph" w:styleId="List3">
    <w:name w:val="List 3"/>
    <w:basedOn w:val="BodyText"/>
    <w:rsid w:val="00C10FA6"/>
    <w:pPr>
      <w:tabs>
        <w:tab w:val="left" w:pos="1021"/>
      </w:tabs>
      <w:spacing w:before="60" w:after="60"/>
      <w:ind w:left="1020" w:hanging="340"/>
    </w:pPr>
  </w:style>
  <w:style w:type="paragraph" w:styleId="List4">
    <w:name w:val="List 4"/>
    <w:basedOn w:val="BodyText"/>
    <w:rsid w:val="00C10FA6"/>
    <w:pPr>
      <w:tabs>
        <w:tab w:val="left" w:pos="1361"/>
      </w:tabs>
      <w:spacing w:before="60" w:after="60"/>
      <w:ind w:left="1361" w:hanging="340"/>
    </w:pPr>
  </w:style>
  <w:style w:type="paragraph" w:styleId="List5">
    <w:name w:val="List 5"/>
    <w:basedOn w:val="BodyText"/>
    <w:rsid w:val="00C10FA6"/>
    <w:pPr>
      <w:tabs>
        <w:tab w:val="left" w:pos="1701"/>
      </w:tabs>
      <w:spacing w:before="60" w:after="60"/>
      <w:ind w:left="1701" w:hanging="340"/>
    </w:pPr>
  </w:style>
  <w:style w:type="paragraph" w:styleId="ListBullet3">
    <w:name w:val="List Bullet 3"/>
    <w:basedOn w:val="List3"/>
    <w:rsid w:val="00C10FA6"/>
    <w:pPr>
      <w:numPr>
        <w:numId w:val="13"/>
      </w:numPr>
      <w:tabs>
        <w:tab w:val="clear" w:pos="1021"/>
      </w:tabs>
      <w:ind w:left="1037" w:hanging="357"/>
    </w:pPr>
  </w:style>
  <w:style w:type="paragraph" w:styleId="ListBullet4">
    <w:name w:val="List Bullet 4"/>
    <w:basedOn w:val="List4"/>
    <w:rsid w:val="00C10FA6"/>
    <w:pPr>
      <w:numPr>
        <w:numId w:val="2"/>
      </w:numPr>
      <w:tabs>
        <w:tab w:val="clear" w:pos="1361"/>
      </w:tabs>
    </w:pPr>
  </w:style>
  <w:style w:type="paragraph" w:styleId="ListBullet5">
    <w:name w:val="List Bullet 5"/>
    <w:basedOn w:val="List5"/>
    <w:rsid w:val="00C10FA6"/>
    <w:pPr>
      <w:numPr>
        <w:numId w:val="3"/>
      </w:numPr>
    </w:pPr>
  </w:style>
  <w:style w:type="paragraph" w:styleId="ListContinue2">
    <w:name w:val="List Continue 2"/>
    <w:basedOn w:val="List2"/>
    <w:rsid w:val="00C10FA6"/>
    <w:pPr>
      <w:ind w:firstLine="0"/>
    </w:pPr>
  </w:style>
  <w:style w:type="paragraph" w:styleId="ListContinue3">
    <w:name w:val="List Continue 3"/>
    <w:basedOn w:val="List3"/>
    <w:rsid w:val="00C10FA6"/>
    <w:pPr>
      <w:ind w:left="1021" w:firstLine="0"/>
    </w:pPr>
  </w:style>
  <w:style w:type="paragraph" w:styleId="ListContinue4">
    <w:name w:val="List Continue 4"/>
    <w:basedOn w:val="List4"/>
    <w:rsid w:val="00C10FA6"/>
    <w:pPr>
      <w:ind w:firstLine="0"/>
    </w:pPr>
  </w:style>
  <w:style w:type="paragraph" w:styleId="ListContinue5">
    <w:name w:val="List Continue 5"/>
    <w:basedOn w:val="List5"/>
    <w:rsid w:val="00C10FA6"/>
    <w:pPr>
      <w:ind w:firstLine="0"/>
    </w:pPr>
  </w:style>
  <w:style w:type="paragraph" w:styleId="ListNumber3">
    <w:name w:val="List Number 3"/>
    <w:basedOn w:val="List3"/>
    <w:rsid w:val="00C10FA6"/>
    <w:pPr>
      <w:numPr>
        <w:numId w:val="4"/>
      </w:numPr>
    </w:pPr>
  </w:style>
  <w:style w:type="paragraph" w:styleId="ListNumber4">
    <w:name w:val="List Number 4"/>
    <w:basedOn w:val="List4"/>
    <w:rsid w:val="00C10FA6"/>
    <w:pPr>
      <w:numPr>
        <w:numId w:val="5"/>
      </w:numPr>
    </w:pPr>
  </w:style>
  <w:style w:type="paragraph" w:styleId="ListNumber5">
    <w:name w:val="List Number 5"/>
    <w:basedOn w:val="List5"/>
    <w:rsid w:val="00C10FA6"/>
    <w:pPr>
      <w:numPr>
        <w:numId w:val="6"/>
      </w:numPr>
    </w:pPr>
  </w:style>
  <w:style w:type="paragraph" w:styleId="BlockText">
    <w:name w:val="Block Text"/>
    <w:basedOn w:val="Normal"/>
    <w:rsid w:val="00C10FA6"/>
    <w:pPr>
      <w:spacing w:after="120"/>
      <w:ind w:left="1440" w:right="1440"/>
    </w:pPr>
  </w:style>
  <w:style w:type="character" w:customStyle="1" w:styleId="Subscript">
    <w:name w:val="Subscript"/>
    <w:basedOn w:val="DefaultParagraphFont"/>
    <w:rsid w:val="00C10FA6"/>
    <w:rPr>
      <w:sz w:val="16"/>
      <w:vertAlign w:val="subscript"/>
    </w:rPr>
  </w:style>
  <w:style w:type="character" w:customStyle="1" w:styleId="Superscript">
    <w:name w:val="Superscript"/>
    <w:basedOn w:val="DefaultParagraphFont"/>
    <w:rsid w:val="00C10FA6"/>
    <w:rPr>
      <w:sz w:val="16"/>
      <w:vertAlign w:val="superscript"/>
    </w:rPr>
  </w:style>
  <w:style w:type="character" w:customStyle="1" w:styleId="Symbols">
    <w:name w:val="Symbols"/>
    <w:basedOn w:val="DefaultParagraphFont"/>
    <w:rsid w:val="00C10FA6"/>
    <w:rPr>
      <w:rFonts w:ascii="Symbol" w:hAnsi="Symbol"/>
    </w:rPr>
  </w:style>
  <w:style w:type="character" w:customStyle="1" w:styleId="MenuOptions">
    <w:name w:val="Menu Options"/>
    <w:basedOn w:val="DefaultParagraphFont"/>
    <w:rsid w:val="00C10FA6"/>
    <w:rPr>
      <w:rFonts w:ascii="Arial Narrow" w:hAnsi="Arial Narrow"/>
      <w:smallCaps/>
    </w:rPr>
  </w:style>
  <w:style w:type="character" w:customStyle="1" w:styleId="Buttons">
    <w:name w:val="Buttons"/>
    <w:basedOn w:val="DefaultParagraphFont"/>
    <w:rsid w:val="00C10FA6"/>
    <w:rPr>
      <w:b/>
    </w:rPr>
  </w:style>
  <w:style w:type="character" w:customStyle="1" w:styleId="Underlined">
    <w:name w:val="Underlined"/>
    <w:basedOn w:val="DefaultParagraphFont"/>
    <w:rsid w:val="00C10FA6"/>
    <w:rPr>
      <w:u w:val="single"/>
    </w:rPr>
  </w:style>
  <w:style w:type="paragraph" w:customStyle="1" w:styleId="TableBodyTextRight">
    <w:name w:val="Table Body Text Right"/>
    <w:basedOn w:val="TableBodyText"/>
    <w:rsid w:val="00C10FA6"/>
    <w:pPr>
      <w:widowControl w:val="0"/>
      <w:autoSpaceDE w:val="0"/>
      <w:autoSpaceDN w:val="0"/>
      <w:adjustRightInd w:val="0"/>
      <w:jc w:val="right"/>
    </w:pPr>
    <w:rPr>
      <w:rFonts w:cs="Arial"/>
      <w:szCs w:val="18"/>
    </w:rPr>
  </w:style>
  <w:style w:type="paragraph" w:customStyle="1" w:styleId="CopyrightText">
    <w:name w:val="Copyright Text"/>
    <w:basedOn w:val="BodyText"/>
    <w:rsid w:val="00C10FA6"/>
    <w:rPr>
      <w:sz w:val="18"/>
    </w:rPr>
  </w:style>
  <w:style w:type="paragraph" w:customStyle="1" w:styleId="BodySmallRight">
    <w:name w:val="Body Small Right"/>
    <w:basedOn w:val="BodyTextRight"/>
    <w:rsid w:val="00C10FA6"/>
    <w:rPr>
      <w:sz w:val="18"/>
      <w:szCs w:val="18"/>
    </w:rPr>
  </w:style>
  <w:style w:type="paragraph" w:customStyle="1" w:styleId="MarginEdition">
    <w:name w:val="Margin Edition"/>
    <w:basedOn w:val="MarginNote"/>
    <w:rsid w:val="00C10FA6"/>
    <w:pPr>
      <w:spacing w:before="0" w:after="0"/>
    </w:pPr>
    <w:rPr>
      <w:rFonts w:ascii="Times New Roman" w:hAnsi="Times New Roman"/>
      <w:color w:val="999999"/>
    </w:rPr>
  </w:style>
  <w:style w:type="paragraph" w:customStyle="1" w:styleId="Spacer">
    <w:name w:val="Spacer"/>
    <w:basedOn w:val="Normal"/>
    <w:rsid w:val="00C10FA6"/>
    <w:rPr>
      <w:sz w:val="2"/>
      <w:szCs w:val="2"/>
    </w:rPr>
  </w:style>
  <w:style w:type="character" w:customStyle="1" w:styleId="Small">
    <w:name w:val="Small"/>
    <w:basedOn w:val="DefaultParagraphFont"/>
    <w:rsid w:val="00C10FA6"/>
    <w:rPr>
      <w:sz w:val="16"/>
    </w:rPr>
  </w:style>
  <w:style w:type="paragraph" w:customStyle="1" w:styleId="WideTable">
    <w:name w:val="Wide Table"/>
    <w:basedOn w:val="Normal"/>
    <w:rsid w:val="00C10FA6"/>
    <w:pPr>
      <w:ind w:left="-1418"/>
    </w:pPr>
    <w:rPr>
      <w:sz w:val="2"/>
      <w:szCs w:val="2"/>
    </w:rPr>
  </w:style>
  <w:style w:type="character" w:styleId="PageNumber">
    <w:name w:val="page number"/>
    <w:basedOn w:val="DefaultParagraphFont"/>
    <w:rsid w:val="00C10FA6"/>
  </w:style>
  <w:style w:type="paragraph" w:styleId="Quote">
    <w:name w:val="Quote"/>
    <w:basedOn w:val="Heading1"/>
    <w:link w:val="QuoteChar"/>
    <w:qFormat/>
    <w:rsid w:val="00C10FA6"/>
    <w:rPr>
      <w:b w:val="0"/>
      <w:sz w:val="72"/>
      <w:szCs w:val="72"/>
      <w:lang w:val="en-NZ"/>
    </w:rPr>
  </w:style>
  <w:style w:type="character" w:customStyle="1" w:styleId="QuoteChar">
    <w:name w:val="Quote Char"/>
    <w:basedOn w:val="DefaultParagraphFont"/>
    <w:link w:val="Quote"/>
    <w:rsid w:val="00C10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FA6"/>
    <w:pPr>
      <w:pageBreakBefore/>
    </w:pPr>
  </w:style>
  <w:style w:type="paragraph" w:customStyle="1" w:styleId="Border">
    <w:name w:val="Border"/>
    <w:basedOn w:val="Normal"/>
    <w:qFormat/>
    <w:rsid w:val="00C10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FA6"/>
    <w:rPr>
      <w:b/>
      <w:bCs/>
      <w:i/>
      <w:iCs/>
      <w:color w:val="auto"/>
    </w:rPr>
  </w:style>
  <w:style w:type="paragraph" w:styleId="IntenseQuote">
    <w:name w:val="Intense Quote"/>
    <w:basedOn w:val="Normal"/>
    <w:next w:val="Normal"/>
    <w:link w:val="IntenseQuoteChar"/>
    <w:uiPriority w:val="30"/>
    <w:qFormat/>
    <w:rsid w:val="00C10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FA6"/>
    <w:rPr>
      <w:smallCaps/>
      <w:color w:val="auto"/>
      <w:u w:val="single"/>
    </w:rPr>
  </w:style>
  <w:style w:type="character" w:styleId="IntenseReference">
    <w:name w:val="Intense Reference"/>
    <w:basedOn w:val="DefaultParagraphFont"/>
    <w:uiPriority w:val="32"/>
    <w:qFormat/>
    <w:rsid w:val="00C10FA6"/>
    <w:rPr>
      <w:b/>
      <w:bCs/>
      <w:smallCaps/>
      <w:color w:val="auto"/>
      <w:spacing w:val="5"/>
      <w:u w:val="single"/>
    </w:rPr>
  </w:style>
  <w:style w:type="paragraph" w:customStyle="1" w:styleId="2ColumnHeading">
    <w:name w:val="2Column Heading"/>
    <w:basedOn w:val="BodyText"/>
    <w:qFormat/>
    <w:rsid w:val="00C10FA6"/>
    <w:pPr>
      <w:spacing w:after="60"/>
      <w:ind w:left="-2268"/>
    </w:pPr>
    <w:rPr>
      <w:b/>
    </w:rPr>
  </w:style>
  <w:style w:type="paragraph" w:customStyle="1" w:styleId="Heading1TOC">
    <w:name w:val="Heading1 TOC"/>
    <w:basedOn w:val="Normal"/>
    <w:qFormat/>
    <w:rsid w:val="00C10FA6"/>
    <w:pPr>
      <w:spacing w:before="240" w:after="120"/>
    </w:pPr>
    <w:rPr>
      <w:rFonts w:ascii="Times New Roman" w:hAnsi="Times New Roman"/>
      <w:b/>
      <w:sz w:val="32"/>
    </w:rPr>
  </w:style>
  <w:style w:type="paragraph" w:customStyle="1" w:styleId="Heading2TOC">
    <w:name w:val="Heading2 TOC"/>
    <w:basedOn w:val="Normal"/>
    <w:qFormat/>
    <w:rsid w:val="00C10FA6"/>
    <w:pPr>
      <w:spacing w:before="240" w:after="60"/>
    </w:pPr>
    <w:rPr>
      <w:rFonts w:ascii="Times New Roman" w:hAnsi="Times New Roman"/>
      <w:b/>
      <w:sz w:val="28"/>
    </w:rPr>
  </w:style>
  <w:style w:type="character" w:customStyle="1" w:styleId="Underline">
    <w:name w:val="Underline"/>
    <w:basedOn w:val="DefaultParagraphFont"/>
    <w:qFormat/>
    <w:rsid w:val="00C10FA6"/>
    <w:rPr>
      <w:u w:val="single"/>
    </w:rPr>
  </w:style>
  <w:style w:type="character" w:customStyle="1" w:styleId="BoldandItalics">
    <w:name w:val="Bold and Italics"/>
    <w:qFormat/>
    <w:rsid w:val="00C10FA6"/>
    <w:rPr>
      <w:b/>
      <w:i/>
      <w:u w:val="none"/>
    </w:rPr>
  </w:style>
  <w:style w:type="paragraph" w:styleId="BalloonText">
    <w:name w:val="Balloon Text"/>
    <w:basedOn w:val="Normal"/>
    <w:link w:val="BalloonTextChar"/>
    <w:rsid w:val="00C10FA6"/>
    <w:rPr>
      <w:rFonts w:ascii="Tahoma" w:hAnsi="Tahoma" w:cs="Tahoma"/>
      <w:sz w:val="16"/>
      <w:szCs w:val="16"/>
    </w:rPr>
  </w:style>
  <w:style w:type="character" w:customStyle="1" w:styleId="BalloonTextChar">
    <w:name w:val="Balloon Text Char"/>
    <w:basedOn w:val="DefaultParagraphFont"/>
    <w:link w:val="BalloonText"/>
    <w:rsid w:val="00C10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FA6"/>
    <w:rPr>
      <w:b/>
      <w:color w:val="660033"/>
      <w:spacing w:val="0"/>
    </w:rPr>
  </w:style>
  <w:style w:type="paragraph" w:customStyle="1" w:styleId="Nameditemlist">
    <w:name w:val="Named item list"/>
    <w:basedOn w:val="BodyText"/>
    <w:qFormat/>
    <w:rsid w:val="00C10FA6"/>
    <w:pPr>
      <w:tabs>
        <w:tab w:val="left" w:pos="2835"/>
      </w:tabs>
      <w:ind w:left="2835" w:hanging="2835"/>
    </w:pPr>
  </w:style>
  <w:style w:type="paragraph" w:customStyle="1" w:styleId="BodyTextnopadding">
    <w:name w:val="Body Text no padding"/>
    <w:basedOn w:val="BodyText"/>
    <w:qFormat/>
    <w:rsid w:val="00C10FA6"/>
    <w:pPr>
      <w:spacing w:before="0" w:after="0"/>
    </w:pPr>
  </w:style>
  <w:style w:type="paragraph" w:customStyle="1" w:styleId="BodyTextBold">
    <w:name w:val="Body Text Bold"/>
    <w:basedOn w:val="BodyText"/>
    <w:qFormat/>
    <w:rsid w:val="00C10FA6"/>
    <w:rPr>
      <w:b/>
    </w:rPr>
  </w:style>
  <w:style w:type="character" w:styleId="Hyperlink">
    <w:name w:val="Hyperlink"/>
    <w:basedOn w:val="DefaultParagraphFont"/>
    <w:uiPriority w:val="99"/>
    <w:unhideWhenUsed/>
    <w:rsid w:val="00D06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4472</Characters>
  <Application>Microsoft Office Word</Application>
  <DocSecurity>0</DocSecurity>
  <Lines>235</Lines>
  <Paragraphs>129</Paragraphs>
  <ScaleCrop>false</ScaleCrop>
  <Company>Author-it Software Corporation Ltd.</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MSTLA2009 Inspect, fold and pack theatre linen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2019-09-11T06:38:00Z</dcterms:created>
  <dcterms:modified xsi:type="dcterms:W3CDTF">2019-09-11T06:38:00Z</dcterms:modified>
</cp:coreProperties>
</file>