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FE5" w:rsidP="00EE0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MSTGN6011 Map and establish TCF supply chain process</w:t>
      </w:r>
      <w:r>
        <w:fldChar w:fldCharType="end"/>
      </w:r>
    </w:p>
    <w:p w:rsidR="00EE0FE5" w:rsidP="00EE0FE5">
      <w:pPr>
        <w:pStyle w:val="Version"/>
        <w:sectPr w:rsidSect="008A3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329" w:rsidP="008A3329">
      <w:pPr>
        <w:pStyle w:val="SuperHeading"/>
      </w:pPr>
      <w:r w:rsidRPr="008A3329">
        <w:t>Assessment Requirements for MSTGN6011 Map and establish TCF supply chain process</w:t>
      </w:r>
    </w:p>
    <w:p w:rsidR="00000000" w:rsidRPr="008A3329" w:rsidP="008A3329">
      <w:pPr>
        <w:pStyle w:val="Heading1"/>
      </w:pPr>
      <w:bookmarkStart w:id="1" w:name="O_1257326"/>
      <w:bookmarkEnd w:id="1"/>
      <w:r w:rsidRPr="008A3329">
        <w:t>Modification History</w:t>
      </w:r>
    </w:p>
    <w:p w:rsidR="00EE0FE5" w:rsidP="00EE0FE5">
      <w:pPr>
        <w:pStyle w:val="BodyText"/>
      </w:pPr>
      <w:r w:rsidRPr="008A3329">
        <w:t>Release 1. Prerequisite unit removed. Minor changes to Performan</w:t>
      </w:r>
      <w:r w:rsidRPr="008A3329">
        <w:t>ce Criteria. Foundation Skills field populated. Range of Conditions removed with relevant information moved to Knowledge Evidence. Assessment Requirements clarified with generic foundation skills statements moved to appropriate section and duplication with</w:t>
      </w:r>
      <w:r w:rsidRPr="008A3329">
        <w:t xml:space="preserve"> Performance Criteria removed. Supersedes and is not equivalent to MSTGN6006 Map and establish TCF supply chain process.</w:t>
      </w:r>
    </w:p>
    <w:p w:rsidR="00000000" w:rsidRPr="008A3329" w:rsidP="008A3329">
      <w:pPr>
        <w:pStyle w:val="Heading1"/>
      </w:pPr>
      <w:bookmarkStart w:id="2" w:name="O_1257327"/>
      <w:bookmarkEnd w:id="2"/>
      <w:r w:rsidRPr="008A3329">
        <w:t>Performance Evidence</w:t>
      </w:r>
    </w:p>
    <w:p w:rsidR="00000000" w:rsidRPr="008A3329" w:rsidP="00EE0FE5">
      <w:pPr>
        <w:pStyle w:val="BodyText"/>
      </w:pPr>
      <w:r w:rsidRPr="008A3329">
        <w:t>There must be evidence the candidate has completed the tasks outlined in the elements and perf</w:t>
      </w:r>
      <w:r w:rsidRPr="008A3329">
        <w:t>ormance criteria of this unit, and demonstrated the ability to:</w:t>
      </w:r>
    </w:p>
    <w:p w:rsidR="00000000" w:rsidRPr="008A3329" w:rsidP="008A3329">
      <w:pPr>
        <w:pStyle w:val="ListBullet"/>
      </w:pPr>
      <w:r w:rsidRPr="008A3329">
        <w:t>complete the following for one organisation:</w:t>
      </w:r>
    </w:p>
    <w:p w:rsidR="00000000" w:rsidRPr="008A3329" w:rsidP="008A3329">
      <w:pPr>
        <w:pStyle w:val="ListBullet2"/>
      </w:pPr>
      <w:r w:rsidRPr="008A3329">
        <w:t>prepare a map of components and personnel in textiles, clothing or footwear (TCF) supply chain systems confirming resources, supply requirements,</w:t>
      </w:r>
      <w:r w:rsidRPr="008A3329">
        <w:t xml:space="preserve"> and availability of machines and personnel </w:t>
      </w:r>
    </w:p>
    <w:p w:rsidR="00000000" w:rsidRPr="008A3329" w:rsidP="008A3329">
      <w:pPr>
        <w:pStyle w:val="ListBullet2"/>
      </w:pPr>
      <w:r w:rsidRPr="008A3329">
        <w:t>prepare a map of supply needs, identifying internal processes that ensure receipt and supply of TCF products meet corporate social responsibility requirements (CSR), other organisational conditions, quality stan</w:t>
      </w:r>
      <w:r w:rsidRPr="008A3329">
        <w:t>dards and resource requirements</w:t>
      </w:r>
    </w:p>
    <w:p w:rsidR="00000000" w:rsidRPr="008A3329" w:rsidP="008A3329">
      <w:pPr>
        <w:pStyle w:val="ListBullet2"/>
      </w:pPr>
      <w:r w:rsidRPr="008A3329">
        <w:t xml:space="preserve">use appropriate TCF industry terminology and technology to prepare a database, spreadsheet or table to record details of relationships and supply chain </w:t>
      </w:r>
    </w:p>
    <w:p w:rsidR="00000000" w:rsidRPr="008A3329" w:rsidP="008A3329">
      <w:pPr>
        <w:pStyle w:val="ListBullet2"/>
      </w:pPr>
      <w:r w:rsidRPr="008A3329">
        <w:t>analyse import and export rules and regulations for international sourc</w:t>
      </w:r>
      <w:r w:rsidRPr="008A3329">
        <w:t xml:space="preserve">es to determine effect on supply conditions </w:t>
      </w:r>
    </w:p>
    <w:p w:rsidR="00000000" w:rsidRPr="008A3329" w:rsidP="008A3329">
      <w:pPr>
        <w:pStyle w:val="ListBullet2"/>
      </w:pPr>
      <w:r w:rsidRPr="008A3329">
        <w:t>establish monitoring arrangements for the supply chain</w:t>
      </w:r>
    </w:p>
    <w:p w:rsidR="00EE0FE5" w:rsidP="008A3329">
      <w:pPr>
        <w:pStyle w:val="ListBullet2"/>
      </w:pPr>
      <w:r w:rsidRPr="008A3329">
        <w:t>conduct research to assess new trends, conditions and relationships that may influence supply and demand.</w:t>
      </w:r>
    </w:p>
    <w:p w:rsidR="00EE0FE5" w:rsidP="008A3329">
      <w:pPr>
        <w:pStyle w:val="ListBullet2"/>
      </w:pPr>
    </w:p>
    <w:p w:rsidR="00000000" w:rsidRPr="008A3329" w:rsidP="008A3329">
      <w:pPr>
        <w:pStyle w:val="Heading1"/>
      </w:pPr>
      <w:bookmarkStart w:id="3" w:name="O_1257328"/>
      <w:bookmarkEnd w:id="3"/>
      <w:r w:rsidRPr="008A3329">
        <w:t>Knowledge Evidence</w:t>
      </w:r>
    </w:p>
    <w:p w:rsidR="00000000" w:rsidRPr="008A3329" w:rsidP="00EE0FE5">
      <w:pPr>
        <w:pStyle w:val="BodyText"/>
      </w:pPr>
      <w:r w:rsidRPr="008A3329">
        <w:t>There must be evidence the candidate has knowledge of:</w:t>
      </w:r>
    </w:p>
    <w:p w:rsidR="00000000" w:rsidRPr="008A3329" w:rsidP="008A3329">
      <w:pPr>
        <w:pStyle w:val="ListBullet"/>
      </w:pPr>
      <w:r w:rsidRPr="008A3329">
        <w:t>components of the TCF supply chain, their roles, processes and interrelationships, including:</w:t>
      </w:r>
    </w:p>
    <w:p w:rsidR="00000000" w:rsidRPr="008A3329" w:rsidP="008A3329">
      <w:pPr>
        <w:pStyle w:val="ListBullet2"/>
      </w:pPr>
      <w:r w:rsidRPr="008A3329">
        <w:t>business support and administrators</w:t>
      </w:r>
    </w:p>
    <w:p w:rsidR="00000000" w:rsidRPr="008A3329" w:rsidP="008A3329">
      <w:pPr>
        <w:pStyle w:val="ListBullet2"/>
      </w:pPr>
      <w:r w:rsidRPr="008A3329">
        <w:t>customers</w:t>
      </w:r>
    </w:p>
    <w:p w:rsidR="00000000" w:rsidRPr="008A3329" w:rsidP="008A3329">
      <w:pPr>
        <w:pStyle w:val="ListBullet2"/>
      </w:pPr>
      <w:r w:rsidRPr="008A3329">
        <w:t>distribution</w:t>
      </w:r>
    </w:p>
    <w:p w:rsidR="00000000" w:rsidRPr="008A3329" w:rsidP="008A3329">
      <w:pPr>
        <w:pStyle w:val="ListBullet2"/>
      </w:pPr>
      <w:r w:rsidRPr="008A3329">
        <w:t xml:space="preserve">marketing </w:t>
      </w:r>
    </w:p>
    <w:p w:rsidR="00000000" w:rsidRPr="008A3329" w:rsidP="008A3329">
      <w:pPr>
        <w:pStyle w:val="ListBullet2"/>
      </w:pPr>
      <w:r w:rsidRPr="008A3329">
        <w:t>product flow and flow rates</w:t>
      </w:r>
    </w:p>
    <w:p w:rsidR="00000000" w:rsidRPr="008A3329" w:rsidP="008A3329">
      <w:pPr>
        <w:pStyle w:val="ListBullet2"/>
      </w:pPr>
      <w:r w:rsidRPr="008A3329">
        <w:t>product</w:t>
      </w:r>
      <w:r w:rsidRPr="008A3329">
        <w:t>ion</w:t>
      </w:r>
    </w:p>
    <w:p w:rsidR="00000000" w:rsidRPr="008A3329" w:rsidP="008A3329">
      <w:pPr>
        <w:pStyle w:val="ListBullet2"/>
      </w:pPr>
      <w:r w:rsidRPr="008A3329">
        <w:t xml:space="preserve">raw material </w:t>
      </w:r>
    </w:p>
    <w:p w:rsidR="00000000" w:rsidRPr="008A3329" w:rsidP="008A3329">
      <w:pPr>
        <w:pStyle w:val="ListBullet"/>
      </w:pPr>
      <w:r w:rsidRPr="008A3329">
        <w:t xml:space="preserve">import and export rules and regulations for international sources and how they affect supply conditions </w:t>
      </w:r>
    </w:p>
    <w:p w:rsidR="00000000" w:rsidRPr="008A3329" w:rsidP="008A3329">
      <w:pPr>
        <w:pStyle w:val="ListBullet"/>
      </w:pPr>
      <w:r w:rsidRPr="008A3329">
        <w:t>principles underpinning CSR and ethical, sustainable supply chain management</w:t>
      </w:r>
    </w:p>
    <w:p w:rsidR="00000000" w:rsidRPr="008A3329" w:rsidP="008A3329">
      <w:pPr>
        <w:pStyle w:val="ListBullet"/>
      </w:pPr>
      <w:r w:rsidRPr="008A3329">
        <w:t xml:space="preserve">current and emerging trends in the digital TCF supply chain </w:t>
      </w:r>
    </w:p>
    <w:p w:rsidR="00000000" w:rsidRPr="008A3329" w:rsidP="008A3329">
      <w:pPr>
        <w:pStyle w:val="ListBullet"/>
      </w:pPr>
      <w:r w:rsidRPr="008A3329">
        <w:t>typical issues and problems that arise with, or impact on, the supply chain, including:</w:t>
      </w:r>
    </w:p>
    <w:p w:rsidR="00000000" w:rsidRPr="008A3329" w:rsidP="008A3329">
      <w:pPr>
        <w:pStyle w:val="ListBullet2"/>
      </w:pPr>
      <w:r w:rsidRPr="008A3329">
        <w:t>design changes</w:t>
      </w:r>
    </w:p>
    <w:p w:rsidR="00000000" w:rsidRPr="008A3329" w:rsidP="008A3329">
      <w:pPr>
        <w:pStyle w:val="ListBullet2"/>
      </w:pPr>
      <w:r w:rsidRPr="008A3329">
        <w:t>equipment maintenance requirements</w:t>
      </w:r>
    </w:p>
    <w:p w:rsidR="00000000" w:rsidRPr="008A3329" w:rsidP="008A3329">
      <w:pPr>
        <w:pStyle w:val="ListBullet2"/>
      </w:pPr>
      <w:r w:rsidRPr="008A3329">
        <w:t>faults</w:t>
      </w:r>
    </w:p>
    <w:p w:rsidR="00000000" w:rsidRPr="008A3329" w:rsidP="008A3329">
      <w:pPr>
        <w:pStyle w:val="ListBullet2"/>
      </w:pPr>
      <w:r w:rsidRPr="008A3329">
        <w:t>material or resource availability</w:t>
      </w:r>
    </w:p>
    <w:p w:rsidR="00000000" w:rsidRPr="008A3329" w:rsidP="008A3329">
      <w:pPr>
        <w:pStyle w:val="ListBullet2"/>
      </w:pPr>
      <w:r w:rsidRPr="008A3329">
        <w:t>production sche</w:t>
      </w:r>
      <w:r w:rsidRPr="008A3329">
        <w:t>dule changes</w:t>
      </w:r>
    </w:p>
    <w:p w:rsidR="00000000" w:rsidRPr="008A3329" w:rsidP="008A3329">
      <w:pPr>
        <w:pStyle w:val="ListBullet2"/>
      </w:pPr>
      <w:r w:rsidRPr="008A3329">
        <w:t>varying demand levels</w:t>
      </w:r>
    </w:p>
    <w:p w:rsidR="00000000" w:rsidRPr="008A3329" w:rsidP="008A3329">
      <w:pPr>
        <w:pStyle w:val="ListBullet"/>
      </w:pPr>
      <w:r w:rsidRPr="008A3329">
        <w:t>types of business conditions involved in supply chain arrangements, including:</w:t>
      </w:r>
    </w:p>
    <w:p w:rsidR="00000000" w:rsidRPr="008A3329" w:rsidP="008A3329">
      <w:pPr>
        <w:pStyle w:val="ListBullet2"/>
      </w:pPr>
      <w:r w:rsidRPr="008A3329">
        <w:t>contract conditions</w:t>
      </w:r>
    </w:p>
    <w:p w:rsidR="00000000" w:rsidRPr="008A3329" w:rsidP="008A3329">
      <w:pPr>
        <w:pStyle w:val="ListBullet2"/>
      </w:pPr>
      <w:r w:rsidRPr="008A3329">
        <w:t>supply priorities</w:t>
      </w:r>
    </w:p>
    <w:p w:rsidR="00000000" w:rsidRPr="008A3329" w:rsidP="008A3329">
      <w:pPr>
        <w:pStyle w:val="ListBullet2"/>
      </w:pPr>
      <w:r w:rsidRPr="008A3329">
        <w:t>communication channels</w:t>
      </w:r>
    </w:p>
    <w:p w:rsidR="00000000" w:rsidRPr="008A3329" w:rsidP="008A3329">
      <w:pPr>
        <w:pStyle w:val="ListBullet2"/>
      </w:pPr>
      <w:r w:rsidRPr="008A3329">
        <w:t>authority protocols</w:t>
      </w:r>
    </w:p>
    <w:p w:rsidR="00000000" w:rsidRPr="008A3329" w:rsidP="008A3329">
      <w:pPr>
        <w:pStyle w:val="ListBullet2"/>
      </w:pPr>
      <w:r w:rsidRPr="008A3329">
        <w:t>verification</w:t>
      </w:r>
    </w:p>
    <w:p w:rsidR="00000000" w:rsidRPr="008A3329" w:rsidP="008A3329">
      <w:pPr>
        <w:pStyle w:val="ListBullet2"/>
      </w:pPr>
      <w:r w:rsidRPr="008A3329">
        <w:t>payment</w:t>
      </w:r>
    </w:p>
    <w:p w:rsidR="00000000" w:rsidRPr="008A3329" w:rsidP="008A3329">
      <w:pPr>
        <w:pStyle w:val="ListBullet"/>
      </w:pPr>
      <w:r w:rsidRPr="008A3329">
        <w:t>information resources on fibres and fabrics and broader TCF trends and conditions</w:t>
      </w:r>
    </w:p>
    <w:p w:rsidR="00EE0FE5" w:rsidP="008A3329">
      <w:pPr>
        <w:pStyle w:val="ListBullet"/>
      </w:pPr>
      <w:r w:rsidRPr="008A3329">
        <w:t>test procedures to assess quality of materials and products.</w:t>
      </w:r>
    </w:p>
    <w:p w:rsidR="00EE0FE5" w:rsidP="008A3329">
      <w:pPr>
        <w:pStyle w:val="ListBullet"/>
      </w:pPr>
    </w:p>
    <w:p w:rsidR="00000000" w:rsidRPr="008A3329" w:rsidP="008A3329">
      <w:pPr>
        <w:pStyle w:val="Heading1"/>
      </w:pPr>
      <w:bookmarkStart w:id="4" w:name="O_1257329"/>
      <w:bookmarkEnd w:id="4"/>
      <w:r w:rsidRPr="008A3329">
        <w:t>Assessment Conditions</w:t>
      </w:r>
    </w:p>
    <w:p w:rsidR="00000000" w:rsidRPr="008A3329" w:rsidP="00EE0FE5">
      <w:pPr>
        <w:pStyle w:val="BodyText"/>
      </w:pPr>
      <w:r w:rsidRPr="008A3329">
        <w:t>Skills must have been demonstrated in the workplace or in a simulated e</w:t>
      </w:r>
      <w:r w:rsidRPr="008A3329">
        <w:t>nvironment that reflects workplace conditions and contingencies. The following conditions must be met for this unit:</w:t>
      </w:r>
    </w:p>
    <w:p w:rsidR="00000000" w:rsidRPr="008A3329" w:rsidP="008A3329">
      <w:pPr>
        <w:pStyle w:val="ListBullet"/>
      </w:pPr>
      <w:r w:rsidRPr="008A3329">
        <w:t>use of suitable facilities, equipment and resources, including:</w:t>
      </w:r>
    </w:p>
    <w:p w:rsidR="00000000" w:rsidRPr="008A3329" w:rsidP="008A3329">
      <w:pPr>
        <w:pStyle w:val="ListBullet2"/>
      </w:pPr>
      <w:r w:rsidRPr="008A3329">
        <w:t>organisation for which supply chain is mapped and established</w:t>
      </w:r>
    </w:p>
    <w:p w:rsidR="00000000" w:rsidRPr="008A3329" w:rsidP="008A3329">
      <w:pPr>
        <w:pStyle w:val="ListBullet2"/>
      </w:pPr>
      <w:r w:rsidRPr="008A3329">
        <w:t>information</w:t>
      </w:r>
      <w:r w:rsidRPr="008A3329">
        <w:t xml:space="preserve"> technology for research and documentation.</w:t>
      </w:r>
    </w:p>
    <w:p w:rsidR="00EE0FE5" w:rsidP="00EE0FE5">
      <w:pPr>
        <w:pStyle w:val="BodyText"/>
      </w:pPr>
      <w:r w:rsidRPr="008A3329">
        <w:t>Assessors must satisfy the NVR/AQTF mandatory competency requirements for assessors.</w:t>
      </w:r>
    </w:p>
    <w:p w:rsidR="00000000" w:rsidRPr="008A3329" w:rsidP="008A3329">
      <w:pPr>
        <w:pStyle w:val="Heading1"/>
      </w:pPr>
      <w:bookmarkStart w:id="5" w:name="O_1257332"/>
      <w:bookmarkEnd w:id="5"/>
      <w:r w:rsidRPr="008A3329">
        <w:t>Links</w:t>
      </w:r>
    </w:p>
    <w:p w:rsidR="00000000" w:rsidRPr="008A3329" w:rsidP="00EE0FE5">
      <w:pPr>
        <w:pStyle w:val="BodyText"/>
      </w:pPr>
      <w:r w:rsidRPr="008A332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537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A3329" w:rsidP="008A3329"/>
    <w:sectPr w:rsidSect="008A3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29" w:rsidRPr="00EE0FE5" w:rsidP="00EE0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E5" w:rsidP="008A3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FE5" w:rsidP="008A3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0FE5" w:rsidP="008A3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329" w:rsidRPr="00EE0FE5" w:rsidP="00EE0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E5" w:rsidRPr="002D2AF8" w:rsidP="008A3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MSTGN6011 Map and establish TCF supply chain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E0FE5" w:rsidP="008A3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628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8B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A8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329"/>
  </w:style>
  <w:style w:type="character" w:customStyle="1" w:styleId="Heading1Char">
    <w:name w:val="Heading 1 Char"/>
    <w:basedOn w:val="DefaultParagraphFont"/>
    <w:link w:val="Heading1"/>
    <w:rsid w:val="008A3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3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33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3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329"/>
    <w:rPr>
      <w:b/>
      <w:spacing w:val="0"/>
    </w:rPr>
  </w:style>
  <w:style w:type="paragraph" w:customStyle="1" w:styleId="SuperTitle">
    <w:name w:val="SuperTitle"/>
    <w:basedOn w:val="Title"/>
    <w:rsid w:val="008A3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3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329"/>
    <w:rPr>
      <w:i/>
    </w:rPr>
  </w:style>
  <w:style w:type="paragraph" w:styleId="Caption">
    <w:name w:val="caption"/>
    <w:basedOn w:val="BodyText"/>
    <w:next w:val="Normal"/>
    <w:qFormat/>
    <w:rsid w:val="008A3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329"/>
  </w:style>
  <w:style w:type="paragraph" w:styleId="TableofFigures">
    <w:name w:val="table of figures"/>
    <w:basedOn w:val="Normal"/>
    <w:next w:val="Normal"/>
    <w:semiHidden/>
    <w:rsid w:val="008A3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3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3329"/>
    <w:rPr>
      <w:rFonts w:ascii="Wingdings" w:hAnsi="Wingdings"/>
    </w:rPr>
  </w:style>
  <w:style w:type="paragraph" w:customStyle="1" w:styleId="TableHeading">
    <w:name w:val="Table Heading"/>
    <w:basedOn w:val="HeadingBase"/>
    <w:rsid w:val="008A3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329"/>
    <w:rPr>
      <w:color w:val="0033CC"/>
      <w:u w:val="none"/>
    </w:rPr>
  </w:style>
  <w:style w:type="paragraph" w:customStyle="1" w:styleId="BodyTextRight">
    <w:name w:val="Body Text Right"/>
    <w:basedOn w:val="BodyText"/>
    <w:rsid w:val="008A3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3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329"/>
    <w:rPr>
      <w:sz w:val="32"/>
    </w:rPr>
  </w:style>
  <w:style w:type="paragraph" w:customStyle="1" w:styleId="HeadingProcedure">
    <w:name w:val="Heading Procedure"/>
    <w:basedOn w:val="HeadingBase"/>
    <w:next w:val="Normal"/>
    <w:rsid w:val="008A3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329"/>
    <w:pPr>
      <w:spacing w:before="60" w:after="60"/>
    </w:pPr>
  </w:style>
  <w:style w:type="paragraph" w:styleId="ListContinue">
    <w:name w:val="List Continue"/>
    <w:basedOn w:val="List"/>
    <w:rsid w:val="008A3329"/>
    <w:pPr>
      <w:ind w:firstLine="0"/>
    </w:pPr>
  </w:style>
  <w:style w:type="paragraph" w:customStyle="1" w:styleId="ListNote">
    <w:name w:val="List Note"/>
    <w:basedOn w:val="List"/>
    <w:rsid w:val="008A3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329"/>
    <w:rPr>
      <w:rFonts w:ascii="Courier New" w:hAnsi="Courier New"/>
    </w:rPr>
  </w:style>
  <w:style w:type="paragraph" w:customStyle="1" w:styleId="NoteBullet">
    <w:name w:val="Note Bullet"/>
    <w:basedOn w:val="Note"/>
    <w:rsid w:val="008A3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3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329"/>
    <w:rPr>
      <w:b/>
      <w:smallCaps/>
    </w:rPr>
  </w:style>
  <w:style w:type="paragraph" w:customStyle="1" w:styleId="TableListNumber">
    <w:name w:val="Table List Number"/>
    <w:basedOn w:val="ListNumber"/>
    <w:rsid w:val="008A3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329"/>
    <w:pPr>
      <w:numPr>
        <w:numId w:val="9"/>
      </w:numPr>
    </w:pPr>
  </w:style>
  <w:style w:type="paragraph" w:customStyle="1" w:styleId="ListAlpha2">
    <w:name w:val="List Alpha 2"/>
    <w:basedOn w:val="List2"/>
    <w:rsid w:val="008A3329"/>
    <w:pPr>
      <w:numPr>
        <w:numId w:val="8"/>
      </w:numPr>
    </w:pPr>
  </w:style>
  <w:style w:type="paragraph" w:styleId="List2">
    <w:name w:val="List 2"/>
    <w:basedOn w:val="BodyText"/>
    <w:rsid w:val="008A3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3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3329"/>
    <w:pPr>
      <w:numPr>
        <w:numId w:val="4"/>
      </w:numPr>
    </w:pPr>
  </w:style>
  <w:style w:type="paragraph" w:styleId="ListContinue2">
    <w:name w:val="List Continue 2"/>
    <w:basedOn w:val="List2"/>
    <w:rsid w:val="008A3329"/>
    <w:pPr>
      <w:ind w:firstLine="0"/>
    </w:pPr>
  </w:style>
  <w:style w:type="paragraph" w:styleId="ListContinue3">
    <w:name w:val="List Continue 3"/>
    <w:basedOn w:val="List3"/>
    <w:rsid w:val="008A3329"/>
    <w:pPr>
      <w:ind w:left="1021" w:firstLine="0"/>
    </w:pPr>
  </w:style>
  <w:style w:type="paragraph" w:styleId="ListContinue4">
    <w:name w:val="List Continue 4"/>
    <w:basedOn w:val="List4"/>
    <w:rsid w:val="008A3329"/>
    <w:pPr>
      <w:ind w:firstLine="0"/>
    </w:pPr>
  </w:style>
  <w:style w:type="paragraph" w:styleId="ListContinue5">
    <w:name w:val="List Continue 5"/>
    <w:basedOn w:val="List5"/>
    <w:rsid w:val="008A3329"/>
    <w:pPr>
      <w:ind w:firstLine="0"/>
    </w:pPr>
  </w:style>
  <w:style w:type="paragraph" w:styleId="ListNumber3">
    <w:name w:val="List Number 3"/>
    <w:basedOn w:val="List3"/>
    <w:rsid w:val="008A3329"/>
    <w:pPr>
      <w:numPr>
        <w:numId w:val="5"/>
      </w:numPr>
    </w:pPr>
  </w:style>
  <w:style w:type="paragraph" w:styleId="ListNumber4">
    <w:name w:val="List Number 4"/>
    <w:basedOn w:val="List4"/>
    <w:rsid w:val="008A3329"/>
    <w:pPr>
      <w:numPr>
        <w:numId w:val="6"/>
      </w:numPr>
    </w:pPr>
  </w:style>
  <w:style w:type="paragraph" w:styleId="ListNumber5">
    <w:name w:val="List Number 5"/>
    <w:basedOn w:val="List5"/>
    <w:rsid w:val="008A3329"/>
    <w:pPr>
      <w:numPr>
        <w:numId w:val="7"/>
      </w:numPr>
    </w:pPr>
  </w:style>
  <w:style w:type="paragraph" w:styleId="BlockText">
    <w:name w:val="Block Text"/>
    <w:basedOn w:val="Normal"/>
    <w:rsid w:val="008A3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329"/>
    <w:rPr>
      <w:sz w:val="16"/>
      <w:vertAlign w:val="superscript"/>
    </w:rPr>
  </w:style>
  <w:style w:type="character" w:customStyle="1" w:styleId="Symbols">
    <w:name w:val="Symbols"/>
    <w:basedOn w:val="DefaultParagraphFont"/>
    <w:rsid w:val="008A3329"/>
    <w:rPr>
      <w:rFonts w:ascii="Symbol" w:hAnsi="Symbol"/>
    </w:rPr>
  </w:style>
  <w:style w:type="character" w:customStyle="1" w:styleId="MenuOptions">
    <w:name w:val="Menu Options"/>
    <w:basedOn w:val="DefaultParagraphFont"/>
    <w:rsid w:val="008A3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329"/>
    <w:rPr>
      <w:b/>
    </w:rPr>
  </w:style>
  <w:style w:type="character" w:customStyle="1" w:styleId="Underlined">
    <w:name w:val="Underlined"/>
    <w:basedOn w:val="DefaultParagraphFont"/>
    <w:rsid w:val="008A3329"/>
    <w:rPr>
      <w:u w:val="single"/>
    </w:rPr>
  </w:style>
  <w:style w:type="paragraph" w:customStyle="1" w:styleId="TableBodyTextRight">
    <w:name w:val="Table Body Text Right"/>
    <w:basedOn w:val="TableBodyText"/>
    <w:rsid w:val="008A3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329"/>
    <w:rPr>
      <w:sz w:val="18"/>
    </w:rPr>
  </w:style>
  <w:style w:type="paragraph" w:customStyle="1" w:styleId="BodySmallRight">
    <w:name w:val="Body Small Right"/>
    <w:basedOn w:val="BodyTextRight"/>
    <w:rsid w:val="008A3329"/>
    <w:rPr>
      <w:sz w:val="18"/>
      <w:szCs w:val="18"/>
    </w:rPr>
  </w:style>
  <w:style w:type="paragraph" w:customStyle="1" w:styleId="MarginEdition">
    <w:name w:val="Margin Edition"/>
    <w:basedOn w:val="MarginNote"/>
    <w:rsid w:val="008A3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329"/>
    <w:rPr>
      <w:sz w:val="2"/>
      <w:szCs w:val="2"/>
    </w:rPr>
  </w:style>
  <w:style w:type="character" w:customStyle="1" w:styleId="Small">
    <w:name w:val="Small"/>
    <w:basedOn w:val="DefaultParagraphFont"/>
    <w:rsid w:val="008A3329"/>
    <w:rPr>
      <w:sz w:val="16"/>
    </w:rPr>
  </w:style>
  <w:style w:type="paragraph" w:customStyle="1" w:styleId="WideTable">
    <w:name w:val="Wide Table"/>
    <w:basedOn w:val="Normal"/>
    <w:rsid w:val="008A3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329"/>
  </w:style>
  <w:style w:type="paragraph" w:styleId="Quote">
    <w:name w:val="Quote"/>
    <w:basedOn w:val="Heading1"/>
    <w:link w:val="QuoteChar"/>
    <w:qFormat/>
    <w:rsid w:val="008A3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329"/>
    <w:pPr>
      <w:pageBreakBefore/>
    </w:pPr>
  </w:style>
  <w:style w:type="paragraph" w:customStyle="1" w:styleId="Border">
    <w:name w:val="Border"/>
    <w:basedOn w:val="Normal"/>
    <w:qFormat/>
    <w:rsid w:val="008A3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329"/>
    <w:rPr>
      <w:u w:val="single"/>
    </w:rPr>
  </w:style>
  <w:style w:type="character" w:customStyle="1" w:styleId="BoldandItalics">
    <w:name w:val="Bold and Italics"/>
    <w:qFormat/>
    <w:rsid w:val="008A3329"/>
    <w:rPr>
      <w:b/>
      <w:i/>
      <w:u w:val="none"/>
    </w:rPr>
  </w:style>
  <w:style w:type="paragraph" w:styleId="BalloonText">
    <w:name w:val="Balloon Text"/>
    <w:basedOn w:val="Normal"/>
    <w:link w:val="BalloonTextChar"/>
    <w:rsid w:val="008A3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329"/>
    <w:pPr>
      <w:spacing w:before="0" w:after="0"/>
    </w:pPr>
  </w:style>
  <w:style w:type="paragraph" w:customStyle="1" w:styleId="BodyTextBold">
    <w:name w:val="Body Text Bold"/>
    <w:basedOn w:val="BodyText"/>
    <w:qFormat/>
    <w:rsid w:val="008A3329"/>
    <w:rPr>
      <w:b/>
    </w:rPr>
  </w:style>
  <w:style w:type="character" w:styleId="Hyperlink">
    <w:name w:val="Hyperlink"/>
    <w:basedOn w:val="DefaultParagraphFont"/>
    <w:uiPriority w:val="99"/>
    <w:unhideWhenUsed/>
    <w:rsid w:val="00EE0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3144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MSTGN6011 Map and establish TCF supply chain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