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B12" w:rsidP="00733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MSTGN6010 Manage TCF product development</w:t>
      </w:r>
      <w:r>
        <w:fldChar w:fldCharType="end"/>
      </w:r>
    </w:p>
    <w:p w:rsidR="00733B12" w:rsidP="00733B12">
      <w:pPr>
        <w:pStyle w:val="Version"/>
        <w:sectPr w:rsidSect="00E42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870" w:rsidP="00E42870">
      <w:pPr>
        <w:pStyle w:val="SuperHeading"/>
      </w:pPr>
      <w:r w:rsidRPr="00E42870">
        <w:t>Assessment Requirements for MSTGN6010 Manage TCF product development</w:t>
      </w:r>
    </w:p>
    <w:p w:rsidR="00000000" w:rsidRPr="00E42870" w:rsidP="00E42870">
      <w:pPr>
        <w:pStyle w:val="Heading1"/>
      </w:pPr>
      <w:bookmarkStart w:id="1" w:name="O_1257288"/>
      <w:bookmarkEnd w:id="1"/>
      <w:r w:rsidRPr="00E42870">
        <w:t>Modification History</w:t>
      </w:r>
    </w:p>
    <w:p w:rsidR="00000000" w:rsidRPr="00E42870" w:rsidP="00733B12">
      <w:pPr>
        <w:pStyle w:val="BodyText"/>
      </w:pPr>
      <w:r w:rsidRPr="00E42870">
        <w:t>Release 1. Unit Code, Title and Application changed. Title changed to broa</w:t>
      </w:r>
      <w:r w:rsidRPr="00E42870">
        <w:t>den application. Element 1 removed . Foundation Skills field populated. Range of Conditions removed with relevant information moved to Knowledge Evidence. Assessment Requirements clarified with generic foundation skills statements moved to appropriate sect</w:t>
      </w:r>
      <w:r w:rsidRPr="00E42870">
        <w:t>ion and duplication with Performance Criteria removed. Supersedes and is not equivalent to MSTFD6002 Manage product development of fashion designs.</w:t>
      </w:r>
    </w:p>
    <w:p w:rsidR="00000000" w:rsidRPr="00E42870" w:rsidP="00E42870">
      <w:pPr>
        <w:pStyle w:val="Heading1"/>
      </w:pPr>
      <w:bookmarkStart w:id="2" w:name="O_1257289"/>
      <w:bookmarkEnd w:id="2"/>
      <w:r w:rsidRPr="00E42870">
        <w:t>Performance Evidence</w:t>
      </w:r>
    </w:p>
    <w:p w:rsidR="00000000" w:rsidRPr="00E42870" w:rsidP="00733B12">
      <w:pPr>
        <w:pStyle w:val="BodyText"/>
      </w:pPr>
      <w:r w:rsidRPr="00E42870">
        <w:t>There must be evidence the candidate has completed the tasks outline</w:t>
      </w:r>
      <w:r w:rsidRPr="00E42870">
        <w:t>d in the elements and performance criteria of this unit, and demonstrated the ability to:</w:t>
      </w:r>
    </w:p>
    <w:p w:rsidR="00733B12" w:rsidP="00E42870">
      <w:pPr>
        <w:pStyle w:val="ListBullet"/>
      </w:pPr>
      <w:r w:rsidRPr="00E42870">
        <w:t>plan and manage the product development process for at least two textiles, clothing and footwear (TCF) products or a small range.</w:t>
      </w:r>
    </w:p>
    <w:p w:rsidR="00733B12" w:rsidP="00E42870">
      <w:pPr>
        <w:pStyle w:val="ListBullet"/>
      </w:pPr>
    </w:p>
    <w:p w:rsidR="00000000" w:rsidRPr="00E42870" w:rsidP="00E42870">
      <w:pPr>
        <w:pStyle w:val="Heading1"/>
      </w:pPr>
      <w:bookmarkStart w:id="3" w:name="O_1257290"/>
      <w:bookmarkEnd w:id="3"/>
      <w:r w:rsidRPr="00E42870">
        <w:t>Knowledge Evide</w:t>
      </w:r>
      <w:r w:rsidRPr="00E42870">
        <w:t>nce</w:t>
      </w:r>
    </w:p>
    <w:p w:rsidR="00000000" w:rsidRPr="00E42870" w:rsidP="00733B12">
      <w:pPr>
        <w:pStyle w:val="BodyText"/>
      </w:pPr>
      <w:r w:rsidRPr="00E42870">
        <w:t>There must be evidence the candidate has knowledge of:</w:t>
      </w:r>
    </w:p>
    <w:p w:rsidR="00000000" w:rsidRPr="00E42870" w:rsidP="00E42870">
      <w:pPr>
        <w:pStyle w:val="ListBullet"/>
      </w:pPr>
      <w:r w:rsidRPr="00E42870">
        <w:t>current and emerging TCF design and production processes, including:</w:t>
      </w:r>
    </w:p>
    <w:p w:rsidR="00000000" w:rsidRPr="00E42870" w:rsidP="00E42870">
      <w:pPr>
        <w:pStyle w:val="ListBullet2"/>
      </w:pPr>
      <w:r w:rsidRPr="00E42870">
        <w:t>customisation models/supply chains</w:t>
      </w:r>
    </w:p>
    <w:p w:rsidR="00000000" w:rsidRPr="00E42870" w:rsidP="00E42870">
      <w:pPr>
        <w:pStyle w:val="ListBullet2"/>
      </w:pPr>
      <w:r w:rsidRPr="00E42870">
        <w:t>demand-led production</w:t>
      </w:r>
    </w:p>
    <w:p w:rsidR="00000000" w:rsidRPr="00E42870" w:rsidP="00E42870">
      <w:pPr>
        <w:pStyle w:val="ListBullet2"/>
      </w:pPr>
      <w:r w:rsidRPr="00E42870">
        <w:t>digital/virtual prototyping</w:t>
      </w:r>
    </w:p>
    <w:p w:rsidR="00000000" w:rsidRPr="00E42870" w:rsidP="00E42870">
      <w:pPr>
        <w:pStyle w:val="ListBullet2"/>
      </w:pPr>
      <w:r w:rsidRPr="00E42870">
        <w:t xml:space="preserve">product service and life-extending systems </w:t>
      </w:r>
    </w:p>
    <w:p w:rsidR="00000000" w:rsidRPr="00E42870" w:rsidP="00E42870">
      <w:pPr>
        <w:pStyle w:val="ListBullet2"/>
      </w:pPr>
      <w:r w:rsidRPr="00E42870">
        <w:t>circular/open/closed loop supply chains</w:t>
      </w:r>
    </w:p>
    <w:p w:rsidR="00000000" w:rsidRPr="00E42870" w:rsidP="00E42870">
      <w:pPr>
        <w:pStyle w:val="ListBullet"/>
      </w:pPr>
      <w:r w:rsidRPr="00E42870">
        <w:t>key personnel involved in product development and their respective roles</w:t>
      </w:r>
    </w:p>
    <w:p w:rsidR="00000000" w:rsidRPr="00E42870" w:rsidP="00E42870">
      <w:pPr>
        <w:pStyle w:val="ListBullet"/>
      </w:pPr>
      <w:r w:rsidRPr="00E42870">
        <w:t>requirements of product development, including:</w:t>
      </w:r>
    </w:p>
    <w:p w:rsidR="00000000" w:rsidRPr="00E42870" w:rsidP="00E42870">
      <w:pPr>
        <w:pStyle w:val="ListBullet2"/>
      </w:pPr>
      <w:r w:rsidRPr="00E42870">
        <w:t>assigning of tasks according to available experti</w:t>
      </w:r>
      <w:r w:rsidRPr="00E42870">
        <w:t>se and production requirements</w:t>
      </w:r>
    </w:p>
    <w:p w:rsidR="00000000" w:rsidRPr="00E42870" w:rsidP="00E42870">
      <w:pPr>
        <w:pStyle w:val="ListBullet2"/>
      </w:pPr>
      <w:r w:rsidRPr="00E42870">
        <w:t>conveying information relating to standards, constraints, preferred processes, designs and techniques to team</w:t>
      </w:r>
    </w:p>
    <w:p w:rsidR="00000000" w:rsidRPr="00E42870" w:rsidP="00E42870">
      <w:pPr>
        <w:pStyle w:val="ListBullet2"/>
      </w:pPr>
      <w:r w:rsidRPr="00E42870">
        <w:t>analysing design specification sheet, drawings, samples and patterns with team</w:t>
      </w:r>
    </w:p>
    <w:p w:rsidR="00000000" w:rsidRPr="00E42870" w:rsidP="00E42870">
      <w:pPr>
        <w:pStyle w:val="ListBullet2"/>
      </w:pPr>
      <w:r w:rsidRPr="00E42870">
        <w:t>establishing relevant technical, mon</w:t>
      </w:r>
      <w:r w:rsidRPr="00E42870">
        <w:t>itoring and reporting procedures</w:t>
      </w:r>
    </w:p>
    <w:p w:rsidR="00000000" w:rsidRPr="00E42870" w:rsidP="00E42870">
      <w:pPr>
        <w:pStyle w:val="ListBullet2"/>
      </w:pPr>
      <w:r w:rsidRPr="00E42870">
        <w:t>checking pattern, sizing, materials and construction comply with design specifications</w:t>
      </w:r>
    </w:p>
    <w:p w:rsidR="00000000" w:rsidRPr="00E42870" w:rsidP="00E42870">
      <w:pPr>
        <w:pStyle w:val="ListBullet"/>
      </w:pPr>
      <w:r w:rsidRPr="00E42870">
        <w:t>planning techniques and tools and how these are used in management of product development, including:</w:t>
      </w:r>
    </w:p>
    <w:p w:rsidR="00000000" w:rsidRPr="00E42870" w:rsidP="00E42870">
      <w:pPr>
        <w:pStyle w:val="ListBullet2"/>
      </w:pPr>
      <w:r w:rsidRPr="00E42870">
        <w:t>setting goals and defined outcom</w:t>
      </w:r>
      <w:r w:rsidRPr="00E42870">
        <w:t>es</w:t>
      </w:r>
    </w:p>
    <w:p w:rsidR="00000000" w:rsidRPr="00E42870" w:rsidP="00E42870">
      <w:pPr>
        <w:pStyle w:val="ListBullet2"/>
      </w:pPr>
      <w:r w:rsidRPr="00E42870">
        <w:t>developing a critical path and key components of a critical path</w:t>
      </w:r>
    </w:p>
    <w:p w:rsidR="00000000" w:rsidRPr="00E42870" w:rsidP="00E42870">
      <w:pPr>
        <w:pStyle w:val="ListBullet2"/>
      </w:pPr>
      <w:r w:rsidRPr="00E42870">
        <w:t>scheduling and prioritising</w:t>
      </w:r>
    </w:p>
    <w:p w:rsidR="00000000" w:rsidRPr="00E42870" w:rsidP="00E42870">
      <w:pPr>
        <w:pStyle w:val="ListBullet2"/>
      </w:pPr>
      <w:r w:rsidRPr="00E42870">
        <w:t>time management</w:t>
      </w:r>
    </w:p>
    <w:p w:rsidR="00000000" w:rsidRPr="00E42870" w:rsidP="00E42870">
      <w:pPr>
        <w:pStyle w:val="ListBullet2"/>
      </w:pPr>
      <w:r w:rsidRPr="00E42870">
        <w:t>brainstorming and collaboration</w:t>
      </w:r>
    </w:p>
    <w:p w:rsidR="00000000" w:rsidRPr="00E42870" w:rsidP="00E42870">
      <w:pPr>
        <w:pStyle w:val="ListBullet2"/>
      </w:pPr>
      <w:r w:rsidRPr="00E42870">
        <w:t>review and evaluation strategies</w:t>
      </w:r>
    </w:p>
    <w:p w:rsidR="00000000" w:rsidRPr="00E42870" w:rsidP="00E42870">
      <w:pPr>
        <w:pStyle w:val="ListBullet"/>
      </w:pPr>
      <w:r w:rsidRPr="00E42870">
        <w:t>process improvement and efficient production techniques and systems</w:t>
      </w:r>
    </w:p>
    <w:p w:rsidR="00000000" w:rsidRPr="00E42870" w:rsidP="00E42870">
      <w:pPr>
        <w:pStyle w:val="ListBullet"/>
      </w:pPr>
      <w:r w:rsidRPr="00E42870">
        <w:t>production control and efficiency processes</w:t>
      </w:r>
    </w:p>
    <w:p w:rsidR="00000000" w:rsidRPr="00E42870" w:rsidP="00E42870">
      <w:pPr>
        <w:pStyle w:val="ListBullet"/>
      </w:pPr>
      <w:r w:rsidRPr="00E42870">
        <w:t>costing and budgeting processes</w:t>
      </w:r>
    </w:p>
    <w:p w:rsidR="00733B12" w:rsidP="00E42870">
      <w:pPr>
        <w:pStyle w:val="ListBullet"/>
      </w:pPr>
      <w:r w:rsidRPr="00E42870">
        <w:t>quality assurance processes for different stages of the product development process.</w:t>
      </w:r>
    </w:p>
    <w:p w:rsidR="00733B12" w:rsidP="00E42870">
      <w:pPr>
        <w:pStyle w:val="ListBullet"/>
      </w:pPr>
    </w:p>
    <w:p w:rsidR="00000000" w:rsidRPr="00E42870" w:rsidP="00E42870">
      <w:pPr>
        <w:pStyle w:val="Heading1"/>
      </w:pPr>
      <w:bookmarkStart w:id="4" w:name="O_1257291"/>
      <w:bookmarkEnd w:id="4"/>
      <w:r w:rsidRPr="00E42870">
        <w:t>Assessment Conditions</w:t>
      </w:r>
    </w:p>
    <w:p w:rsidR="00000000" w:rsidRPr="00E42870" w:rsidP="00733B12">
      <w:pPr>
        <w:pStyle w:val="BodyText"/>
      </w:pPr>
      <w:r w:rsidRPr="00E42870">
        <w:t>Skills must have been demonstrated in the workplace o</w:t>
      </w:r>
      <w:r w:rsidRPr="00E42870">
        <w:t>r in a simulated environment that reflects workplace conditions and contingencies. The following conditions must be met for this unit:</w:t>
      </w:r>
    </w:p>
    <w:p w:rsidR="00000000" w:rsidRPr="00E42870" w:rsidP="00E42870">
      <w:pPr>
        <w:pStyle w:val="ListBullet"/>
      </w:pPr>
      <w:r w:rsidRPr="00E42870">
        <w:t>use of suitable facilities, equipment and resources, including:</w:t>
      </w:r>
    </w:p>
    <w:p w:rsidR="00000000" w:rsidRPr="00E42870" w:rsidP="00E42870">
      <w:pPr>
        <w:pStyle w:val="ListBullet2"/>
      </w:pPr>
      <w:r w:rsidRPr="00E42870">
        <w:t>information technology.</w:t>
      </w:r>
    </w:p>
    <w:p w:rsidR="00733B12" w:rsidP="00733B12">
      <w:pPr>
        <w:pStyle w:val="BodyText"/>
      </w:pPr>
      <w:r w:rsidRPr="00E42870">
        <w:t>Assessors must satisfy the NVR/</w:t>
      </w:r>
      <w:r w:rsidRPr="00E42870">
        <w:t>AQTF mandatory competency requirements for assessors.</w:t>
      </w:r>
    </w:p>
    <w:p w:rsidR="00000000" w:rsidRPr="00E42870" w:rsidP="00E42870">
      <w:pPr>
        <w:pStyle w:val="Heading1"/>
      </w:pPr>
      <w:bookmarkStart w:id="5" w:name="O_1257294"/>
      <w:bookmarkEnd w:id="5"/>
      <w:r w:rsidRPr="00E42870">
        <w:t>Links</w:t>
      </w:r>
    </w:p>
    <w:p w:rsidR="00000000" w:rsidRPr="00E42870" w:rsidP="00733B12">
      <w:pPr>
        <w:pStyle w:val="BodyText"/>
      </w:pPr>
      <w:r w:rsidRPr="00E4287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97C5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42870" w:rsidP="00E42870"/>
    <w:sectPr w:rsidSect="00E428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0" w:rsidRPr="00733B12" w:rsidP="00733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12" w:rsidP="00E42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B12" w:rsidP="00E42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3B12" w:rsidP="00E42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870" w:rsidRPr="00733B12" w:rsidP="00733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12" w:rsidRPr="002D2AF8" w:rsidP="00E42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MSTGN6010 Manage TCF product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33B12" w:rsidP="00E42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A9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AD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145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870"/>
  </w:style>
  <w:style w:type="character" w:customStyle="1" w:styleId="Heading1Char">
    <w:name w:val="Heading 1 Char"/>
    <w:basedOn w:val="DefaultParagraphFont"/>
    <w:link w:val="Heading1"/>
    <w:rsid w:val="00E42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8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28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2870"/>
    <w:rPr>
      <w:b/>
      <w:spacing w:val="0"/>
    </w:rPr>
  </w:style>
  <w:style w:type="paragraph" w:customStyle="1" w:styleId="SuperTitle">
    <w:name w:val="SuperTitle"/>
    <w:basedOn w:val="Title"/>
    <w:rsid w:val="00E42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870"/>
    <w:rPr>
      <w:i/>
    </w:rPr>
  </w:style>
  <w:style w:type="paragraph" w:styleId="Caption">
    <w:name w:val="caption"/>
    <w:basedOn w:val="BodyText"/>
    <w:next w:val="Normal"/>
    <w:qFormat/>
    <w:rsid w:val="00E42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870"/>
  </w:style>
  <w:style w:type="paragraph" w:styleId="TableofFigures">
    <w:name w:val="table of figures"/>
    <w:basedOn w:val="Normal"/>
    <w:next w:val="Normal"/>
    <w:semiHidden/>
    <w:rsid w:val="00E42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8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870"/>
    <w:rPr>
      <w:rFonts w:ascii="Wingdings" w:hAnsi="Wingdings"/>
    </w:rPr>
  </w:style>
  <w:style w:type="paragraph" w:customStyle="1" w:styleId="TableHeading">
    <w:name w:val="Table Heading"/>
    <w:basedOn w:val="HeadingBase"/>
    <w:rsid w:val="00E42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870"/>
    <w:rPr>
      <w:color w:val="0033CC"/>
      <w:u w:val="none"/>
    </w:rPr>
  </w:style>
  <w:style w:type="paragraph" w:customStyle="1" w:styleId="BodyTextRight">
    <w:name w:val="Body Text Right"/>
    <w:basedOn w:val="BodyText"/>
    <w:rsid w:val="00E42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8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870"/>
    <w:rPr>
      <w:sz w:val="32"/>
    </w:rPr>
  </w:style>
  <w:style w:type="paragraph" w:customStyle="1" w:styleId="HeadingProcedure">
    <w:name w:val="Heading Procedure"/>
    <w:basedOn w:val="HeadingBase"/>
    <w:next w:val="Normal"/>
    <w:rsid w:val="00E42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870"/>
    <w:pPr>
      <w:spacing w:before="60" w:after="60"/>
    </w:pPr>
  </w:style>
  <w:style w:type="paragraph" w:styleId="ListContinue">
    <w:name w:val="List Continue"/>
    <w:basedOn w:val="List"/>
    <w:rsid w:val="00E42870"/>
    <w:pPr>
      <w:ind w:firstLine="0"/>
    </w:pPr>
  </w:style>
  <w:style w:type="paragraph" w:customStyle="1" w:styleId="ListNote">
    <w:name w:val="List Note"/>
    <w:basedOn w:val="List"/>
    <w:rsid w:val="00E42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870"/>
    <w:rPr>
      <w:rFonts w:ascii="Courier New" w:hAnsi="Courier New"/>
    </w:rPr>
  </w:style>
  <w:style w:type="paragraph" w:customStyle="1" w:styleId="NoteBullet">
    <w:name w:val="Note Bullet"/>
    <w:basedOn w:val="Note"/>
    <w:rsid w:val="00E42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870"/>
    <w:rPr>
      <w:b/>
      <w:smallCaps/>
    </w:rPr>
  </w:style>
  <w:style w:type="paragraph" w:customStyle="1" w:styleId="TableListNumber">
    <w:name w:val="Table List Number"/>
    <w:basedOn w:val="ListNumber"/>
    <w:rsid w:val="00E42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870"/>
    <w:pPr>
      <w:numPr>
        <w:numId w:val="9"/>
      </w:numPr>
    </w:pPr>
  </w:style>
  <w:style w:type="paragraph" w:customStyle="1" w:styleId="ListAlpha2">
    <w:name w:val="List Alpha 2"/>
    <w:basedOn w:val="List2"/>
    <w:rsid w:val="00E42870"/>
    <w:pPr>
      <w:numPr>
        <w:numId w:val="8"/>
      </w:numPr>
    </w:pPr>
  </w:style>
  <w:style w:type="paragraph" w:styleId="List2">
    <w:name w:val="List 2"/>
    <w:basedOn w:val="BodyText"/>
    <w:rsid w:val="00E42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8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870"/>
    <w:pPr>
      <w:numPr>
        <w:numId w:val="4"/>
      </w:numPr>
    </w:pPr>
  </w:style>
  <w:style w:type="paragraph" w:styleId="ListContinue2">
    <w:name w:val="List Continue 2"/>
    <w:basedOn w:val="List2"/>
    <w:rsid w:val="00E42870"/>
    <w:pPr>
      <w:ind w:firstLine="0"/>
    </w:pPr>
  </w:style>
  <w:style w:type="paragraph" w:styleId="ListContinue3">
    <w:name w:val="List Continue 3"/>
    <w:basedOn w:val="List3"/>
    <w:rsid w:val="00E42870"/>
    <w:pPr>
      <w:ind w:left="1021" w:firstLine="0"/>
    </w:pPr>
  </w:style>
  <w:style w:type="paragraph" w:styleId="ListContinue4">
    <w:name w:val="List Continue 4"/>
    <w:basedOn w:val="List4"/>
    <w:rsid w:val="00E42870"/>
    <w:pPr>
      <w:ind w:firstLine="0"/>
    </w:pPr>
  </w:style>
  <w:style w:type="paragraph" w:styleId="ListContinue5">
    <w:name w:val="List Continue 5"/>
    <w:basedOn w:val="List5"/>
    <w:rsid w:val="00E42870"/>
    <w:pPr>
      <w:ind w:firstLine="0"/>
    </w:pPr>
  </w:style>
  <w:style w:type="paragraph" w:styleId="ListNumber3">
    <w:name w:val="List Number 3"/>
    <w:basedOn w:val="List3"/>
    <w:rsid w:val="00E42870"/>
    <w:pPr>
      <w:numPr>
        <w:numId w:val="5"/>
      </w:numPr>
    </w:pPr>
  </w:style>
  <w:style w:type="paragraph" w:styleId="ListNumber4">
    <w:name w:val="List Number 4"/>
    <w:basedOn w:val="List4"/>
    <w:rsid w:val="00E42870"/>
    <w:pPr>
      <w:numPr>
        <w:numId w:val="6"/>
      </w:numPr>
    </w:pPr>
  </w:style>
  <w:style w:type="paragraph" w:styleId="ListNumber5">
    <w:name w:val="List Number 5"/>
    <w:basedOn w:val="List5"/>
    <w:rsid w:val="00E42870"/>
    <w:pPr>
      <w:numPr>
        <w:numId w:val="7"/>
      </w:numPr>
    </w:pPr>
  </w:style>
  <w:style w:type="paragraph" w:styleId="BlockText">
    <w:name w:val="Block Text"/>
    <w:basedOn w:val="Normal"/>
    <w:rsid w:val="00E42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870"/>
    <w:rPr>
      <w:sz w:val="16"/>
      <w:vertAlign w:val="superscript"/>
    </w:rPr>
  </w:style>
  <w:style w:type="character" w:customStyle="1" w:styleId="Symbols">
    <w:name w:val="Symbols"/>
    <w:basedOn w:val="DefaultParagraphFont"/>
    <w:rsid w:val="00E42870"/>
    <w:rPr>
      <w:rFonts w:ascii="Symbol" w:hAnsi="Symbol"/>
    </w:rPr>
  </w:style>
  <w:style w:type="character" w:customStyle="1" w:styleId="MenuOptions">
    <w:name w:val="Menu Options"/>
    <w:basedOn w:val="DefaultParagraphFont"/>
    <w:rsid w:val="00E42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870"/>
    <w:rPr>
      <w:b/>
    </w:rPr>
  </w:style>
  <w:style w:type="character" w:customStyle="1" w:styleId="Underlined">
    <w:name w:val="Underlined"/>
    <w:basedOn w:val="DefaultParagraphFont"/>
    <w:rsid w:val="00E42870"/>
    <w:rPr>
      <w:u w:val="single"/>
    </w:rPr>
  </w:style>
  <w:style w:type="paragraph" w:customStyle="1" w:styleId="TableBodyTextRight">
    <w:name w:val="Table Body Text Right"/>
    <w:basedOn w:val="TableBodyText"/>
    <w:rsid w:val="00E42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870"/>
    <w:rPr>
      <w:sz w:val="18"/>
    </w:rPr>
  </w:style>
  <w:style w:type="paragraph" w:customStyle="1" w:styleId="BodySmallRight">
    <w:name w:val="Body Small Right"/>
    <w:basedOn w:val="BodyTextRight"/>
    <w:rsid w:val="00E42870"/>
    <w:rPr>
      <w:sz w:val="18"/>
      <w:szCs w:val="18"/>
    </w:rPr>
  </w:style>
  <w:style w:type="paragraph" w:customStyle="1" w:styleId="MarginEdition">
    <w:name w:val="Margin Edition"/>
    <w:basedOn w:val="MarginNote"/>
    <w:rsid w:val="00E42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870"/>
    <w:rPr>
      <w:sz w:val="2"/>
      <w:szCs w:val="2"/>
    </w:rPr>
  </w:style>
  <w:style w:type="character" w:customStyle="1" w:styleId="Small">
    <w:name w:val="Small"/>
    <w:basedOn w:val="DefaultParagraphFont"/>
    <w:rsid w:val="00E42870"/>
    <w:rPr>
      <w:sz w:val="16"/>
    </w:rPr>
  </w:style>
  <w:style w:type="paragraph" w:customStyle="1" w:styleId="WideTable">
    <w:name w:val="Wide Table"/>
    <w:basedOn w:val="Normal"/>
    <w:rsid w:val="00E42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870"/>
  </w:style>
  <w:style w:type="paragraph" w:styleId="Quote">
    <w:name w:val="Quote"/>
    <w:basedOn w:val="Heading1"/>
    <w:link w:val="QuoteChar"/>
    <w:qFormat/>
    <w:rsid w:val="00E42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870"/>
    <w:pPr>
      <w:pageBreakBefore/>
    </w:pPr>
  </w:style>
  <w:style w:type="paragraph" w:customStyle="1" w:styleId="Border">
    <w:name w:val="Border"/>
    <w:basedOn w:val="Normal"/>
    <w:qFormat/>
    <w:rsid w:val="00E42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870"/>
    <w:rPr>
      <w:u w:val="single"/>
    </w:rPr>
  </w:style>
  <w:style w:type="character" w:customStyle="1" w:styleId="BoldandItalics">
    <w:name w:val="Bold and Italics"/>
    <w:qFormat/>
    <w:rsid w:val="00E42870"/>
    <w:rPr>
      <w:b/>
      <w:i/>
      <w:u w:val="none"/>
    </w:rPr>
  </w:style>
  <w:style w:type="paragraph" w:styleId="BalloonText">
    <w:name w:val="Balloon Text"/>
    <w:basedOn w:val="Normal"/>
    <w:link w:val="BalloonTextChar"/>
    <w:rsid w:val="00E42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870"/>
    <w:pPr>
      <w:spacing w:before="0" w:after="0"/>
    </w:pPr>
  </w:style>
  <w:style w:type="paragraph" w:customStyle="1" w:styleId="BodyTextBold">
    <w:name w:val="Body Text Bold"/>
    <w:basedOn w:val="BodyText"/>
    <w:qFormat/>
    <w:rsid w:val="00E42870"/>
    <w:rPr>
      <w:b/>
    </w:rPr>
  </w:style>
  <w:style w:type="character" w:styleId="Hyperlink">
    <w:name w:val="Hyperlink"/>
    <w:basedOn w:val="DefaultParagraphFont"/>
    <w:uiPriority w:val="99"/>
    <w:unhideWhenUsed/>
    <w:rsid w:val="00733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2683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MSTGN6010 Manage TCF product development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