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0DC" w:rsidP="00B62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MSTGN6007 Manage production processes</w:t>
      </w:r>
      <w:r>
        <w:fldChar w:fldCharType="end"/>
      </w:r>
    </w:p>
    <w:p w:rsidR="00B620DC" w:rsidP="00B620DC">
      <w:pPr>
        <w:pStyle w:val="Version"/>
        <w:sectPr w:rsidSect="001516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1660" w:rsidP="00151660">
      <w:pPr>
        <w:pStyle w:val="SuperHeading"/>
      </w:pPr>
      <w:r w:rsidRPr="00151660">
        <w:t>MSTGN6007 Manage production processes</w:t>
      </w:r>
    </w:p>
    <w:p w:rsidR="00000000" w:rsidRPr="00151660" w:rsidP="00151660">
      <w:pPr>
        <w:pStyle w:val="Heading1"/>
      </w:pPr>
      <w:bookmarkStart w:id="1" w:name="O_1037020"/>
      <w:bookmarkEnd w:id="1"/>
      <w:r w:rsidRPr="00151660">
        <w:t>Modification History</w:t>
      </w:r>
    </w:p>
    <w:p w:rsidR="00000000" w:rsidRPr="00151660" w:rsidP="00B620DC">
      <w:pPr>
        <w:pStyle w:val="BodyText"/>
      </w:pPr>
      <w:r w:rsidRPr="00151660">
        <w:t>Release 1. Supersedes and is equivalent to MSTGN6005 Manage production processes.</w:t>
      </w:r>
    </w:p>
    <w:p w:rsidR="00000000" w:rsidRPr="00151660" w:rsidP="00B620DC">
      <w:pPr>
        <w:pStyle w:val="BodyText"/>
      </w:pPr>
      <w:r w:rsidRPr="00151660">
        <w:t>Unit code changed. Range of conditions removed. Foundation skills information added. Assessment requirements amended. Equivalent outcome.</w:t>
      </w:r>
    </w:p>
    <w:p w:rsidR="00000000" w:rsidRPr="00151660" w:rsidP="00151660">
      <w:pPr>
        <w:pStyle w:val="Heading1"/>
      </w:pPr>
      <w:bookmarkStart w:id="2" w:name="O_1037021"/>
      <w:bookmarkEnd w:id="2"/>
      <w:r w:rsidRPr="00151660">
        <w:t>Application</w:t>
      </w:r>
    </w:p>
    <w:p w:rsidR="00000000" w:rsidRPr="00151660" w:rsidP="00B620DC">
      <w:pPr>
        <w:pStyle w:val="BodyText"/>
      </w:pPr>
      <w:r w:rsidRPr="00151660">
        <w:t>This unit of competency describes the skills and knowledge required to manage a production facility in a textiles, clothing and footwear (TCF) workplace.</w:t>
      </w:r>
    </w:p>
    <w:p w:rsidR="00000000" w:rsidRPr="00151660" w:rsidP="00B620DC">
      <w:pPr>
        <w:pStyle w:val="BodyText"/>
      </w:pPr>
      <w:r w:rsidRPr="00151660">
        <w:t xml:space="preserve">The unit requires judgement in planning, technical and supervisory activities related </w:t>
      </w:r>
      <w:r w:rsidRPr="00151660">
        <w:t>to operations and processes in substantially non-routine situations. Work is performed under limited guidance in line with a broad plan, budget or strategy as part of the major functional area or in highly specialised situations requiring a range of skills</w:t>
      </w:r>
      <w:r w:rsidRPr="00151660">
        <w:t>. Work may be conducted in small to large scale workplaces in all sectors of the TCF industry and may involve individual and team activities.</w:t>
      </w:r>
    </w:p>
    <w:p w:rsidR="00000000" w:rsidRPr="00151660" w:rsidP="00B620DC">
      <w:pPr>
        <w:pStyle w:val="BodyText"/>
      </w:pPr>
      <w:r w:rsidRPr="00151660">
        <w:t>No licensing, legislative or certification requirements apply to this unit at the time of publication.</w:t>
      </w:r>
    </w:p>
    <w:p w:rsidR="00000000" w:rsidRPr="00151660" w:rsidP="00151660">
      <w:pPr>
        <w:pStyle w:val="Heading1"/>
      </w:pPr>
      <w:bookmarkStart w:id="3" w:name="O_1037022"/>
      <w:bookmarkEnd w:id="3"/>
      <w:r w:rsidRPr="00151660">
        <w:t>Pre-requisite Unit</w:t>
      </w:r>
    </w:p>
    <w:p w:rsidR="00000000" w:rsidRPr="00151660" w:rsidP="00B620DC">
      <w:pPr>
        <w:pStyle w:val="BodyText"/>
      </w:pPr>
      <w:r w:rsidRPr="00151660">
        <w:t>N/A</w:t>
      </w:r>
    </w:p>
    <w:p w:rsidR="00000000" w:rsidRPr="00151660" w:rsidP="00151660">
      <w:pPr>
        <w:pStyle w:val="Heading1"/>
      </w:pPr>
      <w:bookmarkStart w:id="4" w:name="O_1037024"/>
      <w:bookmarkEnd w:id="4"/>
      <w:r w:rsidRPr="00151660">
        <w:t>Unit Sector</w:t>
      </w:r>
    </w:p>
    <w:p w:rsidR="00000000" w:rsidRPr="00151660" w:rsidP="00B620DC">
      <w:pPr>
        <w:pStyle w:val="BodyText"/>
      </w:pPr>
      <w:r w:rsidRPr="00151660">
        <w:t>Generic</w:t>
      </w:r>
    </w:p>
    <w:p w:rsidR="00000000" w:rsidRPr="00151660" w:rsidP="00151660">
      <w:pPr>
        <w:pStyle w:val="Heading1"/>
      </w:pPr>
      <w:bookmarkStart w:id="5" w:name="O_1037025"/>
      <w:bookmarkEnd w:id="5"/>
      <w:r w:rsidRPr="00151660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712"/>
        <w:gridCol w:w="6168"/>
      </w:tblGrid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660" w:rsidP="00151660">
            <w:pPr>
              <w:pStyle w:val="BodyText"/>
            </w:pPr>
            <w:r w:rsidRPr="00151660">
              <w:rPr>
                <w:rStyle w:val="SpecialBold"/>
              </w:rPr>
              <w:t>Elements</w:t>
            </w:r>
          </w:p>
        </w:tc>
        <w:tc>
          <w:tcPr>
            <w:tcW w:w="688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rPr>
                <w:rStyle w:val="SpecialBold"/>
              </w:rPr>
              <w:t>Performance Criteria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Elements describe the essential outcomes.</w:t>
            </w:r>
          </w:p>
        </w:tc>
        <w:tc>
          <w:tcPr>
            <w:tcW w:w="68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Performance criteria describe the performance needed to demonstrate achievement of the element.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1. Review production scheduling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1.1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 xml:space="preserve">Review production schedule to determine effective machinery operation, time and cost efficiency in the use of facilities, </w:t>
            </w:r>
            <w:r w:rsidRPr="00151660">
              <w:t>and suitable use of personnel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1.2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Make recommendations for improvement and change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1.3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 xml:space="preserve">Modify schedule according to recommendations, production </w:t>
            </w:r>
            <w:r w:rsidRPr="00151660">
              <w:t>requirements and workplace procedures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2. Facilitate resolution of work flow problem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2.1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Facilitate meetings to identify methods to solve process and work flow problems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2.2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Use knowledge of process improvement and efficient production techniques and systems to assist in identifying and resolving process and work flow problems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2.3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Negotiate options to resolve production problems with team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2.4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Implement recommended problem-resolution option, in line with work health and safety (WHS) practices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3. Monitor production improvements and variations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3.1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Monitor improvements and variations</w:t>
            </w:r>
            <w:r w:rsidRPr="00151660">
              <w:t xml:space="preserve"> to production to ensure outcomes meet specifications, production schedule, workplace requirements, according to WHS requirements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3.2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Collate and analyse data to evaluate effectiveness of production improvements and variations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3.3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 xml:space="preserve">Make decisions on improvements and variations to production within limits of own responsibility 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4. Create records and reports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4.1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Maintain management records and prepare reports</w:t>
            </w:r>
          </w:p>
        </w:tc>
      </w:tr>
      <w:tr w:rsidTr="00151660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1660">
            <w:pPr>
              <w:pStyle w:val="BodyText"/>
              <w:rPr>
                <w:lang w:val="en-NZ"/>
              </w:rPr>
            </w:pPr>
            <w:r w:rsidRPr="00151660">
              <w:t>4.2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1660" w:rsidP="00151660">
            <w:pPr>
              <w:pStyle w:val="BodyText"/>
            </w:pPr>
            <w:r w:rsidRPr="00151660">
              <w:t>Make presentations on production performance and developments at manag</w:t>
            </w:r>
            <w:r w:rsidRPr="00151660">
              <w:t xml:space="preserve">ement meetings </w:t>
            </w:r>
          </w:p>
        </w:tc>
      </w:tr>
    </w:tbl>
    <w:p w:rsidR="00000000" w:rsidRPr="00151660" w:rsidP="00151660">
      <w:pPr>
        <w:pStyle w:val="BodyText"/>
      </w:pPr>
    </w:p>
    <w:p w:rsidR="00000000" w:rsidRPr="00151660" w:rsidP="00151660">
      <w:pPr>
        <w:pStyle w:val="AllowPageBreak"/>
      </w:pPr>
    </w:p>
    <w:p w:rsidR="00000000" w:rsidRPr="00151660" w:rsidP="00151660">
      <w:pPr>
        <w:pStyle w:val="Heading1"/>
      </w:pPr>
      <w:bookmarkStart w:id="6" w:name="O_1037026"/>
      <w:bookmarkEnd w:id="6"/>
      <w:r w:rsidRPr="00151660">
        <w:t>Foundation Skills</w:t>
      </w:r>
    </w:p>
    <w:p w:rsidR="00000000" w:rsidRPr="00151660" w:rsidP="00B620DC">
      <w:pPr>
        <w:pStyle w:val="BodyText"/>
      </w:pPr>
      <w:r w:rsidRPr="00151660">
        <w:t>This section describes those language, literacy, numeracy and employment skills that are essential to performance but not explicit in the performance criteria of this unit of competency.</w:t>
      </w:r>
    </w:p>
    <w:p w:rsidR="00000000" w:rsidRPr="00151660" w:rsidP="00151660">
      <w:pPr>
        <w:pStyle w:val="ListBullet"/>
      </w:pPr>
      <w:r w:rsidRPr="00151660">
        <w:t>Oral communication skills to initiate actions and build positive relationships</w:t>
      </w:r>
    </w:p>
    <w:p w:rsidR="00000000" w:rsidRPr="00151660" w:rsidP="00151660">
      <w:pPr>
        <w:pStyle w:val="ListBullet"/>
      </w:pPr>
      <w:r w:rsidRPr="00151660">
        <w:t>Numeracy skills to analyse trends in production data</w:t>
      </w:r>
    </w:p>
    <w:p w:rsidR="00000000" w:rsidRPr="00151660" w:rsidP="00151660">
      <w:pPr>
        <w:pStyle w:val="ListBullet"/>
      </w:pPr>
      <w:r w:rsidRPr="00151660">
        <w:t>Teamwork skills to motivate, lead and stretch a production team to achieve agreed outcomes</w:t>
      </w:r>
    </w:p>
    <w:p w:rsidR="00000000" w:rsidRPr="00151660" w:rsidP="00151660">
      <w:pPr>
        <w:pStyle w:val="ListBullet"/>
      </w:pPr>
      <w:r w:rsidRPr="00151660">
        <w:t>Problem solving skills to develop</w:t>
      </w:r>
      <w:r w:rsidRPr="00151660">
        <w:t xml:space="preserve"> creative solutions to complex problems</w:t>
      </w:r>
    </w:p>
    <w:p w:rsidR="00000000" w:rsidRPr="00151660" w:rsidP="00B620DC">
      <w:pPr>
        <w:pStyle w:val="BodyText"/>
      </w:pPr>
      <w:r w:rsidRPr="00151660">
        <w:t>Other foundation skills essential to performance are explicit in the performance criteria of this unit.</w:t>
      </w:r>
    </w:p>
    <w:p w:rsidR="00000000" w:rsidRPr="00151660" w:rsidP="00151660">
      <w:pPr>
        <w:pStyle w:val="Heading1"/>
      </w:pPr>
      <w:bookmarkStart w:id="7" w:name="O_1037028"/>
      <w:bookmarkEnd w:id="7"/>
      <w:r w:rsidRPr="00151660">
        <w:t>Unit Mapping Information</w:t>
      </w:r>
    </w:p>
    <w:p w:rsidR="00B620DC" w:rsidP="00B620DC">
      <w:pPr>
        <w:pStyle w:val="BodyText"/>
      </w:pPr>
      <w:r w:rsidRPr="00151660">
        <w:t>Release 1. Supersedes and is equivalent to MSTGN6005 Manage producti</w:t>
      </w:r>
      <w:r w:rsidRPr="00151660">
        <w:t>on processes.</w:t>
      </w:r>
    </w:p>
    <w:p w:rsidR="00000000" w:rsidRPr="00151660" w:rsidP="00151660">
      <w:pPr>
        <w:pStyle w:val="Heading1"/>
      </w:pPr>
      <w:bookmarkStart w:id="8" w:name="O_1037035"/>
      <w:bookmarkEnd w:id="8"/>
      <w:r w:rsidRPr="00151660">
        <w:t>Links</w:t>
      </w:r>
    </w:p>
    <w:p w:rsidR="00000000" w:rsidRPr="00151660" w:rsidP="00B620DC">
      <w:pPr>
        <w:pStyle w:val="BodyText"/>
      </w:pPr>
      <w:r w:rsidRPr="00151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630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51660" w:rsidP="00B620DC">
      <w:pPr>
        <w:pStyle w:val="BodyText"/>
        <w:sectPr w:rsidSect="001516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1660" w:rsidP="00151660">
      <w:pPr>
        <w:pStyle w:val="SuperHeading"/>
      </w:pPr>
      <w:r w:rsidRPr="00151660">
        <w:t>Assessment Requirements</w:t>
      </w:r>
      <w:r w:rsidRPr="00151660">
        <w:t xml:space="preserve"> for MSTGN6007 Manage production processes</w:t>
      </w:r>
    </w:p>
    <w:p w:rsidR="00000000" w:rsidRPr="00151660" w:rsidP="00151660">
      <w:pPr>
        <w:pStyle w:val="Heading1"/>
      </w:pPr>
      <w:bookmarkStart w:id="9" w:name="O_1037030"/>
      <w:bookmarkEnd w:id="9"/>
      <w:r w:rsidRPr="00151660">
        <w:t>Modification History</w:t>
      </w:r>
    </w:p>
    <w:p w:rsidR="00000000" w:rsidRPr="00151660" w:rsidP="00B620DC">
      <w:pPr>
        <w:pStyle w:val="BodyText"/>
      </w:pPr>
      <w:r w:rsidRPr="00151660">
        <w:t>Release 1. Supersedes and is equivalent to MSTGN6005 Manage production processes.</w:t>
      </w:r>
    </w:p>
    <w:p w:rsidR="00000000" w:rsidRPr="00151660" w:rsidP="00B620DC">
      <w:pPr>
        <w:pStyle w:val="BodyText"/>
      </w:pPr>
      <w:r w:rsidRPr="00151660">
        <w:t>Unit code changed. Range of conditions removed. Foundation skills information added. Assessment requirements amended. Equivalent outcome.</w:t>
      </w:r>
    </w:p>
    <w:p w:rsidR="00000000" w:rsidRPr="00151660" w:rsidP="00151660">
      <w:pPr>
        <w:pStyle w:val="Heading1"/>
      </w:pPr>
      <w:bookmarkStart w:id="10" w:name="O_1037031"/>
      <w:bookmarkEnd w:id="10"/>
      <w:r w:rsidRPr="00151660">
        <w:t>Performance Evidence</w:t>
      </w:r>
    </w:p>
    <w:p w:rsidR="00000000" w:rsidRPr="00151660" w:rsidP="00B620DC">
      <w:pPr>
        <w:pStyle w:val="BodyText"/>
      </w:pPr>
      <w:r w:rsidRPr="00151660">
        <w:t>There must be evidence the candidate has completed the tasks outlined in the e</w:t>
      </w:r>
      <w:r w:rsidRPr="00151660">
        <w:t>lements, performance criteria of this unit, and:</w:t>
      </w:r>
    </w:p>
    <w:p w:rsidR="00000000" w:rsidRPr="00151660" w:rsidP="00151660">
      <w:pPr>
        <w:pStyle w:val="ListBullet"/>
      </w:pPr>
      <w:r w:rsidRPr="00151660">
        <w:t>effectively managed at least one production process to produce textile, clothing and footwear (TCF) products to achieve agreed outcomes.</w:t>
      </w:r>
    </w:p>
    <w:p w:rsidR="00000000" w:rsidRPr="00151660" w:rsidP="00151660">
      <w:pPr>
        <w:pStyle w:val="AllowPageBreak"/>
      </w:pPr>
    </w:p>
    <w:p w:rsidR="00000000" w:rsidRPr="00151660" w:rsidP="00151660">
      <w:pPr>
        <w:pStyle w:val="Heading1"/>
      </w:pPr>
      <w:bookmarkStart w:id="11" w:name="O_1037032"/>
      <w:bookmarkEnd w:id="11"/>
      <w:r w:rsidRPr="00151660">
        <w:t>Knowledge Evidence</w:t>
      </w:r>
    </w:p>
    <w:p w:rsidR="00000000" w:rsidRPr="00151660" w:rsidP="00B620DC">
      <w:pPr>
        <w:pStyle w:val="BodyText"/>
      </w:pPr>
      <w:r w:rsidRPr="00151660">
        <w:t>There must be evidence the cand</w:t>
      </w:r>
      <w:r w:rsidRPr="00151660">
        <w:t>idate has knowledge of:</w:t>
      </w:r>
    </w:p>
    <w:p w:rsidR="00000000" w:rsidRPr="00151660" w:rsidP="00151660">
      <w:pPr>
        <w:pStyle w:val="ListBullet"/>
      </w:pPr>
      <w:r w:rsidRPr="00151660">
        <w:t>work health and safety requirements specific to the work task</w:t>
      </w:r>
    </w:p>
    <w:p w:rsidR="00000000" w:rsidRPr="00151660" w:rsidP="00151660">
      <w:pPr>
        <w:pStyle w:val="ListBullet"/>
      </w:pPr>
      <w:r w:rsidRPr="00151660">
        <w:t>regulatory and industry standards for TCF products and production processes</w:t>
      </w:r>
    </w:p>
    <w:p w:rsidR="00000000" w:rsidRPr="00151660" w:rsidP="00151660">
      <w:pPr>
        <w:pStyle w:val="ListBullet"/>
      </w:pPr>
      <w:r w:rsidRPr="00151660">
        <w:t>Australian Standards relevant to workplace and production processes</w:t>
      </w:r>
    </w:p>
    <w:p w:rsidR="00000000" w:rsidRPr="00151660" w:rsidP="00151660">
      <w:pPr>
        <w:pStyle w:val="ListBullet"/>
      </w:pPr>
      <w:r w:rsidRPr="00151660">
        <w:t>management and production</w:t>
      </w:r>
      <w:r w:rsidRPr="00151660">
        <w:t xml:space="preserve"> processes, machines and production software, relevant to job role</w:t>
      </w:r>
    </w:p>
    <w:p w:rsidR="00000000" w:rsidRPr="00151660" w:rsidP="00151660">
      <w:pPr>
        <w:pStyle w:val="ListBullet"/>
      </w:pPr>
      <w:r w:rsidRPr="00151660">
        <w:t>workplace systems relating to production processes</w:t>
      </w:r>
    </w:p>
    <w:p w:rsidR="00000000" w:rsidRPr="00151660" w:rsidP="00151660">
      <w:pPr>
        <w:pStyle w:val="ListBullet"/>
      </w:pPr>
      <w:r w:rsidRPr="00151660">
        <w:t>workplace products and their make-up</w:t>
      </w:r>
    </w:p>
    <w:p w:rsidR="00000000" w:rsidRPr="00151660" w:rsidP="00151660">
      <w:pPr>
        <w:pStyle w:val="ListBullet"/>
      </w:pPr>
      <w:r w:rsidRPr="00151660">
        <w:t>work flow control techniques and methods to resolve associated work flow problems</w:t>
      </w:r>
    </w:p>
    <w:p w:rsidR="00000000" w:rsidRPr="00151660" w:rsidP="00151660">
      <w:pPr>
        <w:pStyle w:val="ListBullet"/>
      </w:pPr>
      <w:r w:rsidRPr="00151660">
        <w:t>environmental aspec</w:t>
      </w:r>
      <w:r w:rsidRPr="00151660">
        <w:t>ts of workplace activities in production process</w:t>
      </w:r>
    </w:p>
    <w:p w:rsidR="00000000" w:rsidRPr="00151660" w:rsidP="00151660">
      <w:pPr>
        <w:pStyle w:val="ListBullet"/>
      </w:pPr>
      <w:r w:rsidRPr="00151660">
        <w:t>workplace procedures and reporting or recording processes relevant to job role</w:t>
      </w:r>
    </w:p>
    <w:p w:rsidR="00000000" w:rsidRPr="00151660" w:rsidP="00151660">
      <w:pPr>
        <w:pStyle w:val="ListBullet"/>
      </w:pPr>
      <w:r w:rsidRPr="00151660">
        <w:t>regulatory requirements and codes of practice relating to managing production processes</w:t>
      </w:r>
    </w:p>
    <w:p w:rsidR="00000000" w:rsidRPr="00151660" w:rsidP="00151660">
      <w:pPr>
        <w:pStyle w:val="ListBullet"/>
      </w:pPr>
      <w:r w:rsidRPr="00151660">
        <w:t>hazard identification and control measures associated with managing production processes.</w:t>
      </w:r>
    </w:p>
    <w:p w:rsidR="00000000" w:rsidRPr="00151660" w:rsidP="00151660">
      <w:pPr>
        <w:pStyle w:val="AllowPageBreak"/>
      </w:pPr>
    </w:p>
    <w:p w:rsidR="00000000" w:rsidRPr="00151660" w:rsidP="00151660">
      <w:pPr>
        <w:pStyle w:val="Heading1"/>
      </w:pPr>
      <w:bookmarkStart w:id="12" w:name="O_1037033"/>
      <w:bookmarkEnd w:id="12"/>
      <w:r w:rsidRPr="00151660">
        <w:t>Assessment Conditions</w:t>
      </w:r>
    </w:p>
    <w:p w:rsidR="00000000" w:rsidRPr="00151660" w:rsidP="00B620DC">
      <w:pPr>
        <w:pStyle w:val="BodyText"/>
      </w:pPr>
      <w:r w:rsidRPr="00151660">
        <w:t>Skills must have been demonstrated in the workplace or in a simulated environment that reflects workplace conditions and cont</w:t>
      </w:r>
      <w:r w:rsidRPr="00151660">
        <w:t>ingencies. The following conditions must be met for this unit:</w:t>
      </w:r>
    </w:p>
    <w:p w:rsidR="00000000" w:rsidRPr="00151660" w:rsidP="00151660">
      <w:pPr>
        <w:pStyle w:val="ListBullet"/>
      </w:pPr>
      <w:r w:rsidRPr="00151660">
        <w:t>use of suitable facilities, equipment and resources, including TCF production line</w:t>
      </w:r>
    </w:p>
    <w:p w:rsidR="00000000" w:rsidRPr="00151660" w:rsidP="00151660">
      <w:pPr>
        <w:pStyle w:val="ListBullet"/>
      </w:pPr>
      <w:r w:rsidRPr="00151660">
        <w:t>modelling of industry operating conditions, including access to production team workers.</w:t>
      </w:r>
    </w:p>
    <w:p w:rsidR="00000000" w:rsidRPr="00151660" w:rsidP="00B620DC">
      <w:pPr>
        <w:pStyle w:val="BodyText"/>
      </w:pPr>
      <w:r w:rsidRPr="00151660">
        <w:t>Assessors must satis</w:t>
      </w:r>
      <w:r w:rsidRPr="00151660">
        <w:t>fy the NVR/AQTF mandatory competency requirements for assessors.</w:t>
      </w:r>
    </w:p>
    <w:p w:rsidR="00000000" w:rsidRPr="00151660" w:rsidP="00151660">
      <w:pPr>
        <w:pStyle w:val="Heading1"/>
      </w:pPr>
      <w:bookmarkStart w:id="13" w:name="O_1037036"/>
      <w:bookmarkEnd w:id="13"/>
      <w:r w:rsidRPr="00151660">
        <w:t>Links</w:t>
      </w:r>
    </w:p>
    <w:p w:rsidR="00000000" w:rsidRPr="00151660" w:rsidP="00B620DC">
      <w:pPr>
        <w:pStyle w:val="BodyText"/>
      </w:pPr>
      <w:r w:rsidRPr="001516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630A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151660" w:rsidP="00151660"/>
    <w:sectPr w:rsidSect="001516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 w:rsidRPr="00B620DC" w:rsidP="00B62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P="00151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0DC" w:rsidP="00151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620DC" w:rsidP="001516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 w:rsidP="001516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620DC">
      <w:t>Approved</w:t>
    </w:r>
    <w:r w:rsidR="00B620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620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620DC">
      <w:rPr>
        <w:noProof/>
      </w:rPr>
      <w:t>4</w:t>
    </w:r>
    <w:r>
      <w:rPr>
        <w:noProof/>
      </w:rPr>
      <w:fldChar w:fldCharType="end"/>
    </w:r>
  </w:p>
  <w:p w:rsidR="00151660" w:rsidP="001516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620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620DC">
      <w:t>Skills Insight</w:t>
    </w:r>
    <w:r w:rsidR="00B620DC">
      <w:fldChar w:fldCharType="end"/>
    </w:r>
  </w:p>
  <w:p w:rsidR="00151660" w:rsidP="001516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1660" w:rsidRPr="00B620DC" w:rsidP="00B62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0DC" w:rsidRPr="002D2AF8" w:rsidP="00151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MSTGN6007 Manage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620DC" w:rsidP="001516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660" w:rsidRPr="002D2AF8" w:rsidP="001516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620DC">
      <w:t>MSTGN6007 Manage production processes</w:t>
    </w:r>
    <w:r w:rsidR="00B620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620DC">
      <w:rPr>
        <w:noProof/>
      </w:rPr>
      <w:t>1 March 2025</w:t>
    </w:r>
    <w:r>
      <w:fldChar w:fldCharType="end"/>
    </w:r>
  </w:p>
  <w:p w:rsidR="00151660" w:rsidP="001516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3A3F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DA33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16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16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16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16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16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16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16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16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16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16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16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1660"/>
  </w:style>
  <w:style w:type="character" w:customStyle="1" w:styleId="Heading1Char">
    <w:name w:val="Heading 1 Char"/>
    <w:basedOn w:val="DefaultParagraphFont"/>
    <w:link w:val="Heading1"/>
    <w:rsid w:val="001516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16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16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16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1660"/>
    <w:rPr>
      <w:b/>
      <w:spacing w:val="0"/>
    </w:rPr>
  </w:style>
  <w:style w:type="paragraph" w:customStyle="1" w:styleId="SuperHeading">
    <w:name w:val="SuperHeading"/>
    <w:basedOn w:val="Normal"/>
    <w:rsid w:val="001516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16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16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16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16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1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16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1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16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16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16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16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16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16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16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16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16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16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16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16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16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16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16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16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16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516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516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16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16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16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16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16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16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16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16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1660"/>
    <w:rPr>
      <w:i/>
    </w:rPr>
  </w:style>
  <w:style w:type="paragraph" w:styleId="Caption">
    <w:name w:val="caption"/>
    <w:basedOn w:val="BodyText"/>
    <w:next w:val="Normal"/>
    <w:qFormat/>
    <w:rsid w:val="001516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16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16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1660"/>
  </w:style>
  <w:style w:type="paragraph" w:styleId="TableofFigures">
    <w:name w:val="table of figures"/>
    <w:basedOn w:val="Normal"/>
    <w:next w:val="Normal"/>
    <w:semiHidden/>
    <w:rsid w:val="001516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16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51660"/>
    <w:rPr>
      <w:rFonts w:ascii="Wingdings" w:hAnsi="Wingdings"/>
    </w:rPr>
  </w:style>
  <w:style w:type="paragraph" w:customStyle="1" w:styleId="TableHeading">
    <w:name w:val="Table Heading"/>
    <w:basedOn w:val="HeadingBase"/>
    <w:rsid w:val="001516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1660"/>
    <w:rPr>
      <w:color w:val="0033CC"/>
      <w:u w:val="none"/>
    </w:rPr>
  </w:style>
  <w:style w:type="paragraph" w:customStyle="1" w:styleId="BodyTextRight">
    <w:name w:val="Body Text Right"/>
    <w:basedOn w:val="BodyText"/>
    <w:rsid w:val="001516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16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16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16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16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16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1660"/>
    <w:rPr>
      <w:sz w:val="32"/>
    </w:rPr>
  </w:style>
  <w:style w:type="paragraph" w:customStyle="1" w:styleId="HeadingProcedure">
    <w:name w:val="Heading Procedure"/>
    <w:basedOn w:val="HeadingBase"/>
    <w:next w:val="Normal"/>
    <w:rsid w:val="001516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1660"/>
    <w:pPr>
      <w:spacing w:before="60" w:after="60"/>
    </w:pPr>
  </w:style>
  <w:style w:type="paragraph" w:styleId="ListContinue">
    <w:name w:val="List Continue"/>
    <w:basedOn w:val="List"/>
    <w:rsid w:val="00151660"/>
    <w:pPr>
      <w:ind w:firstLine="0"/>
    </w:pPr>
  </w:style>
  <w:style w:type="paragraph" w:customStyle="1" w:styleId="ListNote">
    <w:name w:val="List Note"/>
    <w:basedOn w:val="List"/>
    <w:rsid w:val="001516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16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16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1660"/>
    <w:rPr>
      <w:rFonts w:ascii="Courier New" w:hAnsi="Courier New"/>
    </w:rPr>
  </w:style>
  <w:style w:type="paragraph" w:customStyle="1" w:styleId="NoteBullet">
    <w:name w:val="Note Bullet"/>
    <w:basedOn w:val="Note"/>
    <w:rsid w:val="001516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16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16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16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16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516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16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1660"/>
    <w:rPr>
      <w:b/>
      <w:smallCaps/>
    </w:rPr>
  </w:style>
  <w:style w:type="paragraph" w:customStyle="1" w:styleId="TableListNumber">
    <w:name w:val="Table List Number"/>
    <w:basedOn w:val="ListNumber"/>
    <w:rsid w:val="001516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16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1660"/>
    <w:pPr>
      <w:numPr>
        <w:numId w:val="8"/>
      </w:numPr>
    </w:pPr>
  </w:style>
  <w:style w:type="paragraph" w:customStyle="1" w:styleId="ListAlpha2">
    <w:name w:val="List Alpha 2"/>
    <w:basedOn w:val="List2"/>
    <w:rsid w:val="00151660"/>
    <w:pPr>
      <w:numPr>
        <w:numId w:val="7"/>
      </w:numPr>
    </w:pPr>
  </w:style>
  <w:style w:type="paragraph" w:styleId="List2">
    <w:name w:val="List 2"/>
    <w:basedOn w:val="BodyText"/>
    <w:rsid w:val="001516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16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16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16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16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16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51660"/>
    <w:pPr>
      <w:numPr>
        <w:numId w:val="3"/>
      </w:numPr>
    </w:pPr>
  </w:style>
  <w:style w:type="paragraph" w:styleId="ListContinue2">
    <w:name w:val="List Continue 2"/>
    <w:basedOn w:val="List2"/>
    <w:rsid w:val="00151660"/>
    <w:pPr>
      <w:ind w:firstLine="0"/>
    </w:pPr>
  </w:style>
  <w:style w:type="paragraph" w:styleId="ListContinue3">
    <w:name w:val="List Continue 3"/>
    <w:basedOn w:val="List3"/>
    <w:rsid w:val="00151660"/>
    <w:pPr>
      <w:ind w:left="1021" w:firstLine="0"/>
    </w:pPr>
  </w:style>
  <w:style w:type="paragraph" w:styleId="ListContinue4">
    <w:name w:val="List Continue 4"/>
    <w:basedOn w:val="List4"/>
    <w:rsid w:val="00151660"/>
    <w:pPr>
      <w:ind w:firstLine="0"/>
    </w:pPr>
  </w:style>
  <w:style w:type="paragraph" w:styleId="ListContinue5">
    <w:name w:val="List Continue 5"/>
    <w:basedOn w:val="List5"/>
    <w:rsid w:val="00151660"/>
    <w:pPr>
      <w:ind w:firstLine="0"/>
    </w:pPr>
  </w:style>
  <w:style w:type="paragraph" w:styleId="ListNumber3">
    <w:name w:val="List Number 3"/>
    <w:basedOn w:val="List3"/>
    <w:rsid w:val="00151660"/>
    <w:pPr>
      <w:numPr>
        <w:numId w:val="4"/>
      </w:numPr>
    </w:pPr>
  </w:style>
  <w:style w:type="paragraph" w:styleId="ListNumber4">
    <w:name w:val="List Number 4"/>
    <w:basedOn w:val="List4"/>
    <w:rsid w:val="00151660"/>
    <w:pPr>
      <w:numPr>
        <w:numId w:val="5"/>
      </w:numPr>
    </w:pPr>
  </w:style>
  <w:style w:type="paragraph" w:styleId="ListNumber5">
    <w:name w:val="List Number 5"/>
    <w:basedOn w:val="List5"/>
    <w:rsid w:val="00151660"/>
    <w:pPr>
      <w:numPr>
        <w:numId w:val="6"/>
      </w:numPr>
    </w:pPr>
  </w:style>
  <w:style w:type="paragraph" w:styleId="BlockText">
    <w:name w:val="Block Text"/>
    <w:basedOn w:val="Normal"/>
    <w:rsid w:val="001516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16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1660"/>
    <w:rPr>
      <w:sz w:val="16"/>
      <w:vertAlign w:val="superscript"/>
    </w:rPr>
  </w:style>
  <w:style w:type="character" w:customStyle="1" w:styleId="Symbols">
    <w:name w:val="Symbols"/>
    <w:basedOn w:val="DefaultParagraphFont"/>
    <w:rsid w:val="00151660"/>
    <w:rPr>
      <w:rFonts w:ascii="Symbol" w:hAnsi="Symbol"/>
    </w:rPr>
  </w:style>
  <w:style w:type="character" w:customStyle="1" w:styleId="MenuOptions">
    <w:name w:val="Menu Options"/>
    <w:basedOn w:val="DefaultParagraphFont"/>
    <w:rsid w:val="001516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1660"/>
    <w:rPr>
      <w:b/>
    </w:rPr>
  </w:style>
  <w:style w:type="character" w:customStyle="1" w:styleId="Underlined">
    <w:name w:val="Underlined"/>
    <w:basedOn w:val="DefaultParagraphFont"/>
    <w:rsid w:val="00151660"/>
    <w:rPr>
      <w:u w:val="single"/>
    </w:rPr>
  </w:style>
  <w:style w:type="paragraph" w:customStyle="1" w:styleId="TableBodyTextRight">
    <w:name w:val="Table Body Text Right"/>
    <w:basedOn w:val="TableBodyText"/>
    <w:rsid w:val="001516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1660"/>
    <w:rPr>
      <w:sz w:val="18"/>
    </w:rPr>
  </w:style>
  <w:style w:type="paragraph" w:customStyle="1" w:styleId="BodySmallRight">
    <w:name w:val="Body Small Right"/>
    <w:basedOn w:val="BodyTextRight"/>
    <w:rsid w:val="00151660"/>
    <w:rPr>
      <w:sz w:val="18"/>
      <w:szCs w:val="18"/>
    </w:rPr>
  </w:style>
  <w:style w:type="paragraph" w:customStyle="1" w:styleId="MarginEdition">
    <w:name w:val="Margin Edition"/>
    <w:basedOn w:val="MarginNote"/>
    <w:rsid w:val="001516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1660"/>
    <w:rPr>
      <w:sz w:val="2"/>
      <w:szCs w:val="2"/>
    </w:rPr>
  </w:style>
  <w:style w:type="character" w:customStyle="1" w:styleId="Small">
    <w:name w:val="Small"/>
    <w:basedOn w:val="DefaultParagraphFont"/>
    <w:rsid w:val="00151660"/>
    <w:rPr>
      <w:sz w:val="16"/>
    </w:rPr>
  </w:style>
  <w:style w:type="paragraph" w:customStyle="1" w:styleId="WideTable">
    <w:name w:val="Wide Table"/>
    <w:basedOn w:val="Normal"/>
    <w:rsid w:val="001516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1660"/>
  </w:style>
  <w:style w:type="paragraph" w:styleId="Quote">
    <w:name w:val="Quote"/>
    <w:basedOn w:val="Heading1"/>
    <w:link w:val="QuoteChar"/>
    <w:qFormat/>
    <w:rsid w:val="001516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16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1660"/>
    <w:pPr>
      <w:pageBreakBefore/>
    </w:pPr>
  </w:style>
  <w:style w:type="paragraph" w:customStyle="1" w:styleId="Border">
    <w:name w:val="Border"/>
    <w:basedOn w:val="Normal"/>
    <w:qFormat/>
    <w:rsid w:val="001516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16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16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16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16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16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16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16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16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1660"/>
    <w:rPr>
      <w:u w:val="single"/>
    </w:rPr>
  </w:style>
  <w:style w:type="character" w:customStyle="1" w:styleId="BoldandItalics">
    <w:name w:val="Bold and Italics"/>
    <w:qFormat/>
    <w:rsid w:val="00151660"/>
    <w:rPr>
      <w:b/>
      <w:i/>
      <w:u w:val="none"/>
    </w:rPr>
  </w:style>
  <w:style w:type="paragraph" w:styleId="BalloonText">
    <w:name w:val="Balloon Text"/>
    <w:basedOn w:val="Normal"/>
    <w:link w:val="BalloonTextChar"/>
    <w:rsid w:val="001516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16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16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16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16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16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1660"/>
    <w:pPr>
      <w:spacing w:before="0" w:after="0"/>
    </w:pPr>
  </w:style>
  <w:style w:type="paragraph" w:customStyle="1" w:styleId="BodyTextBold">
    <w:name w:val="Body Text Bold"/>
    <w:basedOn w:val="BodyText"/>
    <w:qFormat/>
    <w:rsid w:val="00151660"/>
    <w:rPr>
      <w:b/>
    </w:rPr>
  </w:style>
  <w:style w:type="character" w:styleId="Hyperlink">
    <w:name w:val="Hyperlink"/>
    <w:basedOn w:val="DefaultParagraphFont"/>
    <w:uiPriority w:val="99"/>
    <w:unhideWhenUsed/>
    <w:rsid w:val="00B62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</Words>
  <Characters>5169</Characters>
  <Application>Microsoft Office Word</Application>
  <DocSecurity>0</DocSecurity>
  <Lines>156</Lines>
  <Paragraphs>102</Paragraphs>
  <ScaleCrop>false</ScaleCrop>
  <Company>Author-it Software Corporation Ltd.</Company>
  <LinksUpToDate>false</LinksUpToDate>
  <CharactersWithSpaces>5850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MSTGN6007 Manage production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