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845" w:rsidP="00501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MSTGN6006 Map and establish TCF supply chain process</w:t>
      </w:r>
      <w:r>
        <w:fldChar w:fldCharType="end"/>
      </w:r>
    </w:p>
    <w:p w:rsidR="00501845" w:rsidP="00501845">
      <w:pPr>
        <w:pStyle w:val="Version"/>
        <w:sectPr w:rsidSect="002C6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9C0" w:rsidP="002C69C0">
      <w:pPr>
        <w:pStyle w:val="SuperHeading"/>
      </w:pPr>
      <w:r w:rsidRPr="002C69C0">
        <w:t>MSTGN6006 Map and establish TCF supply chain process</w:t>
      </w:r>
    </w:p>
    <w:p w:rsidR="00000000" w:rsidRPr="002C69C0" w:rsidP="002C69C0">
      <w:pPr>
        <w:pStyle w:val="Heading1"/>
      </w:pPr>
      <w:bookmarkStart w:id="1" w:name="O_931990"/>
      <w:bookmarkEnd w:id="1"/>
      <w:r w:rsidRPr="002C69C0">
        <w:t>Modification History</w:t>
      </w:r>
    </w:p>
    <w:p w:rsidR="00000000" w:rsidRPr="002C69C0" w:rsidP="00501845">
      <w:pPr>
        <w:pStyle w:val="BodyText"/>
      </w:pPr>
      <w:r w:rsidRPr="002C69C0">
        <w:t>Release 1. Supersedes and is equivalent to LMTGN6006A Map and establish textiles, clothing or footwear supply chain process</w:t>
      </w:r>
    </w:p>
    <w:p w:rsidR="00000000" w:rsidRPr="002C69C0" w:rsidP="002C69C0">
      <w:pPr>
        <w:pStyle w:val="Heading1"/>
      </w:pPr>
      <w:bookmarkStart w:id="2" w:name="O_931998"/>
      <w:bookmarkEnd w:id="2"/>
      <w:r w:rsidRPr="002C69C0">
        <w:t>Application</w:t>
      </w:r>
    </w:p>
    <w:p w:rsidR="00000000" w:rsidRPr="002C69C0" w:rsidP="00501845">
      <w:pPr>
        <w:pStyle w:val="BodyText"/>
      </w:pPr>
      <w:r w:rsidRPr="002C69C0">
        <w:t>This unit of competency covers skills and knowledge required to map and es</w:t>
      </w:r>
      <w:r w:rsidRPr="002C69C0">
        <w:t>tablish a supply chain process for a textiles, clothing or footwear (TCF) operation.</w:t>
      </w:r>
    </w:p>
    <w:p w:rsidR="00000000" w:rsidRPr="002C69C0" w:rsidP="00501845">
      <w:pPr>
        <w:pStyle w:val="BodyText"/>
      </w:pPr>
      <w:r w:rsidRPr="002C69C0">
        <w:t xml:space="preserve">The unit of competency applies to enterprises working with domestic or international suppliers and customers in the supply or receipt of products and services within the </w:t>
      </w:r>
      <w:r w:rsidRPr="002C69C0">
        <w:t>TCF industry. Work involves the application of initiative and judgement to build an effective supply chain.</w:t>
      </w:r>
    </w:p>
    <w:p w:rsidR="00000000" w:rsidRPr="002C69C0" w:rsidP="00501845">
      <w:pPr>
        <w:pStyle w:val="BodyText"/>
      </w:pPr>
      <w:r w:rsidRPr="002C69C0">
        <w:t>Work includes building commercial relationships, and working effectively within sector or enterprise conditions, import/export regulations, resourc</w:t>
      </w:r>
      <w:r w:rsidRPr="002C69C0">
        <w:t>e requirements, and responding to industry work practices.</w:t>
      </w:r>
    </w:p>
    <w:p w:rsidR="00000000" w:rsidRPr="002C69C0" w:rsidP="00501845">
      <w:pPr>
        <w:pStyle w:val="BodyText"/>
      </w:pPr>
      <w:r w:rsidRPr="002C69C0">
        <w:t>This unit of competency is applicable to all sectors of the TCF industry.</w:t>
      </w:r>
    </w:p>
    <w:p w:rsidR="00000000" w:rsidRPr="002C69C0" w:rsidP="00501845">
      <w:pPr>
        <w:pStyle w:val="BodyText"/>
      </w:pPr>
      <w:r w:rsidRPr="002C69C0">
        <w:t>Work may be conducted in small to large scale enterprises and may involve individual and team activities.</w:t>
      </w:r>
    </w:p>
    <w:p w:rsidR="00501845" w:rsidP="00501845">
      <w:pPr>
        <w:pStyle w:val="BodyText"/>
      </w:pPr>
      <w:r w:rsidRPr="002C69C0">
        <w:t xml:space="preserve">No licensing, </w:t>
      </w:r>
      <w:r w:rsidRPr="002C69C0">
        <w:t>legislative or certification requirements apply to this unit at the time of publication.</w:t>
      </w:r>
    </w:p>
    <w:p w:rsidR="00000000" w:rsidRPr="002C69C0" w:rsidP="002C69C0">
      <w:pPr>
        <w:pStyle w:val="Heading1"/>
      </w:pPr>
      <w:bookmarkStart w:id="3" w:name="O_931997"/>
      <w:bookmarkEnd w:id="3"/>
      <w:r w:rsidRPr="002C69C0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MSTGN4006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Apply TCF market supply systems</w:t>
            </w:r>
          </w:p>
        </w:tc>
      </w:tr>
    </w:tbl>
    <w:p w:rsidR="00000000" w:rsidRPr="002C69C0" w:rsidP="002C69C0">
      <w:pPr>
        <w:pStyle w:val="BodyText"/>
      </w:pPr>
    </w:p>
    <w:p w:rsidR="00000000" w:rsidRPr="002C69C0" w:rsidP="002C69C0">
      <w:pPr>
        <w:pStyle w:val="AllowPageBreak"/>
      </w:pPr>
    </w:p>
    <w:p w:rsidR="00000000" w:rsidRPr="002C69C0" w:rsidP="002C69C0">
      <w:pPr>
        <w:pStyle w:val="Heading1"/>
      </w:pPr>
      <w:bookmarkStart w:id="4" w:name="O_931996"/>
      <w:bookmarkEnd w:id="4"/>
      <w:r w:rsidRPr="002C69C0">
        <w:t>Competency Field</w:t>
      </w:r>
    </w:p>
    <w:p w:rsidR="00000000" w:rsidRPr="002C69C0" w:rsidP="00501845">
      <w:pPr>
        <w:pStyle w:val="BodyText"/>
      </w:pPr>
      <w:r w:rsidRPr="002C69C0">
        <w:t>Generic</w:t>
      </w:r>
    </w:p>
    <w:p w:rsidR="00000000" w:rsidRPr="002C69C0" w:rsidP="002C69C0">
      <w:pPr>
        <w:pStyle w:val="Heading1"/>
      </w:pPr>
      <w:bookmarkStart w:id="5" w:name="O_931995"/>
      <w:bookmarkEnd w:id="5"/>
      <w:r w:rsidRPr="002C69C0">
        <w:t>Unit Sector</w:t>
      </w:r>
    </w:p>
    <w:p w:rsidR="00000000" w:rsidRPr="002C69C0" w:rsidP="00501845">
      <w:pPr>
        <w:pStyle w:val="BodyText"/>
      </w:pPr>
      <w:r w:rsidRPr="002C69C0">
        <w:t>Not applicable</w:t>
      </w:r>
    </w:p>
    <w:p w:rsidR="00000000" w:rsidRPr="002C69C0" w:rsidP="002C69C0">
      <w:pPr>
        <w:pStyle w:val="Heading1"/>
      </w:pPr>
      <w:bookmarkStart w:id="6" w:name="O_931994"/>
      <w:bookmarkEnd w:id="6"/>
      <w:r w:rsidRPr="002C69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Performance criteria describe the performance needed to demonstrate achievement of the element.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Follow standard operating procedures (SOPs)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Comply with work health and safety (WHS) requirements at all times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Use appropriate personal protective equipment (PPE) in accordance with SOPs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Identify job requirements from specifications, drawings, job sheets or work instructions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Identify supply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Confirm projected requirements for TCF stock supplies, product quantities, quality and delivery schedules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Document identified issues and problems concerning projected requirements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Identify and confirm resources, supply requirements, availability of machines and personnel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 xml:space="preserve">Identify regular and occasional supply needs and document conditions 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Determine the flow rate for each category of TCF product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Determine enterprise requirements for suppliers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Establish business conditions for supply arrangements in consultation with senior management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Confirm specifications for raw materials, products and production processes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Establish testing procedures to confirm product and material quality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 xml:space="preserve">Analyse import and export rules and regulations for international sources to determine effect on </w:t>
            </w:r>
            <w:r w:rsidRPr="002C69C0">
              <w:t xml:space="preserve">supply </w:t>
            </w:r>
            <w:r w:rsidRPr="002C69C0">
              <w:t xml:space="preserve">conditions 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Establish communication and documentation protocols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Establish supply chain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Obtain and confirm specific information relating to TCF supply chain capacity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Establish internal processes to ensure receipt and supply of TCF products meet enterprise conditions, quality standards and resource requirements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Collect and analyse information to assess purchasing organisation</w:t>
            </w:r>
            <w:r>
              <w:t>’</w:t>
            </w:r>
            <w:r w:rsidRPr="002C69C0">
              <w:t xml:space="preserve">s viability  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 xml:space="preserve">Obtain terms of </w:t>
            </w:r>
            <w:r w:rsidRPr="002C69C0">
              <w:t>payment offered by each buyer, negotiate for advantage and analyse for impact on finances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Conduct ongoing research to assess new trends and conditions that may influence supply and demand in the TCF industry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Establish ongoing monitoring arrangements for the supply chain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Maintain documentation, TCF production planning records and prepare reports to ensure supply chain information is accurate and current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Analyse performance ind</w:t>
            </w:r>
            <w:r w:rsidRPr="002C69C0">
              <w:t>icators to assess supply efficiency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Act to remedy poor performance areas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 xml:space="preserve">Incorporate strategies into the TCF supply chain plan to ensure positive performance </w:t>
            </w:r>
          </w:p>
        </w:tc>
      </w:tr>
      <w:tr w:rsidTr="002C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BodyText"/>
            </w:pPr>
            <w:r w:rsidRPr="002C69C0">
              <w:t xml:space="preserve">Use appropriate electronic and digital tools and communication systems </w:t>
            </w:r>
          </w:p>
        </w:tc>
      </w:tr>
    </w:tbl>
    <w:p w:rsidR="00000000" w:rsidRPr="002C69C0" w:rsidP="002C69C0">
      <w:pPr>
        <w:pStyle w:val="BodyText"/>
      </w:pPr>
    </w:p>
    <w:p w:rsidR="00000000" w:rsidRPr="002C69C0" w:rsidP="002C69C0">
      <w:pPr>
        <w:pStyle w:val="AllowPageBreak"/>
      </w:pPr>
    </w:p>
    <w:p w:rsidR="00000000" w:rsidRPr="002C69C0" w:rsidP="002C69C0">
      <w:pPr>
        <w:pStyle w:val="Heading1"/>
      </w:pPr>
      <w:bookmarkStart w:id="7" w:name="O_931993"/>
      <w:bookmarkEnd w:id="7"/>
      <w:r w:rsidRPr="002C69C0">
        <w:t>Foundation Skills</w:t>
      </w:r>
    </w:p>
    <w:p w:rsidR="00000000" w:rsidRPr="002C69C0" w:rsidP="00501845">
      <w:pPr>
        <w:pStyle w:val="BodyText"/>
      </w:pPr>
      <w:r w:rsidRPr="002C69C0">
        <w:t>This section describes those required skills (language, literacy and numeracy) that are essential to performance.</w:t>
      </w:r>
    </w:p>
    <w:p w:rsidR="00000000" w:rsidRPr="002C69C0" w:rsidP="00501845">
      <w:pPr>
        <w:pStyle w:val="BodyText"/>
      </w:pPr>
      <w:r w:rsidRPr="002C69C0">
        <w:t>Foundation skills essential to performance are explicit in the performance criteria of this unit of compete</w:t>
      </w:r>
      <w:r w:rsidRPr="002C69C0">
        <w:t>ncy.</w:t>
      </w:r>
    </w:p>
    <w:p w:rsidR="00000000" w:rsidRPr="002C69C0" w:rsidP="002C69C0">
      <w:pPr>
        <w:pStyle w:val="Heading1"/>
      </w:pPr>
      <w:bookmarkStart w:id="8" w:name="O_931992"/>
      <w:bookmarkEnd w:id="8"/>
      <w:r w:rsidRPr="002C69C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2C69C0">
              <w:t>ty of the item, and local industry and regional contexts) are included.</w:t>
            </w:r>
          </w:p>
        </w:tc>
      </w:tr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ListBullet"/>
            </w:pPr>
            <w:r w:rsidRPr="002C69C0">
              <w:t>requirements prescribed by legislation, awards, agreements and conditions of employment</w:t>
            </w:r>
          </w:p>
          <w:p w:rsidR="00000000" w:rsidRPr="002C69C0" w:rsidP="002C69C0">
            <w:pPr>
              <w:pStyle w:val="ListBullet"/>
            </w:pPr>
            <w:r w:rsidRPr="002C69C0">
              <w:t>SOPs</w:t>
            </w:r>
          </w:p>
          <w:p w:rsidR="00000000" w:rsidRPr="002C69C0" w:rsidP="002C69C0">
            <w:pPr>
              <w:pStyle w:val="ListBullet"/>
            </w:pPr>
            <w:r w:rsidRPr="002C69C0">
              <w:t>work instructions</w:t>
            </w:r>
          </w:p>
          <w:p w:rsidR="00000000" w:rsidRPr="002C69C0" w:rsidP="002C69C0">
            <w:pPr>
              <w:pStyle w:val="ListBullet"/>
            </w:pPr>
            <w:r w:rsidRPr="002C69C0">
              <w:t>oral, written and visual communication</w:t>
            </w:r>
          </w:p>
          <w:p w:rsidR="00000000" w:rsidRPr="002C69C0" w:rsidP="002C69C0">
            <w:pPr>
              <w:pStyle w:val="ListBullet"/>
            </w:pPr>
            <w:r w:rsidRPr="002C69C0">
              <w:t>quality practices, including responsibility for maintenance of own work quality and contribution to quality improvement of team or section output</w:t>
            </w:r>
          </w:p>
          <w:p w:rsidR="00000000" w:rsidRPr="002C69C0" w:rsidP="002C69C0">
            <w:pPr>
              <w:pStyle w:val="ListBullet"/>
            </w:pPr>
            <w:r w:rsidRPr="002C69C0">
              <w:t>housekeeping</w:t>
            </w:r>
          </w:p>
          <w:p w:rsidR="00000000" w:rsidRPr="002C69C0" w:rsidP="002C69C0">
            <w:pPr>
              <w:pStyle w:val="ListBullet"/>
            </w:pPr>
            <w:r w:rsidRPr="002C69C0">
              <w:t>tasks related to environmental protection, waste disposal,</w:t>
            </w:r>
            <w:r w:rsidRPr="002C69C0">
              <w:t xml:space="preserve"> pollution control and recycling</w:t>
            </w:r>
          </w:p>
          <w:p w:rsidR="00000000" w:rsidRPr="002C69C0" w:rsidP="002C69C0">
            <w:pPr>
              <w:pStyle w:val="ListBullet"/>
            </w:pPr>
            <w:r w:rsidRPr="002C69C0">
              <w:t>WHS practices</w:t>
            </w:r>
          </w:p>
          <w:p w:rsidR="00000000" w:rsidP="002C69C0">
            <w:pPr>
              <w:pStyle w:val="BodyText"/>
              <w:rPr>
                <w:lang w:val="en-NZ"/>
              </w:rPr>
            </w:pPr>
          </w:p>
        </w:tc>
      </w:tr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ListBullet"/>
            </w:pPr>
            <w:r w:rsidRPr="002C69C0">
              <w:t>the relevant industry or Australian Standards that are current at the time this unit is being undertaken</w:t>
            </w:r>
          </w:p>
          <w:p w:rsidR="00000000" w:rsidP="002C69C0">
            <w:pPr>
              <w:pStyle w:val="BodyText"/>
              <w:rPr>
                <w:lang w:val="en-NZ"/>
              </w:rPr>
            </w:pPr>
          </w:p>
        </w:tc>
      </w:tr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Flow rate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ListBullet"/>
            </w:pPr>
            <w:r w:rsidRPr="002C69C0">
              <w:t>just in time (JIT)</w:t>
            </w:r>
          </w:p>
          <w:p w:rsidR="00000000" w:rsidRPr="002C69C0" w:rsidP="002C69C0">
            <w:pPr>
              <w:pStyle w:val="ListBullet"/>
            </w:pPr>
            <w:r w:rsidRPr="002C69C0">
              <w:t>flow demand from customers</w:t>
            </w:r>
          </w:p>
          <w:p w:rsidR="00000000" w:rsidRPr="002C69C0" w:rsidP="002C69C0">
            <w:pPr>
              <w:pStyle w:val="ListBullet"/>
            </w:pPr>
            <w:r w:rsidRPr="002C69C0">
              <w:t>required of suppliers</w:t>
            </w:r>
          </w:p>
          <w:p w:rsidR="00000000" w:rsidRPr="002C69C0" w:rsidP="002C69C0">
            <w:pPr>
              <w:pStyle w:val="ListBullet"/>
            </w:pPr>
            <w:r w:rsidRPr="002C69C0">
              <w:t>unitisation</w:t>
            </w:r>
          </w:p>
          <w:p w:rsidR="00000000" w:rsidP="002C69C0">
            <w:pPr>
              <w:pStyle w:val="BodyText"/>
              <w:rPr>
                <w:lang w:val="en-NZ"/>
              </w:rPr>
            </w:pPr>
          </w:p>
        </w:tc>
      </w:tr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Identified issues and problems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ListBullet"/>
            </w:pPr>
            <w:r w:rsidRPr="002C69C0">
              <w:t>production schedule changes</w:t>
            </w:r>
          </w:p>
          <w:p w:rsidR="00000000" w:rsidRPr="002C69C0" w:rsidP="002C69C0">
            <w:pPr>
              <w:pStyle w:val="ListBullet"/>
            </w:pPr>
            <w:r w:rsidRPr="002C69C0">
              <w:t>material or resource availability</w:t>
            </w:r>
          </w:p>
          <w:p w:rsidR="00000000" w:rsidRPr="002C69C0" w:rsidP="002C69C0">
            <w:pPr>
              <w:pStyle w:val="ListBullet"/>
            </w:pPr>
            <w:r w:rsidRPr="002C69C0">
              <w:t>equipment maintenance requirements</w:t>
            </w:r>
          </w:p>
          <w:p w:rsidR="00000000" w:rsidRPr="002C69C0" w:rsidP="002C69C0">
            <w:pPr>
              <w:pStyle w:val="ListBullet"/>
            </w:pPr>
            <w:r w:rsidRPr="002C69C0">
              <w:t>h</w:t>
            </w:r>
            <w:r w:rsidRPr="002C69C0">
              <w:t>igh demand</w:t>
            </w:r>
          </w:p>
          <w:p w:rsidR="00000000" w:rsidRPr="002C69C0" w:rsidP="002C69C0">
            <w:pPr>
              <w:pStyle w:val="ListBullet"/>
            </w:pPr>
            <w:r w:rsidRPr="002C69C0">
              <w:t>low demand</w:t>
            </w:r>
          </w:p>
          <w:p w:rsidR="00000000" w:rsidRPr="002C69C0" w:rsidP="002C69C0">
            <w:pPr>
              <w:pStyle w:val="ListBullet"/>
            </w:pPr>
            <w:r w:rsidRPr="002C69C0">
              <w:t>changes to design</w:t>
            </w:r>
          </w:p>
          <w:p w:rsidR="00000000" w:rsidRPr="002C69C0" w:rsidP="002C69C0">
            <w:pPr>
              <w:pStyle w:val="ListBullet"/>
            </w:pPr>
            <w:r w:rsidRPr="002C69C0">
              <w:t>faults</w:t>
            </w:r>
          </w:p>
          <w:p w:rsidR="00000000" w:rsidP="002C69C0">
            <w:pPr>
              <w:pStyle w:val="BodyText"/>
              <w:rPr>
                <w:lang w:val="en-NZ"/>
              </w:rPr>
            </w:pPr>
          </w:p>
        </w:tc>
      </w:tr>
      <w:tr w:rsidTr="005018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9C0">
            <w:pPr>
              <w:pStyle w:val="BodyText"/>
              <w:rPr>
                <w:lang w:val="en-NZ"/>
              </w:rPr>
            </w:pPr>
            <w:r w:rsidRPr="002C69C0">
              <w:rPr>
                <w:rStyle w:val="SpecialBold"/>
              </w:rPr>
              <w:t>Business conditions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9C0" w:rsidP="002C69C0">
            <w:pPr>
              <w:pStyle w:val="ListBullet"/>
            </w:pPr>
            <w:r w:rsidRPr="002C69C0">
              <w:t>contract conditions</w:t>
            </w:r>
          </w:p>
          <w:p w:rsidR="00000000" w:rsidRPr="002C69C0" w:rsidP="002C69C0">
            <w:pPr>
              <w:pStyle w:val="ListBullet"/>
            </w:pPr>
            <w:r w:rsidRPr="002C69C0">
              <w:t>supply priorities</w:t>
            </w:r>
          </w:p>
          <w:p w:rsidR="00000000" w:rsidRPr="002C69C0" w:rsidP="002C69C0">
            <w:pPr>
              <w:pStyle w:val="ListBullet"/>
            </w:pPr>
            <w:r w:rsidRPr="002C69C0">
              <w:t>communication channels</w:t>
            </w:r>
          </w:p>
          <w:p w:rsidR="00000000" w:rsidRPr="002C69C0" w:rsidP="002C69C0">
            <w:pPr>
              <w:pStyle w:val="ListBullet"/>
            </w:pPr>
            <w:r w:rsidRPr="002C69C0">
              <w:t>authority protocols</w:t>
            </w:r>
          </w:p>
          <w:p w:rsidR="00000000" w:rsidRPr="002C69C0" w:rsidP="002C69C0">
            <w:pPr>
              <w:pStyle w:val="ListBullet"/>
            </w:pPr>
            <w:r w:rsidRPr="002C69C0">
              <w:t>verification</w:t>
            </w:r>
          </w:p>
          <w:p w:rsidR="00000000" w:rsidRPr="002C69C0" w:rsidP="002C69C0">
            <w:pPr>
              <w:pStyle w:val="ListBullet"/>
            </w:pPr>
            <w:r w:rsidRPr="002C69C0">
              <w:t>payment</w:t>
            </w:r>
          </w:p>
        </w:tc>
      </w:tr>
    </w:tbl>
    <w:p w:rsidR="00000000" w:rsidRPr="002C69C0" w:rsidP="002C69C0">
      <w:pPr>
        <w:pStyle w:val="BodyText"/>
      </w:pPr>
    </w:p>
    <w:p w:rsidR="00000000" w:rsidRPr="002C69C0" w:rsidP="002C69C0">
      <w:pPr>
        <w:pStyle w:val="AllowPageBreak"/>
      </w:pPr>
    </w:p>
    <w:p w:rsidR="00000000" w:rsidRPr="002C69C0" w:rsidP="002C69C0">
      <w:pPr>
        <w:pStyle w:val="Heading1"/>
      </w:pPr>
      <w:bookmarkStart w:id="9" w:name="O_931991"/>
      <w:bookmarkEnd w:id="9"/>
      <w:r w:rsidRPr="002C69C0">
        <w:t>Unit Mapping Information</w:t>
      </w:r>
    </w:p>
    <w:p w:rsidR="00000000" w:rsidRPr="002C69C0" w:rsidP="00501845">
      <w:pPr>
        <w:pStyle w:val="BodyText"/>
      </w:pPr>
      <w:r w:rsidRPr="002C69C0">
        <w:t>Release 1. Supersedes and is equivalent to LMTGN6006A Map and establish textiles, clothing or footwear supply chain process</w:t>
      </w:r>
    </w:p>
    <w:p w:rsidR="00000000" w:rsidRPr="002C69C0" w:rsidP="002C69C0">
      <w:pPr>
        <w:pStyle w:val="Heading1"/>
      </w:pPr>
      <w:bookmarkStart w:id="10" w:name="O_931984"/>
      <w:bookmarkEnd w:id="10"/>
      <w:r w:rsidRPr="002C69C0">
        <w:t>Links</w:t>
      </w:r>
    </w:p>
    <w:p w:rsidR="00000000" w:rsidRPr="002C69C0" w:rsidP="00501845">
      <w:pPr>
        <w:pStyle w:val="BodyText"/>
      </w:pPr>
      <w:r w:rsidRPr="002C69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4197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69C0" w:rsidP="002C69C0"/>
    <w:sectPr w:rsidSect="002C69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0" w:rsidRPr="00501845" w:rsidP="00501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45" w:rsidP="002C6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845" w:rsidP="002C6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1845" w:rsidP="002C6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9C0" w:rsidRPr="00501845" w:rsidP="00501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45" w:rsidRPr="002D2AF8" w:rsidP="002C6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MSTGN6006 Map and establish TCF supply chain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01845" w:rsidP="002C6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4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88C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9C0"/>
  </w:style>
  <w:style w:type="character" w:customStyle="1" w:styleId="Heading1Char">
    <w:name w:val="Heading 1 Char"/>
    <w:basedOn w:val="DefaultParagraphFont"/>
    <w:link w:val="Heading1"/>
    <w:rsid w:val="002C6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9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9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9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9C0"/>
    <w:rPr>
      <w:b/>
      <w:spacing w:val="0"/>
    </w:rPr>
  </w:style>
  <w:style w:type="paragraph" w:customStyle="1" w:styleId="SuperHeading">
    <w:name w:val="SuperHeading"/>
    <w:basedOn w:val="Normal"/>
    <w:rsid w:val="002C6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9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9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9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9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9C0"/>
    <w:rPr>
      <w:i/>
    </w:rPr>
  </w:style>
  <w:style w:type="paragraph" w:styleId="Caption">
    <w:name w:val="caption"/>
    <w:basedOn w:val="BodyText"/>
    <w:next w:val="Normal"/>
    <w:qFormat/>
    <w:rsid w:val="002C6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9C0"/>
  </w:style>
  <w:style w:type="paragraph" w:styleId="TableofFigures">
    <w:name w:val="table of figures"/>
    <w:basedOn w:val="Normal"/>
    <w:next w:val="Normal"/>
    <w:semiHidden/>
    <w:rsid w:val="002C6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9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69C0"/>
    <w:rPr>
      <w:rFonts w:ascii="Wingdings" w:hAnsi="Wingdings"/>
    </w:rPr>
  </w:style>
  <w:style w:type="paragraph" w:customStyle="1" w:styleId="TableHeading">
    <w:name w:val="Table Heading"/>
    <w:basedOn w:val="HeadingBase"/>
    <w:rsid w:val="002C6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9C0"/>
    <w:rPr>
      <w:color w:val="0033CC"/>
      <w:u w:val="none"/>
    </w:rPr>
  </w:style>
  <w:style w:type="paragraph" w:customStyle="1" w:styleId="BodyTextRight">
    <w:name w:val="Body Text Right"/>
    <w:basedOn w:val="BodyText"/>
    <w:rsid w:val="002C6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9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9C0"/>
    <w:rPr>
      <w:sz w:val="32"/>
    </w:rPr>
  </w:style>
  <w:style w:type="paragraph" w:customStyle="1" w:styleId="HeadingProcedure">
    <w:name w:val="Heading Procedure"/>
    <w:basedOn w:val="HeadingBase"/>
    <w:next w:val="Normal"/>
    <w:rsid w:val="002C6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9C0"/>
    <w:pPr>
      <w:spacing w:before="60" w:after="60"/>
    </w:pPr>
  </w:style>
  <w:style w:type="paragraph" w:styleId="ListContinue">
    <w:name w:val="List Continue"/>
    <w:basedOn w:val="List"/>
    <w:rsid w:val="002C69C0"/>
    <w:pPr>
      <w:ind w:firstLine="0"/>
    </w:pPr>
  </w:style>
  <w:style w:type="paragraph" w:customStyle="1" w:styleId="ListNote">
    <w:name w:val="List Note"/>
    <w:basedOn w:val="List"/>
    <w:rsid w:val="002C6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9C0"/>
    <w:rPr>
      <w:rFonts w:ascii="Courier New" w:hAnsi="Courier New"/>
    </w:rPr>
  </w:style>
  <w:style w:type="paragraph" w:customStyle="1" w:styleId="NoteBullet">
    <w:name w:val="Note Bullet"/>
    <w:basedOn w:val="Note"/>
    <w:rsid w:val="002C6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9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6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9C0"/>
    <w:rPr>
      <w:b/>
      <w:smallCaps/>
    </w:rPr>
  </w:style>
  <w:style w:type="paragraph" w:customStyle="1" w:styleId="TableListNumber">
    <w:name w:val="Table List Number"/>
    <w:basedOn w:val="ListNumber"/>
    <w:rsid w:val="002C6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9C0"/>
    <w:pPr>
      <w:numPr>
        <w:numId w:val="8"/>
      </w:numPr>
    </w:pPr>
  </w:style>
  <w:style w:type="paragraph" w:customStyle="1" w:styleId="ListAlpha2">
    <w:name w:val="List Alpha 2"/>
    <w:basedOn w:val="List2"/>
    <w:rsid w:val="002C69C0"/>
    <w:pPr>
      <w:numPr>
        <w:numId w:val="7"/>
      </w:numPr>
    </w:pPr>
  </w:style>
  <w:style w:type="paragraph" w:styleId="List2">
    <w:name w:val="List 2"/>
    <w:basedOn w:val="BodyText"/>
    <w:rsid w:val="002C69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9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9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9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9C0"/>
    <w:pPr>
      <w:numPr>
        <w:numId w:val="3"/>
      </w:numPr>
    </w:pPr>
  </w:style>
  <w:style w:type="paragraph" w:styleId="ListContinue2">
    <w:name w:val="List Continue 2"/>
    <w:basedOn w:val="List2"/>
    <w:rsid w:val="002C69C0"/>
    <w:pPr>
      <w:ind w:firstLine="0"/>
    </w:pPr>
  </w:style>
  <w:style w:type="paragraph" w:styleId="ListContinue3">
    <w:name w:val="List Continue 3"/>
    <w:basedOn w:val="List3"/>
    <w:rsid w:val="002C69C0"/>
    <w:pPr>
      <w:ind w:left="1021" w:firstLine="0"/>
    </w:pPr>
  </w:style>
  <w:style w:type="paragraph" w:styleId="ListContinue4">
    <w:name w:val="List Continue 4"/>
    <w:basedOn w:val="List4"/>
    <w:rsid w:val="002C69C0"/>
    <w:pPr>
      <w:ind w:firstLine="0"/>
    </w:pPr>
  </w:style>
  <w:style w:type="paragraph" w:styleId="ListContinue5">
    <w:name w:val="List Continue 5"/>
    <w:basedOn w:val="List5"/>
    <w:rsid w:val="002C69C0"/>
    <w:pPr>
      <w:ind w:firstLine="0"/>
    </w:pPr>
  </w:style>
  <w:style w:type="paragraph" w:styleId="ListNumber3">
    <w:name w:val="List Number 3"/>
    <w:basedOn w:val="List3"/>
    <w:rsid w:val="002C69C0"/>
    <w:pPr>
      <w:numPr>
        <w:numId w:val="4"/>
      </w:numPr>
    </w:pPr>
  </w:style>
  <w:style w:type="paragraph" w:styleId="ListNumber4">
    <w:name w:val="List Number 4"/>
    <w:basedOn w:val="List4"/>
    <w:rsid w:val="002C69C0"/>
    <w:pPr>
      <w:numPr>
        <w:numId w:val="5"/>
      </w:numPr>
    </w:pPr>
  </w:style>
  <w:style w:type="paragraph" w:styleId="ListNumber5">
    <w:name w:val="List Number 5"/>
    <w:basedOn w:val="List5"/>
    <w:rsid w:val="002C69C0"/>
    <w:pPr>
      <w:numPr>
        <w:numId w:val="6"/>
      </w:numPr>
    </w:pPr>
  </w:style>
  <w:style w:type="paragraph" w:styleId="BlockText">
    <w:name w:val="Block Text"/>
    <w:basedOn w:val="Normal"/>
    <w:rsid w:val="002C6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9C0"/>
    <w:rPr>
      <w:sz w:val="16"/>
      <w:vertAlign w:val="superscript"/>
    </w:rPr>
  </w:style>
  <w:style w:type="character" w:customStyle="1" w:styleId="Symbols">
    <w:name w:val="Symbols"/>
    <w:basedOn w:val="DefaultParagraphFont"/>
    <w:rsid w:val="002C69C0"/>
    <w:rPr>
      <w:rFonts w:ascii="Symbol" w:hAnsi="Symbol"/>
    </w:rPr>
  </w:style>
  <w:style w:type="character" w:customStyle="1" w:styleId="MenuOptions">
    <w:name w:val="Menu Options"/>
    <w:basedOn w:val="DefaultParagraphFont"/>
    <w:rsid w:val="002C6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9C0"/>
    <w:rPr>
      <w:b/>
    </w:rPr>
  </w:style>
  <w:style w:type="character" w:customStyle="1" w:styleId="Underlined">
    <w:name w:val="Underlined"/>
    <w:basedOn w:val="DefaultParagraphFont"/>
    <w:rsid w:val="002C69C0"/>
    <w:rPr>
      <w:u w:val="single"/>
    </w:rPr>
  </w:style>
  <w:style w:type="paragraph" w:customStyle="1" w:styleId="TableBodyTextRight">
    <w:name w:val="Table Body Text Right"/>
    <w:basedOn w:val="TableBodyText"/>
    <w:rsid w:val="002C6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9C0"/>
    <w:rPr>
      <w:sz w:val="18"/>
    </w:rPr>
  </w:style>
  <w:style w:type="paragraph" w:customStyle="1" w:styleId="BodySmallRight">
    <w:name w:val="Body Small Right"/>
    <w:basedOn w:val="BodyTextRight"/>
    <w:rsid w:val="002C69C0"/>
    <w:rPr>
      <w:sz w:val="18"/>
      <w:szCs w:val="18"/>
    </w:rPr>
  </w:style>
  <w:style w:type="paragraph" w:customStyle="1" w:styleId="MarginEdition">
    <w:name w:val="Margin Edition"/>
    <w:basedOn w:val="MarginNote"/>
    <w:rsid w:val="002C6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9C0"/>
    <w:rPr>
      <w:sz w:val="2"/>
      <w:szCs w:val="2"/>
    </w:rPr>
  </w:style>
  <w:style w:type="character" w:customStyle="1" w:styleId="Small">
    <w:name w:val="Small"/>
    <w:basedOn w:val="DefaultParagraphFont"/>
    <w:rsid w:val="002C69C0"/>
    <w:rPr>
      <w:sz w:val="16"/>
    </w:rPr>
  </w:style>
  <w:style w:type="paragraph" w:customStyle="1" w:styleId="WideTable">
    <w:name w:val="Wide Table"/>
    <w:basedOn w:val="Normal"/>
    <w:rsid w:val="002C6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9C0"/>
  </w:style>
  <w:style w:type="paragraph" w:styleId="Quote">
    <w:name w:val="Quote"/>
    <w:basedOn w:val="Heading1"/>
    <w:link w:val="QuoteChar"/>
    <w:qFormat/>
    <w:rsid w:val="002C6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9C0"/>
    <w:pPr>
      <w:pageBreakBefore/>
    </w:pPr>
  </w:style>
  <w:style w:type="paragraph" w:customStyle="1" w:styleId="Border">
    <w:name w:val="Border"/>
    <w:basedOn w:val="Normal"/>
    <w:qFormat/>
    <w:rsid w:val="002C6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9C0"/>
    <w:rPr>
      <w:u w:val="single"/>
    </w:rPr>
  </w:style>
  <w:style w:type="character" w:customStyle="1" w:styleId="BoldandItalics">
    <w:name w:val="Bold and Italics"/>
    <w:qFormat/>
    <w:rsid w:val="002C69C0"/>
    <w:rPr>
      <w:b/>
      <w:i/>
      <w:u w:val="none"/>
    </w:rPr>
  </w:style>
  <w:style w:type="paragraph" w:styleId="BalloonText">
    <w:name w:val="Balloon Text"/>
    <w:basedOn w:val="Normal"/>
    <w:link w:val="BalloonTextChar"/>
    <w:rsid w:val="002C6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9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9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9C0"/>
    <w:pPr>
      <w:spacing w:before="0" w:after="0"/>
    </w:pPr>
  </w:style>
  <w:style w:type="paragraph" w:customStyle="1" w:styleId="BodyTextBold">
    <w:name w:val="Body Text Bold"/>
    <w:basedOn w:val="BodyText"/>
    <w:qFormat/>
    <w:rsid w:val="002C69C0"/>
    <w:rPr>
      <w:b/>
    </w:rPr>
  </w:style>
  <w:style w:type="character" w:styleId="Hyperlink">
    <w:name w:val="Hyperlink"/>
    <w:basedOn w:val="DefaultParagraphFont"/>
    <w:uiPriority w:val="99"/>
    <w:unhideWhenUsed/>
    <w:rsid w:val="00501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5230</Characters>
  <Application>Microsoft Office Word</Application>
  <DocSecurity>0</DocSecurity>
  <Lines>275</Lines>
  <Paragraphs>144</Paragraphs>
  <ScaleCrop>false</ScaleCrop>
  <Company>Author-it Software Corporation Ltd.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MSTGN6006 Map and establish TCF supply chain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