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185" w:rsidP="000D1185">
      <w:pPr>
        <w:pStyle w:val="Title"/>
      </w:pPr>
      <w:r>
        <w:fldChar w:fldCharType="begin"/>
      </w:r>
      <w:r>
        <w:instrText xml:space="preserve"> TITLE   \* MERGEFORMAT </w:instrText>
      </w:r>
      <w:r>
        <w:fldChar w:fldCharType="separate"/>
      </w:r>
      <w:r>
        <w:t>MSTGN6006 Map and establish TCF supply chain process</w:t>
      </w:r>
      <w:r>
        <w:fldChar w:fldCharType="end"/>
      </w:r>
    </w:p>
    <w:p w:rsidR="000D1185" w:rsidP="000D1185">
      <w:pPr>
        <w:pStyle w:val="Version"/>
        <w:sectPr w:rsidSect="009C32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270" w:rsidP="009C3270">
      <w:pPr>
        <w:pStyle w:val="SuperHeading"/>
      </w:pPr>
      <w:r w:rsidRPr="009C3270">
        <w:t>MSTGN6006 Map and establish TCF supply chain process</w:t>
      </w:r>
    </w:p>
    <w:p w:rsidR="00000000" w:rsidRPr="009C3270" w:rsidP="009C3270">
      <w:pPr>
        <w:pStyle w:val="Heading1"/>
      </w:pPr>
      <w:bookmarkStart w:id="1" w:name="O_931990"/>
      <w:bookmarkEnd w:id="1"/>
      <w:r w:rsidRPr="009C3270">
        <w:t>Modification History</w:t>
      </w:r>
    </w:p>
    <w:p w:rsidR="00000000" w:rsidRPr="009C3270" w:rsidP="000D1185">
      <w:pPr>
        <w:pStyle w:val="BodyText"/>
      </w:pPr>
      <w:r w:rsidRPr="009C3270">
        <w:t>Release 1. Supersedes and is equivalent to LMTGN6006A Map and establish textiles, clothing or footwear supply chain process</w:t>
      </w:r>
    </w:p>
    <w:p w:rsidR="00000000" w:rsidRPr="009C3270" w:rsidP="009C3270">
      <w:pPr>
        <w:pStyle w:val="Heading1"/>
      </w:pPr>
      <w:bookmarkStart w:id="2" w:name="O_931998"/>
      <w:bookmarkEnd w:id="2"/>
      <w:r w:rsidRPr="009C3270">
        <w:t>Application</w:t>
      </w:r>
    </w:p>
    <w:p w:rsidR="00000000" w:rsidRPr="009C3270" w:rsidP="000D1185">
      <w:pPr>
        <w:pStyle w:val="BodyText"/>
      </w:pPr>
      <w:r w:rsidRPr="009C3270">
        <w:t>This unit of competency covers skills and knowledge required to map and es</w:t>
      </w:r>
      <w:r w:rsidRPr="009C3270">
        <w:t>tablish a supply chain process for a textiles, clothing or footwear (TCF) operation.</w:t>
      </w:r>
    </w:p>
    <w:p w:rsidR="00000000" w:rsidRPr="009C3270" w:rsidP="000D1185">
      <w:pPr>
        <w:pStyle w:val="BodyText"/>
      </w:pPr>
      <w:r w:rsidRPr="009C3270">
        <w:t xml:space="preserve">The unit of competency applies to enterprises working with domestic or international suppliers and customers in the supply or receipt of products and services within the </w:t>
      </w:r>
      <w:r w:rsidRPr="009C3270">
        <w:t>TCF industry. Work involves the application of initiative and judgement to build an effective supply chain.</w:t>
      </w:r>
    </w:p>
    <w:p w:rsidR="00000000" w:rsidRPr="009C3270" w:rsidP="000D1185">
      <w:pPr>
        <w:pStyle w:val="BodyText"/>
      </w:pPr>
      <w:r w:rsidRPr="009C3270">
        <w:t>Work includes building commercial relationships, and working effectively within sector or enterprise conditions, import/export regulations, resourc</w:t>
      </w:r>
      <w:r w:rsidRPr="009C3270">
        <w:t>e requirements, and responding to industry work practices.</w:t>
      </w:r>
    </w:p>
    <w:p w:rsidR="00000000" w:rsidRPr="009C3270" w:rsidP="000D1185">
      <w:pPr>
        <w:pStyle w:val="BodyText"/>
      </w:pPr>
      <w:r w:rsidRPr="009C3270">
        <w:t>This unit of competency is applicable to all sectors of the TCF industry.</w:t>
      </w:r>
    </w:p>
    <w:p w:rsidR="00000000" w:rsidRPr="009C3270" w:rsidP="000D1185">
      <w:pPr>
        <w:pStyle w:val="BodyText"/>
      </w:pPr>
      <w:r w:rsidRPr="009C3270">
        <w:t>Work may be conducted in small to large scale enterprises and may involve individual and team activities.</w:t>
      </w:r>
    </w:p>
    <w:p w:rsidR="000D1185" w:rsidP="000D1185">
      <w:pPr>
        <w:pStyle w:val="BodyText"/>
      </w:pPr>
      <w:r w:rsidRPr="009C3270">
        <w:t xml:space="preserve">No licensing, </w:t>
      </w:r>
      <w:r w:rsidRPr="009C3270">
        <w:t>legislative or certification requirements apply to this unit at the time of publication.</w:t>
      </w:r>
    </w:p>
    <w:p w:rsidR="00000000" w:rsidRPr="009C3270" w:rsidP="009C3270">
      <w:pPr>
        <w:pStyle w:val="Heading1"/>
      </w:pPr>
      <w:bookmarkStart w:id="3" w:name="O_931997"/>
      <w:bookmarkEnd w:id="3"/>
      <w:r w:rsidRPr="009C3270">
        <w:t>Pre-requisite Unit</w:t>
      </w:r>
    </w:p>
    <w:tbl>
      <w:tblPr>
        <w:tblW w:w="0" w:type="auto"/>
        <w:tblCellMar>
          <w:left w:w="62" w:type="dxa"/>
          <w:right w:w="62" w:type="dxa"/>
        </w:tblCellMar>
        <w:tblLook w:val="0000"/>
      </w:tblPr>
      <w:tblGrid>
        <w:gridCol w:w="2163"/>
        <w:gridCol w:w="7033"/>
      </w:tblGrid>
      <w:tr w:rsidTr="000D11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MSTGN4006</w:t>
            </w:r>
          </w:p>
        </w:tc>
        <w:tc>
          <w:tcPr>
            <w:tcW w:w="0" w:type="auto"/>
            <w:tcBorders>
              <w:top w:val="nil"/>
              <w:left w:val="nil"/>
              <w:bottom w:val="nil"/>
              <w:right w:val="nil"/>
            </w:tcBorders>
            <w:tcMar>
              <w:top w:w="0" w:type="dxa"/>
              <w:left w:w="62" w:type="dxa"/>
              <w:bottom w:w="0" w:type="dxa"/>
              <w:right w:w="62" w:type="dxa"/>
            </w:tcMar>
          </w:tcPr>
          <w:p w:rsidR="00000000" w:rsidRPr="009C3270" w:rsidP="009C3270">
            <w:pPr>
              <w:pStyle w:val="BodyText"/>
            </w:pPr>
            <w:r w:rsidRPr="009C3270">
              <w:t>Apply TCF market supply systems</w:t>
            </w:r>
          </w:p>
        </w:tc>
      </w:tr>
    </w:tbl>
    <w:p w:rsidR="00000000" w:rsidRPr="009C3270" w:rsidP="009C3270">
      <w:pPr>
        <w:pStyle w:val="BodyText"/>
      </w:pPr>
    </w:p>
    <w:p w:rsidR="00000000" w:rsidRPr="009C3270" w:rsidP="009C3270">
      <w:pPr>
        <w:pStyle w:val="AllowPageBreak"/>
      </w:pPr>
    </w:p>
    <w:p w:rsidR="00000000" w:rsidRPr="009C3270" w:rsidP="009C3270">
      <w:pPr>
        <w:pStyle w:val="Heading1"/>
      </w:pPr>
      <w:bookmarkStart w:id="4" w:name="O_931996"/>
      <w:bookmarkEnd w:id="4"/>
      <w:r w:rsidRPr="009C3270">
        <w:t>Competency Field</w:t>
      </w:r>
    </w:p>
    <w:p w:rsidR="00000000" w:rsidRPr="009C3270" w:rsidP="000D1185">
      <w:pPr>
        <w:pStyle w:val="BodyText"/>
      </w:pPr>
      <w:r w:rsidRPr="009C3270">
        <w:t>Generic</w:t>
      </w:r>
    </w:p>
    <w:p w:rsidR="00000000" w:rsidRPr="009C3270" w:rsidP="009C3270">
      <w:pPr>
        <w:pStyle w:val="Heading1"/>
      </w:pPr>
      <w:bookmarkStart w:id="5" w:name="O_931995"/>
      <w:bookmarkEnd w:id="5"/>
      <w:r w:rsidRPr="009C3270">
        <w:t>Unit Sector</w:t>
      </w:r>
    </w:p>
    <w:p w:rsidR="00000000" w:rsidRPr="009C3270" w:rsidP="000D1185">
      <w:pPr>
        <w:pStyle w:val="BodyText"/>
      </w:pPr>
      <w:r w:rsidRPr="009C3270">
        <w:t>Not applicable</w:t>
      </w:r>
    </w:p>
    <w:p w:rsidR="00000000" w:rsidRPr="009C3270" w:rsidP="009C3270">
      <w:pPr>
        <w:pStyle w:val="Heading1"/>
      </w:pPr>
      <w:bookmarkStart w:id="6" w:name="O_931994"/>
      <w:bookmarkEnd w:id="6"/>
      <w:r w:rsidRPr="009C32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C32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Performance criteria describe the performance needed to demonstrate achievement of the element.</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3270" w:rsidP="009C3270">
            <w:pPr>
              <w:pStyle w:val="BodyText"/>
            </w:pPr>
            <w:r w:rsidRPr="009C3270">
              <w:t>1</w:t>
            </w:r>
          </w:p>
        </w:tc>
        <w:tc>
          <w:tcPr>
            <w:tcW w:w="1962" w:type="dxa"/>
            <w:vMerge w:val="restart"/>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1.1</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Follow standard operating procedures (SOPs)</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1.2</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Comply with work health and safety (WHS) requirements at all times</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1.3</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Use appropriate personal protective equipment (PPE) in accordance with SOPs</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1.4</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Identify job requirements from specifications, drawings, job sheets or work instructions</w:t>
            </w:r>
          </w:p>
        </w:tc>
      </w:tr>
      <w:tr w:rsidTr="009C32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C3270">
            <w:pPr>
              <w:pStyle w:val="BodyText"/>
              <w:rPr>
                <w:lang w:val="en-NZ"/>
              </w:rPr>
            </w:pP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3270" w:rsidP="009C3270">
            <w:pPr>
              <w:pStyle w:val="BodyText"/>
            </w:pPr>
            <w:r w:rsidRPr="009C3270">
              <w:t>2</w:t>
            </w:r>
          </w:p>
        </w:tc>
        <w:tc>
          <w:tcPr>
            <w:tcW w:w="1962" w:type="dxa"/>
            <w:vMerge w:val="restart"/>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rPr>
                <w:rStyle w:val="SpecialBold"/>
              </w:rPr>
              <w:t>Identify supply requirements</w:t>
            </w: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2.1</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Confirm projected requirements for TCF stock supplies, product quantities, quality and delivery schedules</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2.2</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Document identified issues and problems concerning projected requirements</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2.3</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Identify and confirm resources, supply requirements, availability of machines and personnel</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2.4</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 xml:space="preserve">Identify regular and occasional supply needs and document conditions </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2.5</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Determine the flow rate for each category of TCF product</w:t>
            </w:r>
          </w:p>
        </w:tc>
      </w:tr>
      <w:tr w:rsidTr="009C32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C3270">
            <w:pPr>
              <w:pStyle w:val="BodyText"/>
              <w:rPr>
                <w:lang w:val="en-NZ"/>
              </w:rPr>
            </w:pP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3270" w:rsidP="009C3270">
            <w:pPr>
              <w:pStyle w:val="BodyText"/>
            </w:pPr>
            <w:r w:rsidRPr="009C3270">
              <w:t>3</w:t>
            </w:r>
          </w:p>
        </w:tc>
        <w:tc>
          <w:tcPr>
            <w:tcW w:w="1962" w:type="dxa"/>
            <w:vMerge w:val="restart"/>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rPr>
                <w:rStyle w:val="SpecialBold"/>
              </w:rPr>
              <w:t>Determine enterprise requirements for suppliers</w:t>
            </w: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3.1</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Establish business conditions for supply arrangements in consultation with senior management</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3.2</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Confirm specifications for raw materials, products and production processes</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3.3</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Establish testing procedures to confirm product and material quality</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3.4</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 xml:space="preserve">Analyse import and export rules and regulations for international sources to determine effect on supply </w:t>
            </w:r>
            <w:r w:rsidRPr="009C3270">
              <w:t xml:space="preserve">conditions </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3.5</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Establish communication and documentation protocols</w:t>
            </w:r>
          </w:p>
        </w:tc>
      </w:tr>
      <w:tr w:rsidTr="009C32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C3270">
            <w:pPr>
              <w:pStyle w:val="BodyText"/>
              <w:rPr>
                <w:lang w:val="en-NZ"/>
              </w:rPr>
            </w:pP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3270" w:rsidP="009C3270">
            <w:pPr>
              <w:pStyle w:val="BodyText"/>
            </w:pPr>
            <w:r w:rsidRPr="009C3270">
              <w:t>4</w:t>
            </w:r>
          </w:p>
        </w:tc>
        <w:tc>
          <w:tcPr>
            <w:tcW w:w="1962" w:type="dxa"/>
            <w:vMerge w:val="restart"/>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rPr>
                <w:rStyle w:val="SpecialBold"/>
              </w:rPr>
              <w:t>Establish supply chain process</w:t>
            </w: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4.1</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Obtain and confirm specific information relating to TCF supply chain capacity</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4.2</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Establish internal processes to ensure receipt and supply of TCF products meet enterprise conditions, quality standards and resource requirements</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4.3</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Collect and analys</w:t>
            </w:r>
            <w:r w:rsidRPr="009C3270">
              <w:t>e information to assess purchasing organisation</w:t>
            </w:r>
            <w:r>
              <w:t>’</w:t>
            </w:r>
            <w:r w:rsidRPr="009C3270">
              <w:t xml:space="preserve">s viability  </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4.4</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Obtain terms of payment offered by each buyer, negotiate for advantage and analyse for impact on finances</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4.5</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Conduct ongoing research to assess new trends and conditions that may influence supply and demand in the TCF industry</w:t>
            </w:r>
          </w:p>
        </w:tc>
      </w:tr>
      <w:tr w:rsidTr="009C32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C3270">
            <w:pPr>
              <w:pStyle w:val="BodyText"/>
              <w:rPr>
                <w:lang w:val="en-NZ"/>
              </w:rPr>
            </w:pP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3270" w:rsidP="009C3270">
            <w:pPr>
              <w:pStyle w:val="BodyText"/>
            </w:pPr>
            <w:r w:rsidRPr="009C3270">
              <w:t>5</w:t>
            </w:r>
          </w:p>
        </w:tc>
        <w:tc>
          <w:tcPr>
            <w:tcW w:w="1962" w:type="dxa"/>
            <w:vMerge w:val="restart"/>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rPr>
                <w:rStyle w:val="SpecialBold"/>
              </w:rPr>
              <w:t>Establish ongoing monitoring arrangements for the supply chain</w:t>
            </w: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5.1</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Maintain documentation, TCF production planning records and pre</w:t>
            </w:r>
            <w:r w:rsidRPr="009C3270">
              <w:t>pare reports to ensure supply chain information is accurate and current</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5.2</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Analyse performance indicators to assess supply efficiency</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5.3</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Act to remedy poor performance areas</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5.4</w:t>
            </w:r>
          </w:p>
        </w:tc>
        <w:tc>
          <w:tcPr>
            <w:tcW w:w="561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Incorporate strategies into the TCF</w:t>
            </w:r>
            <w:r w:rsidRPr="009C3270">
              <w:t xml:space="preserve"> supply chain plan to ensure positive performance </w:t>
            </w:r>
          </w:p>
        </w:tc>
      </w:tr>
      <w:tr w:rsidTr="009C32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5.5</w:t>
            </w:r>
          </w:p>
        </w:tc>
        <w:tc>
          <w:tcPr>
            <w:tcW w:w="5610" w:type="dxa"/>
            <w:tcBorders>
              <w:top w:val="nil"/>
              <w:left w:val="nil"/>
              <w:bottom w:val="nil"/>
              <w:right w:val="nil"/>
            </w:tcBorders>
            <w:tcMar>
              <w:top w:w="0" w:type="dxa"/>
              <w:left w:w="62" w:type="dxa"/>
              <w:bottom w:w="0" w:type="dxa"/>
              <w:right w:w="62" w:type="dxa"/>
            </w:tcMar>
          </w:tcPr>
          <w:p w:rsidR="00000000" w:rsidRPr="009C3270" w:rsidP="009C3270">
            <w:pPr>
              <w:pStyle w:val="BodyText"/>
            </w:pPr>
            <w:r w:rsidRPr="009C3270">
              <w:t xml:space="preserve">Use appropriate electronic and digital tools and communication systems </w:t>
            </w:r>
          </w:p>
        </w:tc>
      </w:tr>
    </w:tbl>
    <w:p w:rsidR="00000000" w:rsidRPr="009C3270" w:rsidP="009C3270">
      <w:pPr>
        <w:pStyle w:val="BodyText"/>
      </w:pPr>
    </w:p>
    <w:p w:rsidR="00000000" w:rsidRPr="009C3270" w:rsidP="009C3270">
      <w:pPr>
        <w:pStyle w:val="AllowPageBreak"/>
      </w:pPr>
    </w:p>
    <w:p w:rsidR="00000000" w:rsidRPr="009C3270" w:rsidP="009C3270">
      <w:pPr>
        <w:pStyle w:val="Heading1"/>
      </w:pPr>
      <w:bookmarkStart w:id="7" w:name="O_931993"/>
      <w:bookmarkEnd w:id="7"/>
      <w:r w:rsidRPr="009C3270">
        <w:t>Foundation Skills</w:t>
      </w:r>
    </w:p>
    <w:p w:rsidR="00000000" w:rsidRPr="009C3270" w:rsidP="000D1185">
      <w:pPr>
        <w:pStyle w:val="BodyText"/>
      </w:pPr>
      <w:r w:rsidRPr="009C3270">
        <w:t>This section describes those required skills (language, literacy and numeracy) that are essential to performance.</w:t>
      </w:r>
    </w:p>
    <w:p w:rsidR="00000000" w:rsidRPr="009C3270" w:rsidP="000D1185">
      <w:pPr>
        <w:pStyle w:val="BodyText"/>
      </w:pPr>
      <w:r w:rsidRPr="009C3270">
        <w:t>Foundation skills essential to performance are explicit in the performance criteria of this unit of competency.</w:t>
      </w:r>
    </w:p>
    <w:p w:rsidR="00000000" w:rsidRPr="009C3270" w:rsidP="009C3270">
      <w:pPr>
        <w:pStyle w:val="Heading1"/>
      </w:pPr>
      <w:bookmarkStart w:id="8" w:name="O_931992"/>
      <w:bookmarkEnd w:id="8"/>
      <w:r w:rsidRPr="009C3270">
        <w:t>Range of Con</w:t>
      </w:r>
      <w:r w:rsidRPr="009C3270">
        <w:t>ditions</w:t>
      </w:r>
    </w:p>
    <w:tbl>
      <w:tblPr>
        <w:tblW w:w="0" w:type="auto"/>
        <w:tblCellMar>
          <w:left w:w="62" w:type="dxa"/>
          <w:right w:w="62" w:type="dxa"/>
        </w:tblCellMar>
        <w:tblLook w:val="0000"/>
      </w:tblPr>
      <w:tblGrid>
        <w:gridCol w:w="2163"/>
        <w:gridCol w:w="7033"/>
      </w:tblGrid>
      <w:tr w:rsidTr="000D11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t>This field allows for different work environments and conditions that may affect performance. Essential operating conditions that may be present (depending on the work situation, needs of the candidate, accessibility of the item, and local industry</w:t>
            </w:r>
            <w:r w:rsidRPr="009C3270">
              <w:t xml:space="preserve"> and regional contexts) are included.</w:t>
            </w:r>
          </w:p>
        </w:tc>
      </w:tr>
      <w:tr w:rsidTr="000D11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C3270" w:rsidP="009C3270">
            <w:pPr>
              <w:pStyle w:val="ListBullet"/>
            </w:pPr>
            <w:r w:rsidRPr="009C3270">
              <w:t>requirements prescribed by legislation, awards, agreements and conditions of employment</w:t>
            </w:r>
          </w:p>
          <w:p w:rsidR="00000000" w:rsidRPr="009C3270" w:rsidP="009C3270">
            <w:pPr>
              <w:pStyle w:val="ListBullet"/>
            </w:pPr>
            <w:r w:rsidRPr="009C3270">
              <w:t>SOPs</w:t>
            </w:r>
          </w:p>
          <w:p w:rsidR="00000000" w:rsidRPr="009C3270" w:rsidP="009C3270">
            <w:pPr>
              <w:pStyle w:val="ListBullet"/>
            </w:pPr>
            <w:r w:rsidRPr="009C3270">
              <w:t>work instructions</w:t>
            </w:r>
          </w:p>
          <w:p w:rsidR="00000000" w:rsidRPr="009C3270" w:rsidP="009C3270">
            <w:pPr>
              <w:pStyle w:val="ListBullet"/>
            </w:pPr>
            <w:r w:rsidRPr="009C3270">
              <w:t>oral, written and visual communication</w:t>
            </w:r>
          </w:p>
          <w:p w:rsidR="00000000" w:rsidRPr="009C3270" w:rsidP="009C3270">
            <w:pPr>
              <w:pStyle w:val="ListBullet"/>
            </w:pPr>
            <w:r w:rsidRPr="009C3270">
              <w:t>qu</w:t>
            </w:r>
            <w:r w:rsidRPr="009C3270">
              <w:t>ality practices, including responsibility for maintenance of own work quality and contribution to quality improvement of team or section output</w:t>
            </w:r>
          </w:p>
          <w:p w:rsidR="00000000" w:rsidRPr="009C3270" w:rsidP="009C3270">
            <w:pPr>
              <w:pStyle w:val="ListBullet"/>
            </w:pPr>
            <w:r w:rsidRPr="009C3270">
              <w:t>housekeeping</w:t>
            </w:r>
          </w:p>
          <w:p w:rsidR="00000000" w:rsidRPr="009C3270" w:rsidP="009C3270">
            <w:pPr>
              <w:pStyle w:val="ListBullet"/>
            </w:pPr>
            <w:r w:rsidRPr="009C3270">
              <w:t>tasks related to environmental protection, waste disposal, pollution control and recycling</w:t>
            </w:r>
          </w:p>
          <w:p w:rsidR="00000000" w:rsidRPr="009C3270" w:rsidP="009C3270">
            <w:pPr>
              <w:pStyle w:val="ListBullet"/>
            </w:pPr>
            <w:r w:rsidRPr="009C3270">
              <w:t>WHS prac</w:t>
            </w:r>
            <w:r w:rsidRPr="009C3270">
              <w:t>tices</w:t>
            </w:r>
          </w:p>
          <w:p w:rsidR="00000000" w:rsidP="009C3270">
            <w:pPr>
              <w:pStyle w:val="BodyText"/>
              <w:rPr>
                <w:lang w:val="en-NZ"/>
              </w:rPr>
            </w:pPr>
          </w:p>
        </w:tc>
      </w:tr>
      <w:tr w:rsidTr="000D11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C3270" w:rsidP="009C3270">
            <w:pPr>
              <w:pStyle w:val="ListBullet"/>
            </w:pPr>
            <w:r w:rsidRPr="009C3270">
              <w:t>the relevant industry or Australian Standards that are current at the time this unit is being undertaken</w:t>
            </w:r>
          </w:p>
          <w:p w:rsidR="00000000" w:rsidP="009C3270">
            <w:pPr>
              <w:pStyle w:val="BodyText"/>
              <w:rPr>
                <w:lang w:val="en-NZ"/>
              </w:rPr>
            </w:pPr>
          </w:p>
        </w:tc>
      </w:tr>
      <w:tr w:rsidTr="000D11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rPr>
                <w:rStyle w:val="SpecialBold"/>
              </w:rPr>
              <w:t>Flow rate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C3270" w:rsidP="009C3270">
            <w:pPr>
              <w:pStyle w:val="ListBullet"/>
            </w:pPr>
            <w:r w:rsidRPr="009C3270">
              <w:t>just in time (JIT)</w:t>
            </w:r>
          </w:p>
          <w:p w:rsidR="00000000" w:rsidRPr="009C3270" w:rsidP="009C3270">
            <w:pPr>
              <w:pStyle w:val="ListBullet"/>
            </w:pPr>
            <w:r w:rsidRPr="009C3270">
              <w:t>flow demand from customers</w:t>
            </w:r>
          </w:p>
          <w:p w:rsidR="00000000" w:rsidRPr="009C3270" w:rsidP="009C3270">
            <w:pPr>
              <w:pStyle w:val="ListBullet"/>
            </w:pPr>
            <w:r w:rsidRPr="009C3270">
              <w:t>required of suppliers</w:t>
            </w:r>
          </w:p>
          <w:p w:rsidR="00000000" w:rsidRPr="009C3270" w:rsidP="009C3270">
            <w:pPr>
              <w:pStyle w:val="ListBullet"/>
            </w:pPr>
            <w:r w:rsidRPr="009C3270">
              <w:t>unitisation</w:t>
            </w:r>
          </w:p>
          <w:p w:rsidR="00000000" w:rsidP="009C3270">
            <w:pPr>
              <w:pStyle w:val="BodyText"/>
              <w:rPr>
                <w:lang w:val="en-NZ"/>
              </w:rPr>
            </w:pPr>
          </w:p>
        </w:tc>
      </w:tr>
      <w:tr w:rsidTr="000D11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rPr>
                <w:rStyle w:val="SpecialBold"/>
              </w:rPr>
              <w:t>Identified issues and problems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C3270" w:rsidP="009C3270">
            <w:pPr>
              <w:pStyle w:val="ListBullet"/>
            </w:pPr>
            <w:r w:rsidRPr="009C3270">
              <w:t>production schedule changes</w:t>
            </w:r>
          </w:p>
          <w:p w:rsidR="00000000" w:rsidRPr="009C3270" w:rsidP="009C3270">
            <w:pPr>
              <w:pStyle w:val="ListBullet"/>
            </w:pPr>
            <w:r w:rsidRPr="009C3270">
              <w:t>material or resource availability</w:t>
            </w:r>
          </w:p>
          <w:p w:rsidR="00000000" w:rsidRPr="009C3270" w:rsidP="009C3270">
            <w:pPr>
              <w:pStyle w:val="ListBullet"/>
            </w:pPr>
            <w:r w:rsidRPr="009C3270">
              <w:t>equipment maintenance requirements</w:t>
            </w:r>
          </w:p>
          <w:p w:rsidR="00000000" w:rsidRPr="009C3270" w:rsidP="009C3270">
            <w:pPr>
              <w:pStyle w:val="ListBullet"/>
            </w:pPr>
            <w:r w:rsidRPr="009C3270">
              <w:t>high demand</w:t>
            </w:r>
          </w:p>
          <w:p w:rsidR="00000000" w:rsidRPr="009C3270" w:rsidP="009C3270">
            <w:pPr>
              <w:pStyle w:val="ListBullet"/>
            </w:pPr>
            <w:r w:rsidRPr="009C3270">
              <w:t>low demand</w:t>
            </w:r>
          </w:p>
          <w:p w:rsidR="00000000" w:rsidRPr="009C3270" w:rsidP="009C3270">
            <w:pPr>
              <w:pStyle w:val="ListBullet"/>
            </w:pPr>
            <w:r w:rsidRPr="009C3270">
              <w:t>changes to design</w:t>
            </w:r>
          </w:p>
          <w:p w:rsidR="00000000" w:rsidRPr="009C3270" w:rsidP="009C3270">
            <w:pPr>
              <w:pStyle w:val="ListBullet"/>
            </w:pPr>
            <w:r w:rsidRPr="009C3270">
              <w:t>faults</w:t>
            </w:r>
          </w:p>
          <w:p w:rsidR="00000000" w:rsidP="009C3270">
            <w:pPr>
              <w:pStyle w:val="BodyText"/>
              <w:rPr>
                <w:lang w:val="en-NZ"/>
              </w:rPr>
            </w:pPr>
          </w:p>
        </w:tc>
      </w:tr>
      <w:tr w:rsidTr="000D11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270">
            <w:pPr>
              <w:pStyle w:val="BodyText"/>
              <w:rPr>
                <w:lang w:val="en-NZ"/>
              </w:rPr>
            </w:pPr>
            <w:r w:rsidRPr="009C3270">
              <w:rPr>
                <w:rStyle w:val="SpecialBold"/>
              </w:rPr>
              <w:t>Business conditions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C3270" w:rsidP="009C3270">
            <w:pPr>
              <w:pStyle w:val="ListBullet"/>
            </w:pPr>
            <w:r w:rsidRPr="009C3270">
              <w:t>contract conditions</w:t>
            </w:r>
          </w:p>
          <w:p w:rsidR="00000000" w:rsidRPr="009C3270" w:rsidP="009C3270">
            <w:pPr>
              <w:pStyle w:val="ListBullet"/>
            </w:pPr>
            <w:r w:rsidRPr="009C3270">
              <w:t>supply priorities</w:t>
            </w:r>
          </w:p>
          <w:p w:rsidR="00000000" w:rsidRPr="009C3270" w:rsidP="009C3270">
            <w:pPr>
              <w:pStyle w:val="ListBullet"/>
            </w:pPr>
            <w:r w:rsidRPr="009C3270">
              <w:t>communication channels</w:t>
            </w:r>
          </w:p>
          <w:p w:rsidR="00000000" w:rsidRPr="009C3270" w:rsidP="009C3270">
            <w:pPr>
              <w:pStyle w:val="ListBullet"/>
            </w:pPr>
            <w:r w:rsidRPr="009C3270">
              <w:t>authority protocols</w:t>
            </w:r>
          </w:p>
          <w:p w:rsidR="00000000" w:rsidRPr="009C3270" w:rsidP="009C3270">
            <w:pPr>
              <w:pStyle w:val="ListBullet"/>
            </w:pPr>
            <w:r w:rsidRPr="009C3270">
              <w:t>verification</w:t>
            </w:r>
          </w:p>
          <w:p w:rsidR="00000000" w:rsidRPr="009C3270" w:rsidP="009C3270">
            <w:pPr>
              <w:pStyle w:val="ListBullet"/>
            </w:pPr>
            <w:r w:rsidRPr="009C3270">
              <w:t>payment</w:t>
            </w:r>
          </w:p>
        </w:tc>
      </w:tr>
    </w:tbl>
    <w:p w:rsidR="00000000" w:rsidRPr="009C3270" w:rsidP="009C3270">
      <w:pPr>
        <w:pStyle w:val="BodyText"/>
      </w:pPr>
    </w:p>
    <w:p w:rsidR="00000000" w:rsidRPr="009C3270" w:rsidP="009C3270">
      <w:pPr>
        <w:pStyle w:val="AllowPageBreak"/>
      </w:pPr>
    </w:p>
    <w:p w:rsidR="00000000" w:rsidRPr="009C3270" w:rsidP="009C3270">
      <w:pPr>
        <w:pStyle w:val="Heading1"/>
      </w:pPr>
      <w:bookmarkStart w:id="9" w:name="O_931991"/>
      <w:bookmarkEnd w:id="9"/>
      <w:r w:rsidRPr="009C3270">
        <w:t>Unit Mapping Information</w:t>
      </w:r>
    </w:p>
    <w:p w:rsidR="00000000" w:rsidRPr="009C3270" w:rsidP="000D1185">
      <w:pPr>
        <w:pStyle w:val="BodyText"/>
      </w:pPr>
      <w:r w:rsidRPr="009C3270">
        <w:t>Release 1. Supersedes and is equivalent to LMTGN6006A Map and establish textiles, clothing or footwear supply chain process</w:t>
      </w:r>
    </w:p>
    <w:p w:rsidR="00000000" w:rsidRPr="009C3270" w:rsidP="009C3270">
      <w:pPr>
        <w:pStyle w:val="Heading1"/>
      </w:pPr>
      <w:bookmarkStart w:id="10" w:name="O_931984"/>
      <w:bookmarkEnd w:id="10"/>
      <w:r w:rsidRPr="009C3270">
        <w:t>Links</w:t>
      </w:r>
    </w:p>
    <w:p w:rsidR="00000000" w:rsidRPr="009C3270" w:rsidP="000D1185">
      <w:pPr>
        <w:pStyle w:val="BodyText"/>
      </w:pPr>
      <w:r w:rsidRPr="009C32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16527">
        <w:rPr>
          <w:rStyle w:val="Hyperlink"/>
        </w:rPr>
        <w:t>https://vetnet.gov.au/Pages/TrainingDocs.aspx?q=a203ec5c-de7d-406b-b3e1-8f1a9b76e92e</w:t>
      </w:r>
      <w:r>
        <w:fldChar w:fldCharType="end"/>
      </w:r>
    </w:p>
    <w:p w:rsidR="00000000" w:rsidRPr="009C3270" w:rsidP="000D1185">
      <w:pPr>
        <w:pStyle w:val="BodyText"/>
        <w:sectPr w:rsidSect="009C3270">
          <w:headerReference w:type="default" r:id="rId10"/>
          <w:footerReference w:type="default" r:id="rId11"/>
          <w:pgSz w:w="11908" w:h="16833"/>
          <w:pgMar w:top="1702" w:right="1418" w:bottom="1702" w:left="1418" w:header="992" w:footer="992" w:gutter="0"/>
          <w:cols w:space="720"/>
          <w:noEndnote/>
          <w:docGrid w:linePitch="299"/>
        </w:sectPr>
      </w:pPr>
    </w:p>
    <w:p w:rsidR="00000000" w:rsidRPr="009C3270" w:rsidP="009C3270">
      <w:pPr>
        <w:pStyle w:val="SuperHeading"/>
      </w:pPr>
      <w:r w:rsidRPr="009C3270">
        <w:t>Assessment Requirements for MSTGN6006 Map and establish TCF supply chain process</w:t>
      </w:r>
    </w:p>
    <w:p w:rsidR="00000000" w:rsidRPr="009C3270" w:rsidP="009C3270">
      <w:pPr>
        <w:pStyle w:val="Heading1"/>
      </w:pPr>
      <w:bookmarkStart w:id="11" w:name="O_931986"/>
      <w:bookmarkEnd w:id="11"/>
      <w:r w:rsidRPr="009C3270">
        <w:t>Modification History</w:t>
      </w:r>
    </w:p>
    <w:p w:rsidR="00000000" w:rsidRPr="009C3270" w:rsidP="000D1185">
      <w:pPr>
        <w:pStyle w:val="BodyText"/>
      </w:pPr>
      <w:r w:rsidRPr="009C3270">
        <w:t>Release 1. Supersedes and is equivalent to LMTGN6006A Map and establish textiles, clothing or footwear supply chain process</w:t>
      </w:r>
    </w:p>
    <w:p w:rsidR="00000000" w:rsidRPr="009C3270" w:rsidP="009C3270">
      <w:pPr>
        <w:pStyle w:val="Heading1"/>
      </w:pPr>
      <w:bookmarkStart w:id="12" w:name="O_931989"/>
      <w:bookmarkEnd w:id="12"/>
      <w:r w:rsidRPr="009C3270">
        <w:t>Performance Evidence</w:t>
      </w:r>
    </w:p>
    <w:p w:rsidR="00000000" w:rsidRPr="009C3270" w:rsidP="000D1185">
      <w:pPr>
        <w:pStyle w:val="BodyText"/>
      </w:pPr>
      <w:r w:rsidRPr="009C3270">
        <w:t>Evidence required to demonstrate competence in this unit must be relevant to and satisfy the r</w:t>
      </w:r>
      <w:r w:rsidRPr="009C3270">
        <w:t>equirements of the elements and performance criteria, and include:</w:t>
      </w:r>
    </w:p>
    <w:p w:rsidR="00000000" w:rsidRPr="009C3270" w:rsidP="009C3270">
      <w:pPr>
        <w:pStyle w:val="ListBullet"/>
      </w:pPr>
      <w:r w:rsidRPr="009C3270">
        <w:t xml:space="preserve">reading and following work instructions, standard operating procedures (SOPs), safe work practices </w:t>
      </w:r>
    </w:p>
    <w:p w:rsidR="00000000" w:rsidRPr="009C3270" w:rsidP="009C3270">
      <w:pPr>
        <w:pStyle w:val="ListBullet"/>
      </w:pPr>
      <w:r w:rsidRPr="009C3270">
        <w:t>applying relevant standards</w:t>
      </w:r>
    </w:p>
    <w:p w:rsidR="00000000" w:rsidRPr="009C3270" w:rsidP="009C3270">
      <w:pPr>
        <w:pStyle w:val="ListBullet"/>
      </w:pPr>
      <w:r w:rsidRPr="009C3270">
        <w:t>preparing a map of all components and personnel in TCF suppl</w:t>
      </w:r>
      <w:r w:rsidRPr="009C3270">
        <w:t xml:space="preserve">y chain systems for an identified enterprise, and confirming resources, supply requirements, and availability of machines and personnel </w:t>
      </w:r>
    </w:p>
    <w:p w:rsidR="00000000" w:rsidRPr="009C3270" w:rsidP="009C3270">
      <w:pPr>
        <w:pStyle w:val="ListBullet"/>
      </w:pPr>
      <w:r w:rsidRPr="009C3270">
        <w:t>preparing a map of the supply needs of the TCF enterprise and identifying internal processes that ensure receipt and su</w:t>
      </w:r>
      <w:r w:rsidRPr="009C3270">
        <w:t>pply of TCF products meet enterprise conditions, quality standards and resource requirements</w:t>
      </w:r>
    </w:p>
    <w:p w:rsidR="00000000" w:rsidRPr="009C3270" w:rsidP="009C3270">
      <w:pPr>
        <w:pStyle w:val="ListBullet"/>
      </w:pPr>
      <w:r w:rsidRPr="009C3270">
        <w:t xml:space="preserve">analysing import and export rules and regulations for international sources to determine effect on supply conditions </w:t>
      </w:r>
    </w:p>
    <w:p w:rsidR="00000000" w:rsidRPr="009C3270" w:rsidP="009C3270">
      <w:pPr>
        <w:pStyle w:val="ListBullet"/>
      </w:pPr>
      <w:r w:rsidRPr="009C3270">
        <w:t>monitoring supply chain, analysing performanc</w:t>
      </w:r>
      <w:r w:rsidRPr="009C3270">
        <w:t>e and establishing testing procedures to confirm product and material quality</w:t>
      </w:r>
    </w:p>
    <w:p w:rsidR="00000000" w:rsidRPr="009C3270" w:rsidP="009C3270">
      <w:pPr>
        <w:pStyle w:val="ListBullet"/>
      </w:pPr>
      <w:r w:rsidRPr="009C3270">
        <w:t xml:space="preserve">conducting ongoing research to assess new trends, conditions and relationships that may influence supply and demand in the TCF industry </w:t>
      </w:r>
    </w:p>
    <w:p w:rsidR="00000000" w:rsidRPr="009C3270" w:rsidP="009C3270">
      <w:pPr>
        <w:pStyle w:val="ListBullet"/>
      </w:pPr>
      <w:r w:rsidRPr="009C3270">
        <w:t>using appropriate TCF industry terminolog</w:t>
      </w:r>
      <w:r w:rsidRPr="009C3270">
        <w:t>y and technology to prepare a database, spreadsheet or table to record details of relationships and supply chain process for an identified enterprise</w:t>
      </w:r>
    </w:p>
    <w:p w:rsidR="00000000" w:rsidRPr="009C3270" w:rsidP="009C3270">
      <w:pPr>
        <w:pStyle w:val="ListBullet"/>
      </w:pPr>
      <w:r w:rsidRPr="009C3270">
        <w:t>maintaining documentation, TCF production planning records and preparing reports to ensure supply chain in</w:t>
      </w:r>
      <w:r w:rsidRPr="009C3270">
        <w:t>formation is accurate and current.</w:t>
      </w:r>
    </w:p>
    <w:p w:rsidR="00000000" w:rsidRPr="009C3270" w:rsidP="009C3270">
      <w:pPr>
        <w:pStyle w:val="AllowPageBreak"/>
      </w:pPr>
    </w:p>
    <w:p w:rsidR="00000000" w:rsidRPr="009C3270" w:rsidP="009C3270">
      <w:pPr>
        <w:pStyle w:val="Heading1"/>
      </w:pPr>
      <w:bookmarkStart w:id="13" w:name="O_931988"/>
      <w:bookmarkEnd w:id="13"/>
      <w:r w:rsidRPr="009C3270">
        <w:t>Knowledge Evidence</w:t>
      </w:r>
    </w:p>
    <w:p w:rsidR="00000000" w:rsidRPr="009C3270" w:rsidP="000D1185">
      <w:pPr>
        <w:pStyle w:val="BodyText"/>
      </w:pPr>
      <w:r w:rsidRPr="009C3270">
        <w:t>Evidence must be provided that demonstrates knowledge of:</w:t>
      </w:r>
    </w:p>
    <w:p w:rsidR="00000000" w:rsidRPr="009C3270" w:rsidP="009C3270">
      <w:pPr>
        <w:pStyle w:val="ListBullet"/>
      </w:pPr>
      <w:r w:rsidRPr="009C3270">
        <w:t>safe work practices and procedures and use of personal protective equipment (PPE)</w:t>
      </w:r>
    </w:p>
    <w:p w:rsidR="00000000" w:rsidRPr="009C3270" w:rsidP="009C3270">
      <w:pPr>
        <w:pStyle w:val="ListBullet"/>
      </w:pPr>
      <w:r w:rsidRPr="009C3270">
        <w:t>relevant Australian Standards</w:t>
      </w:r>
    </w:p>
    <w:p w:rsidR="00000000" w:rsidRPr="009C3270" w:rsidP="009C3270">
      <w:pPr>
        <w:pStyle w:val="ListBullet"/>
      </w:pPr>
      <w:r w:rsidRPr="009C3270">
        <w:t xml:space="preserve">components of </w:t>
      </w:r>
      <w:r w:rsidRPr="009C3270">
        <w:t>TCF supply chain, such as:</w:t>
      </w:r>
    </w:p>
    <w:p w:rsidR="00000000" w:rsidRPr="009C3270" w:rsidP="009C3270">
      <w:pPr>
        <w:pStyle w:val="ListBullet2"/>
      </w:pPr>
      <w:r w:rsidRPr="009C3270">
        <w:t xml:space="preserve">product flow </w:t>
      </w:r>
    </w:p>
    <w:p w:rsidR="00000000" w:rsidRPr="009C3270" w:rsidP="009C3270">
      <w:pPr>
        <w:pStyle w:val="ListBullet2"/>
      </w:pPr>
      <w:r w:rsidRPr="009C3270">
        <w:t xml:space="preserve">raw material </w:t>
      </w:r>
    </w:p>
    <w:p w:rsidR="00000000" w:rsidRPr="009C3270" w:rsidP="009C3270">
      <w:pPr>
        <w:pStyle w:val="ListBullet2"/>
      </w:pPr>
      <w:r w:rsidRPr="009C3270">
        <w:t>production</w:t>
      </w:r>
    </w:p>
    <w:p w:rsidR="00000000" w:rsidRPr="009C3270" w:rsidP="009C3270">
      <w:pPr>
        <w:pStyle w:val="ListBullet2"/>
      </w:pPr>
      <w:r w:rsidRPr="009C3270">
        <w:t>distribution</w:t>
      </w:r>
    </w:p>
    <w:p w:rsidR="00000000" w:rsidRPr="009C3270" w:rsidP="009C3270">
      <w:pPr>
        <w:pStyle w:val="ListBullet2"/>
      </w:pPr>
      <w:r w:rsidRPr="009C3270">
        <w:t xml:space="preserve">marketing </w:t>
      </w:r>
    </w:p>
    <w:p w:rsidR="00000000" w:rsidRPr="009C3270" w:rsidP="009C3270">
      <w:pPr>
        <w:pStyle w:val="ListBullet2"/>
      </w:pPr>
      <w:r w:rsidRPr="009C3270">
        <w:t>customers</w:t>
      </w:r>
    </w:p>
    <w:p w:rsidR="00000000" w:rsidRPr="009C3270" w:rsidP="009C3270">
      <w:pPr>
        <w:pStyle w:val="ListBullet2"/>
      </w:pPr>
      <w:r w:rsidRPr="009C3270">
        <w:t>business support and administrators</w:t>
      </w:r>
    </w:p>
    <w:p w:rsidR="00000000" w:rsidRPr="009C3270" w:rsidP="009C3270">
      <w:pPr>
        <w:pStyle w:val="ListBullet"/>
      </w:pPr>
      <w:r w:rsidRPr="009C3270">
        <w:t>characteristics of a broad range of fibres, fabrics and fashion and textile products</w:t>
      </w:r>
    </w:p>
    <w:p w:rsidR="00000000" w:rsidRPr="009C3270" w:rsidP="009C3270">
      <w:pPr>
        <w:pStyle w:val="ListBullet"/>
      </w:pPr>
      <w:r w:rsidRPr="009C3270">
        <w:t>information resources on fibres and fabrics</w:t>
      </w:r>
    </w:p>
    <w:p w:rsidR="00000000" w:rsidRPr="009C3270" w:rsidP="009C3270">
      <w:pPr>
        <w:pStyle w:val="ListBullet"/>
      </w:pPr>
      <w:r w:rsidRPr="009C3270">
        <w:t>TCF production processes</w:t>
      </w:r>
    </w:p>
    <w:p w:rsidR="00000000" w:rsidRPr="009C3270" w:rsidP="009C3270">
      <w:pPr>
        <w:pStyle w:val="ListBullet"/>
      </w:pPr>
      <w:r w:rsidRPr="009C3270">
        <w:t xml:space="preserve">test procedures to assess quality of materials and products </w:t>
      </w:r>
    </w:p>
    <w:p w:rsidR="00000000" w:rsidRPr="009C3270" w:rsidP="009C3270">
      <w:pPr>
        <w:pStyle w:val="ListBullet"/>
      </w:pPr>
      <w:r w:rsidRPr="009C3270">
        <w:t>electronic and digital tools used in TCF supply chain</w:t>
      </w:r>
    </w:p>
    <w:p w:rsidR="00000000" w:rsidRPr="009C3270" w:rsidP="009C3270">
      <w:pPr>
        <w:pStyle w:val="ListBullet"/>
      </w:pPr>
      <w:r w:rsidRPr="009C3270">
        <w:t>electronic and digital communication and recording tools appropriate for</w:t>
      </w:r>
      <w:r w:rsidRPr="009C3270">
        <w:t xml:space="preserve"> TCF supply chain</w:t>
      </w:r>
    </w:p>
    <w:p w:rsidR="00000000" w:rsidRPr="009C3270" w:rsidP="009C3270">
      <w:pPr>
        <w:pStyle w:val="ListBullet"/>
      </w:pPr>
      <w:r w:rsidRPr="009C3270">
        <w:t>information on TCF trends and conditions test procedures to assess quality of materials and products</w:t>
      </w:r>
    </w:p>
    <w:p w:rsidR="00000000" w:rsidRPr="009C3270" w:rsidP="009C3270">
      <w:pPr>
        <w:pStyle w:val="ListBullet"/>
      </w:pPr>
      <w:r w:rsidRPr="009C3270">
        <w:t>workplace procedures</w:t>
      </w:r>
    </w:p>
    <w:p w:rsidR="00000000" w:rsidRPr="009C3270" w:rsidP="009C3270">
      <w:pPr>
        <w:pStyle w:val="ListBullet"/>
      </w:pPr>
      <w:r w:rsidRPr="009C3270">
        <w:t>recording and reporting practices.</w:t>
      </w:r>
    </w:p>
    <w:p w:rsidR="00000000" w:rsidRPr="009C3270" w:rsidP="009C3270">
      <w:pPr>
        <w:pStyle w:val="AllowPageBreak"/>
      </w:pPr>
    </w:p>
    <w:p w:rsidR="00000000" w:rsidRPr="009C3270" w:rsidP="009C3270">
      <w:pPr>
        <w:pStyle w:val="Heading1"/>
      </w:pPr>
      <w:bookmarkStart w:id="14" w:name="O_931987"/>
      <w:bookmarkEnd w:id="14"/>
      <w:r w:rsidRPr="009C3270">
        <w:t>Assessment Conditions</w:t>
      </w:r>
    </w:p>
    <w:p w:rsidR="00000000" w:rsidRPr="009C3270" w:rsidP="009C3270">
      <w:pPr>
        <w:pStyle w:val="ListBullet"/>
      </w:pPr>
      <w:r w:rsidRPr="009C3270">
        <w:t>Assessors must:</w:t>
      </w:r>
    </w:p>
    <w:p w:rsidR="00000000" w:rsidRPr="009C3270" w:rsidP="009C3270">
      <w:pPr>
        <w:pStyle w:val="ListBullet2"/>
      </w:pPr>
      <w:r w:rsidRPr="009C3270">
        <w:t>satisfy the assessor competency requirements that are in place at the time of the assessment, as set by the VET regulator</w:t>
      </w:r>
    </w:p>
    <w:p w:rsidR="00000000" w:rsidRPr="009C3270" w:rsidP="009C3270">
      <w:pPr>
        <w:pStyle w:val="ListBullet2"/>
      </w:pPr>
      <w:r w:rsidRPr="009C3270">
        <w:t>have vocational competency in mapping and establishing TCF supply chain process, at least to the level being assessed, with relevant i</w:t>
      </w:r>
      <w:r w:rsidRPr="009C3270">
        <w:t>ndustry knowledge and experience.</w:t>
      </w:r>
    </w:p>
    <w:p w:rsidR="00000000" w:rsidRPr="009C3270" w:rsidP="009C3270">
      <w:pPr>
        <w:pStyle w:val="ListBullet"/>
      </w:pPr>
      <w:r w:rsidRPr="009C3270">
        <w:t>Assessment should occur in operational workplace situations. Where this is not possible, or where personal safety or environmental damage are limiting factors, assessment must occur in a sufficiently rigorous simulated en</w:t>
      </w:r>
      <w:r w:rsidRPr="009C3270">
        <w:t>vironment reflecting realistic operational workplace conditions. This must cover all aspects of workplace performance, including environment, task skills, task management skills, contingency management skills and job role environment skills.</w:t>
      </w:r>
    </w:p>
    <w:p w:rsidR="00000000" w:rsidRPr="009C3270" w:rsidP="009C3270">
      <w:pPr>
        <w:pStyle w:val="ListBullet"/>
      </w:pPr>
      <w:r w:rsidRPr="009C3270">
        <w:t>Assessment pro</w:t>
      </w:r>
      <w:r w:rsidRPr="009C3270">
        <w:t>cesses and techniques must be appropriate to the language, literacy and numeracy requirements of the work being performed and the needs of the candidate.</w:t>
      </w:r>
    </w:p>
    <w:p w:rsidR="00000000" w:rsidRPr="009C3270" w:rsidP="009C3270">
      <w:pPr>
        <w:pStyle w:val="ListBullet"/>
      </w:pPr>
      <w:r w:rsidRPr="009C3270">
        <w:t>Conditions for assessment must include access to all tools, equipment, materials and documentation req</w:t>
      </w:r>
      <w:r w:rsidRPr="009C3270">
        <w:t>uired, including relevant workplace procedures, product and manufacturing specifications associated with this unit.</w:t>
      </w:r>
    </w:p>
    <w:p w:rsidR="00000000" w:rsidRPr="009C3270" w:rsidP="009C3270">
      <w:pPr>
        <w:pStyle w:val="ListBullet"/>
      </w:pPr>
      <w:r w:rsidRPr="009C3270">
        <w:t>The unit is applicable to all TCF sectors and assessment must ensure it is delivered to suit the industry it is being applied to.</w:t>
      </w:r>
    </w:p>
    <w:p w:rsidR="00000000" w:rsidRPr="009C3270" w:rsidP="009C3270">
      <w:pPr>
        <w:pStyle w:val="AllowPageBreak"/>
      </w:pPr>
    </w:p>
    <w:p w:rsidR="00000000" w:rsidRPr="009C3270" w:rsidP="009C3270">
      <w:pPr>
        <w:pStyle w:val="Heading1"/>
      </w:pPr>
      <w:bookmarkStart w:id="15" w:name="O_931985"/>
      <w:bookmarkEnd w:id="15"/>
      <w:r w:rsidRPr="009C3270">
        <w:t>Links</w:t>
      </w:r>
    </w:p>
    <w:p w:rsidR="00000000" w:rsidRPr="009C3270" w:rsidP="000D1185">
      <w:pPr>
        <w:pStyle w:val="BodyText"/>
      </w:pPr>
      <w:r w:rsidRPr="009C32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16527">
        <w:rPr>
          <w:rStyle w:val="Hyperlink"/>
        </w:rPr>
        <w:t>https://vetnet.gov.au/Pages/TrainingDocs.aspx?q=a203ec5c-de7d-406b-b3e1-8f1a9b76e92e</w:t>
      </w:r>
      <w:r>
        <w:fldChar w:fldCharType="end"/>
      </w:r>
    </w:p>
    <w:p w:rsidR="00000000" w:rsidRPr="009C3270" w:rsidP="009C3270"/>
    <w:sectPr w:rsidSect="009C32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70" w:rsidRPr="000D1185" w:rsidP="000D1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85" w:rsidP="009C32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1185" w:rsidP="009C32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D1185" w:rsidP="009C32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70" w:rsidP="009C3270">
    <w:pPr>
      <w:pStyle w:val="Footer"/>
      <w:framePr w:wrap="around"/>
    </w:pPr>
    <w:r>
      <w:fldChar w:fldCharType="begin"/>
    </w:r>
    <w:r>
      <w:instrText xml:space="preserve"> DOCPROPERTY  Subject  \* MERGEFORMAT </w:instrText>
    </w:r>
    <w:r>
      <w:fldChar w:fldCharType="separate"/>
    </w:r>
    <w:r w:rsidR="000D1185">
      <w:t>Approved</w:t>
    </w:r>
    <w:r w:rsidR="000D1185">
      <w:fldChar w:fldCharType="end"/>
    </w:r>
    <w:r>
      <w:tab/>
      <w:t xml:space="preserve">Page </w:t>
    </w:r>
    <w:r>
      <w:fldChar w:fldCharType="begin"/>
    </w:r>
    <w:r>
      <w:instrText xml:space="preserve"> PAGE  \* Arabic  \* MERGEFORMAT </w:instrText>
    </w:r>
    <w:r>
      <w:fldChar w:fldCharType="separate"/>
    </w:r>
    <w:r w:rsidR="000D11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185">
      <w:rPr>
        <w:noProof/>
      </w:rPr>
      <w:t>5</w:t>
    </w:r>
    <w:r>
      <w:rPr>
        <w:noProof/>
      </w:rPr>
      <w:fldChar w:fldCharType="end"/>
    </w:r>
  </w:p>
  <w:p w:rsidR="009C3270" w:rsidP="009C3270">
    <w:pPr>
      <w:pStyle w:val="Footer"/>
      <w:framePr w:wrap="around"/>
    </w:pPr>
    <w:r>
      <w:t xml:space="preserve">© Commonwealth of Australia, </w:t>
    </w:r>
    <w:r>
      <w:fldChar w:fldCharType="begin"/>
    </w:r>
    <w:r>
      <w:instrText xml:space="preserve"> DATE  \@ "yyyy"  \* MERGEFORMAT </w:instrText>
    </w:r>
    <w:r>
      <w:fldChar w:fldCharType="separate"/>
    </w:r>
    <w:r w:rsidR="000D1185">
      <w:rPr>
        <w:noProof/>
      </w:rPr>
      <w:t>2025</w:t>
    </w:r>
    <w:r>
      <w:fldChar w:fldCharType="end"/>
    </w:r>
    <w:r>
      <w:tab/>
    </w:r>
    <w:r>
      <w:fldChar w:fldCharType="begin"/>
    </w:r>
    <w:r>
      <w:instrText xml:space="preserve"> DOCPROPERTY  Author  \* MERGEFORMAT </w:instrText>
    </w:r>
    <w:r>
      <w:fldChar w:fldCharType="separate"/>
    </w:r>
    <w:r w:rsidR="000D1185">
      <w:t>Skills Insight</w:t>
    </w:r>
    <w:r w:rsidR="000D1185">
      <w:fldChar w:fldCharType="end"/>
    </w:r>
  </w:p>
  <w:p w:rsidR="009C3270" w:rsidP="009C32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270" w:rsidRPr="000D1185" w:rsidP="000D11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85" w:rsidRPr="002D2AF8" w:rsidP="009C3270">
    <w:pPr>
      <w:pStyle w:val="Header"/>
      <w:framePr w:wrap="around"/>
    </w:pPr>
    <w:r>
      <w:fldChar w:fldCharType="begin"/>
    </w:r>
    <w:r>
      <w:instrText xml:space="preserve"> TITLE   \* MERGEFORMAT </w:instrText>
    </w:r>
    <w:r>
      <w:fldChar w:fldCharType="separate"/>
    </w:r>
    <w:r>
      <w:t>MSTGN6006 Map and establish TCF supply chain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1185" w:rsidP="009C32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70" w:rsidRPr="002D2AF8" w:rsidP="009C3270">
    <w:pPr>
      <w:pStyle w:val="Header"/>
      <w:framePr w:wrap="around"/>
    </w:pPr>
    <w:r>
      <w:fldChar w:fldCharType="begin"/>
    </w:r>
    <w:r>
      <w:instrText xml:space="preserve"> TITLE   \* MERGEFORMAT </w:instrText>
    </w:r>
    <w:r>
      <w:fldChar w:fldCharType="separate"/>
    </w:r>
    <w:r w:rsidR="000D1185">
      <w:t>MSTGN6006 Map and establish TCF supply chain process</w:t>
    </w:r>
    <w:r w:rsidR="000D1185">
      <w:fldChar w:fldCharType="end"/>
    </w:r>
    <w:r>
      <w:tab/>
      <w:t xml:space="preserve">Date this document was generated: </w:t>
    </w:r>
    <w:r>
      <w:fldChar w:fldCharType="begin"/>
    </w:r>
    <w:r>
      <w:instrText xml:space="preserve"> CREATEDATE  \@ "d MMMM yyyy"  \* MERGEFORMAT </w:instrText>
    </w:r>
    <w:r>
      <w:fldChar w:fldCharType="separate"/>
    </w:r>
    <w:r w:rsidR="000D1185">
      <w:rPr>
        <w:noProof/>
      </w:rPr>
      <w:t>2 March 2025</w:t>
    </w:r>
    <w:r>
      <w:fldChar w:fldCharType="end"/>
    </w:r>
  </w:p>
  <w:p w:rsidR="009C3270" w:rsidP="009C32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1E9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1A8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C48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2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270"/>
    <w:pPr>
      <w:spacing w:before="360" w:after="60"/>
      <w:outlineLvl w:val="0"/>
    </w:pPr>
    <w:rPr>
      <w:sz w:val="32"/>
    </w:rPr>
  </w:style>
  <w:style w:type="paragraph" w:styleId="Heading2">
    <w:name w:val="heading 2"/>
    <w:basedOn w:val="HeadingBase"/>
    <w:next w:val="BodyText"/>
    <w:link w:val="Heading2Char"/>
    <w:qFormat/>
    <w:rsid w:val="009C3270"/>
    <w:pPr>
      <w:keepLines/>
      <w:spacing w:before="240" w:after="120"/>
      <w:outlineLvl w:val="1"/>
    </w:pPr>
    <w:rPr>
      <w:sz w:val="28"/>
      <w:szCs w:val="40"/>
    </w:rPr>
  </w:style>
  <w:style w:type="paragraph" w:styleId="Heading3">
    <w:name w:val="heading 3"/>
    <w:basedOn w:val="HeadingBase"/>
    <w:next w:val="BodyText"/>
    <w:link w:val="Heading3Char"/>
    <w:qFormat/>
    <w:rsid w:val="009C3270"/>
    <w:pPr>
      <w:spacing w:before="180" w:after="120"/>
      <w:outlineLvl w:val="2"/>
    </w:pPr>
    <w:rPr>
      <w:spacing w:val="-10"/>
      <w:kern w:val="32"/>
    </w:rPr>
  </w:style>
  <w:style w:type="paragraph" w:styleId="Heading4">
    <w:name w:val="heading 4"/>
    <w:basedOn w:val="HeadingBase"/>
    <w:next w:val="BodyText"/>
    <w:link w:val="Heading4Char"/>
    <w:qFormat/>
    <w:rsid w:val="009C3270"/>
    <w:pPr>
      <w:spacing w:before="160" w:after="120"/>
      <w:outlineLvl w:val="3"/>
    </w:pPr>
    <w:rPr>
      <w:sz w:val="22"/>
    </w:rPr>
  </w:style>
  <w:style w:type="paragraph" w:styleId="Heading5">
    <w:name w:val="heading 5"/>
    <w:basedOn w:val="HeadingBase"/>
    <w:next w:val="Normal"/>
    <w:link w:val="Heading5Char"/>
    <w:qFormat/>
    <w:rsid w:val="009C3270"/>
    <w:pPr>
      <w:spacing w:before="80"/>
      <w:outlineLvl w:val="4"/>
    </w:pPr>
    <w:rPr>
      <w:color w:val="918585"/>
      <w:sz w:val="20"/>
    </w:rPr>
  </w:style>
  <w:style w:type="paragraph" w:styleId="Heading6">
    <w:name w:val="heading 6"/>
    <w:basedOn w:val="HeadingBase"/>
    <w:next w:val="Normal"/>
    <w:link w:val="Heading6Char"/>
    <w:qFormat/>
    <w:rsid w:val="009C3270"/>
    <w:pPr>
      <w:spacing w:before="60"/>
      <w:outlineLvl w:val="5"/>
    </w:pPr>
    <w:rPr>
      <w:color w:val="918585"/>
      <w:sz w:val="20"/>
    </w:rPr>
  </w:style>
  <w:style w:type="paragraph" w:styleId="Heading7">
    <w:name w:val="heading 7"/>
    <w:basedOn w:val="Normal"/>
    <w:next w:val="Normal"/>
    <w:link w:val="Heading7Char"/>
    <w:qFormat/>
    <w:rsid w:val="009C3270"/>
    <w:pPr>
      <w:ind w:left="720"/>
      <w:outlineLvl w:val="6"/>
    </w:pPr>
    <w:rPr>
      <w:i/>
    </w:rPr>
  </w:style>
  <w:style w:type="paragraph" w:styleId="Heading8">
    <w:name w:val="heading 8"/>
    <w:basedOn w:val="Normal"/>
    <w:next w:val="Normal"/>
    <w:link w:val="Heading8Char"/>
    <w:qFormat/>
    <w:rsid w:val="009C3270"/>
    <w:pPr>
      <w:ind w:left="720"/>
      <w:outlineLvl w:val="7"/>
    </w:pPr>
    <w:rPr>
      <w:i/>
    </w:rPr>
  </w:style>
  <w:style w:type="paragraph" w:styleId="Heading9">
    <w:name w:val="heading 9"/>
    <w:basedOn w:val="Normal"/>
    <w:next w:val="Normal"/>
    <w:link w:val="Heading9Char"/>
    <w:qFormat/>
    <w:rsid w:val="009C3270"/>
    <w:pPr>
      <w:ind w:left="720"/>
      <w:outlineLvl w:val="8"/>
    </w:pPr>
    <w:rPr>
      <w:i/>
    </w:rPr>
  </w:style>
  <w:style w:type="character" w:default="1" w:styleId="DefaultParagraphFont">
    <w:name w:val="Default Paragraph Font"/>
    <w:uiPriority w:val="1"/>
    <w:unhideWhenUsed/>
    <w:rsid w:val="009C32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270"/>
  </w:style>
  <w:style w:type="character" w:customStyle="1" w:styleId="Heading1Char">
    <w:name w:val="Heading 1 Char"/>
    <w:basedOn w:val="DefaultParagraphFont"/>
    <w:link w:val="Heading1"/>
    <w:rsid w:val="009C3270"/>
    <w:rPr>
      <w:rFonts w:ascii="Times New Roman" w:eastAsia="Times New Roman" w:hAnsi="Times New Roman" w:cs="Times New Roman"/>
      <w:b/>
      <w:sz w:val="32"/>
      <w:szCs w:val="20"/>
      <w:lang w:eastAsia="en-US"/>
    </w:rPr>
  </w:style>
  <w:style w:type="paragraph" w:styleId="BodyText">
    <w:name w:val="Body Text"/>
    <w:basedOn w:val="Normal"/>
    <w:link w:val="BodyTextChar"/>
    <w:rsid w:val="009C32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270"/>
    <w:rPr>
      <w:rFonts w:ascii="Times New Roman" w:eastAsia="Times New Roman" w:hAnsi="Times New Roman" w:cs="Times New Roman"/>
      <w:sz w:val="24"/>
      <w:lang w:eastAsia="en-US"/>
    </w:rPr>
  </w:style>
  <w:style w:type="paragraph" w:styleId="ListBullet">
    <w:name w:val="List Bullet"/>
    <w:basedOn w:val="List"/>
    <w:rsid w:val="009C3270"/>
    <w:pPr>
      <w:numPr>
        <w:numId w:val="12"/>
      </w:numPr>
      <w:tabs>
        <w:tab w:val="clear" w:pos="340"/>
      </w:tabs>
      <w:spacing w:before="40" w:after="40"/>
    </w:pPr>
  </w:style>
  <w:style w:type="character" w:customStyle="1" w:styleId="SpecialBold">
    <w:name w:val="Special Bold"/>
    <w:basedOn w:val="DefaultParagraphFont"/>
    <w:rsid w:val="009C3270"/>
    <w:rPr>
      <w:b/>
      <w:spacing w:val="0"/>
    </w:rPr>
  </w:style>
  <w:style w:type="paragraph" w:styleId="ListBullet2">
    <w:name w:val="List Bullet 2"/>
    <w:basedOn w:val="List2"/>
    <w:rsid w:val="009C3270"/>
    <w:pPr>
      <w:numPr>
        <w:numId w:val="13"/>
      </w:numPr>
      <w:tabs>
        <w:tab w:val="clear" w:pos="680"/>
      </w:tabs>
    </w:pPr>
  </w:style>
  <w:style w:type="paragraph" w:customStyle="1" w:styleId="SuperHeading">
    <w:name w:val="SuperHeading"/>
    <w:basedOn w:val="Normal"/>
    <w:rsid w:val="009C3270"/>
    <w:pPr>
      <w:spacing w:before="240" w:after="120"/>
      <w:outlineLvl w:val="0"/>
    </w:pPr>
    <w:rPr>
      <w:rFonts w:ascii="Times New Roman" w:hAnsi="Times New Roman"/>
      <w:b/>
      <w:sz w:val="32"/>
    </w:rPr>
  </w:style>
  <w:style w:type="paragraph" w:customStyle="1" w:styleId="AllowPageBreak">
    <w:name w:val="AllowPageBreak"/>
    <w:rsid w:val="009C32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2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2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2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2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2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2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2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270"/>
    <w:rPr>
      <w:rFonts w:ascii="Courier New" w:eastAsia="Times New Roman" w:hAnsi="Courier New" w:cs="Times New Roman"/>
      <w:i/>
      <w:szCs w:val="20"/>
      <w:lang w:eastAsia="en-US"/>
    </w:rPr>
  </w:style>
  <w:style w:type="paragraph" w:customStyle="1" w:styleId="HeadingBase">
    <w:name w:val="Heading Base"/>
    <w:rsid w:val="009C32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270"/>
    <w:pPr>
      <w:tabs>
        <w:tab w:val="right" w:leader="dot" w:pos="9072"/>
      </w:tabs>
      <w:ind w:left="567"/>
    </w:pPr>
    <w:rPr>
      <w:szCs w:val="22"/>
    </w:rPr>
  </w:style>
  <w:style w:type="paragraph" w:customStyle="1" w:styleId="TOCBase">
    <w:name w:val="TOC Base"/>
    <w:rsid w:val="009C32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270"/>
    <w:pPr>
      <w:tabs>
        <w:tab w:val="right" w:leader="dot" w:pos="9072"/>
      </w:tabs>
      <w:spacing w:before="40" w:after="40"/>
      <w:ind w:left="284"/>
    </w:pPr>
    <w:rPr>
      <w:rFonts w:ascii="Times New Roman" w:hAnsi="Times New Roman"/>
    </w:rPr>
  </w:style>
  <w:style w:type="paragraph" w:styleId="TOC1">
    <w:name w:val="toc 1"/>
    <w:basedOn w:val="TOCBase"/>
    <w:next w:val="Normal"/>
    <w:rsid w:val="009C32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2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270"/>
    <w:rPr>
      <w:rFonts w:ascii="Times New Roman" w:eastAsia="Times New Roman" w:hAnsi="Times New Roman" w:cs="Times New Roman"/>
      <w:sz w:val="16"/>
      <w:lang w:eastAsia="en-US"/>
    </w:rPr>
  </w:style>
  <w:style w:type="paragraph" w:styleId="Title">
    <w:name w:val="Title"/>
    <w:basedOn w:val="HeadingBase"/>
    <w:link w:val="TitleChar"/>
    <w:qFormat/>
    <w:rsid w:val="009C3270"/>
    <w:pPr>
      <w:spacing w:before="5040"/>
      <w:jc w:val="center"/>
    </w:pPr>
    <w:rPr>
      <w:sz w:val="48"/>
      <w:szCs w:val="72"/>
      <w:lang w:val="en-US"/>
    </w:rPr>
  </w:style>
  <w:style w:type="character" w:customStyle="1" w:styleId="TitleChar">
    <w:name w:val="Title Char"/>
    <w:basedOn w:val="DefaultParagraphFont"/>
    <w:link w:val="Title"/>
    <w:rsid w:val="009C32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270"/>
    <w:pPr>
      <w:tabs>
        <w:tab w:val="left" w:pos="3600"/>
        <w:tab w:val="left" w:pos="3958"/>
      </w:tabs>
    </w:pPr>
  </w:style>
  <w:style w:type="paragraph" w:styleId="List">
    <w:name w:val="List"/>
    <w:basedOn w:val="BodyText"/>
    <w:next w:val="BodyText"/>
    <w:rsid w:val="009C3270"/>
    <w:pPr>
      <w:tabs>
        <w:tab w:val="left" w:pos="340"/>
      </w:tabs>
      <w:spacing w:before="60" w:after="60"/>
      <w:ind w:left="340" w:hanging="340"/>
    </w:pPr>
  </w:style>
  <w:style w:type="paragraph" w:customStyle="1" w:styleId="Note">
    <w:name w:val="Note"/>
    <w:basedOn w:val="BodyText"/>
    <w:rsid w:val="009C32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270"/>
    <w:pPr>
      <w:framePr w:wrap="auto" w:hAnchor="text" w:y="6049"/>
    </w:pPr>
    <w:rPr>
      <w:color w:val="000000"/>
      <w:sz w:val="40"/>
    </w:rPr>
  </w:style>
  <w:style w:type="paragraph" w:customStyle="1" w:styleId="TOCTitle">
    <w:name w:val="TOCTitle"/>
    <w:basedOn w:val="Heading1"/>
    <w:rsid w:val="009C3270"/>
    <w:pPr>
      <w:spacing w:after="240"/>
      <w:jc w:val="center"/>
      <w:outlineLvl w:val="9"/>
    </w:pPr>
    <w:rPr>
      <w:caps/>
    </w:rPr>
  </w:style>
  <w:style w:type="paragraph" w:customStyle="1" w:styleId="Version">
    <w:name w:val="Version"/>
    <w:rsid w:val="009C32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270"/>
    <w:pPr>
      <w:keepNext w:val="0"/>
      <w:tabs>
        <w:tab w:val="right" w:pos="4176"/>
      </w:tabs>
      <w:ind w:left="198" w:hanging="198"/>
    </w:pPr>
    <w:rPr>
      <w:rFonts w:ascii="Garamond" w:hAnsi="Garamond"/>
    </w:rPr>
  </w:style>
  <w:style w:type="paragraph" w:styleId="IndexHeading">
    <w:name w:val="index heading"/>
    <w:basedOn w:val="Normal"/>
    <w:next w:val="Index1"/>
    <w:semiHidden/>
    <w:rsid w:val="009C3270"/>
    <w:pPr>
      <w:spacing w:before="120" w:after="120"/>
    </w:pPr>
    <w:rPr>
      <w:rFonts w:ascii="Arial" w:hAnsi="Arial"/>
      <w:b/>
      <w:color w:val="918585"/>
      <w:sz w:val="24"/>
    </w:rPr>
  </w:style>
  <w:style w:type="paragraph" w:styleId="Header">
    <w:name w:val="header"/>
    <w:basedOn w:val="Normal"/>
    <w:link w:val="HeaderChar"/>
    <w:rsid w:val="009C32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270"/>
    <w:rPr>
      <w:rFonts w:ascii="Times New Roman" w:eastAsia="Times New Roman" w:hAnsi="Times New Roman" w:cs="Times New Roman"/>
      <w:sz w:val="16"/>
      <w:szCs w:val="20"/>
      <w:lang w:val="en-GB" w:eastAsia="en-US"/>
    </w:rPr>
  </w:style>
  <w:style w:type="paragraph" w:customStyle="1" w:styleId="Chapter">
    <w:name w:val="Chapter"/>
    <w:basedOn w:val="Normal"/>
    <w:rsid w:val="009C3270"/>
    <w:pPr>
      <w:spacing w:before="240"/>
    </w:pPr>
    <w:rPr>
      <w:rFonts w:ascii="Times New Roman" w:hAnsi="Times New Roman"/>
      <w:smallCaps/>
      <w:spacing w:val="80"/>
      <w:sz w:val="28"/>
    </w:rPr>
  </w:style>
  <w:style w:type="paragraph" w:customStyle="1" w:styleId="InChapter">
    <w:name w:val="InChapter"/>
    <w:basedOn w:val="Heading3"/>
    <w:rsid w:val="009C3270"/>
    <w:pPr>
      <w:spacing w:after="240"/>
      <w:outlineLvl w:val="9"/>
    </w:pPr>
    <w:rPr>
      <w:noProof/>
    </w:rPr>
  </w:style>
  <w:style w:type="paragraph" w:styleId="Index2">
    <w:name w:val="index 2"/>
    <w:basedOn w:val="Normal"/>
    <w:next w:val="Normal"/>
    <w:semiHidden/>
    <w:rsid w:val="009C3270"/>
    <w:pPr>
      <w:tabs>
        <w:tab w:val="right" w:pos="4176"/>
      </w:tabs>
      <w:ind w:left="568" w:hanging="284"/>
    </w:pPr>
    <w:rPr>
      <w:rFonts w:ascii="Garamond" w:hAnsi="Garamond"/>
    </w:rPr>
  </w:style>
  <w:style w:type="paragraph" w:customStyle="1" w:styleId="Byline">
    <w:name w:val="Byline"/>
    <w:rsid w:val="009C32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270"/>
    <w:pPr>
      <w:tabs>
        <w:tab w:val="clear" w:pos="3600"/>
        <w:tab w:val="clear" w:pos="3958"/>
      </w:tabs>
      <w:jc w:val="right"/>
    </w:pPr>
  </w:style>
  <w:style w:type="character" w:styleId="Emphasis">
    <w:name w:val="Emphasis"/>
    <w:basedOn w:val="DefaultParagraphFont"/>
    <w:qFormat/>
    <w:rsid w:val="009C3270"/>
    <w:rPr>
      <w:i/>
    </w:rPr>
  </w:style>
  <w:style w:type="paragraph" w:styleId="Caption">
    <w:name w:val="caption"/>
    <w:basedOn w:val="BodyText"/>
    <w:next w:val="Normal"/>
    <w:qFormat/>
    <w:rsid w:val="009C3270"/>
    <w:pPr>
      <w:framePr w:w="2268" w:hSpace="181" w:vSpace="181" w:wrap="around" w:vAnchor="text" w:hAnchor="page" w:x="1135" w:y="285" w:anchorLock="1"/>
    </w:pPr>
    <w:rPr>
      <w:i/>
    </w:rPr>
  </w:style>
  <w:style w:type="paragraph" w:customStyle="1" w:styleId="MiniTOCTitle">
    <w:name w:val="MiniTOCTitle"/>
    <w:basedOn w:val="Heading4"/>
    <w:rsid w:val="009C3270"/>
    <w:pPr>
      <w:spacing w:before="240"/>
      <w:outlineLvl w:val="9"/>
    </w:pPr>
    <w:rPr>
      <w:noProof/>
      <w:sz w:val="24"/>
    </w:rPr>
  </w:style>
  <w:style w:type="paragraph" w:customStyle="1" w:styleId="MiniTOCItem">
    <w:name w:val="MiniTOCItem"/>
    <w:basedOn w:val="ListBullet"/>
    <w:rsid w:val="009C3270"/>
    <w:pPr>
      <w:numPr>
        <w:numId w:val="0"/>
      </w:numPr>
      <w:tabs>
        <w:tab w:val="right" w:leader="dot" w:pos="6521"/>
      </w:tabs>
      <w:spacing w:before="0" w:after="0"/>
    </w:pPr>
  </w:style>
  <w:style w:type="paragraph" w:customStyle="1" w:styleId="TOFTitle">
    <w:name w:val="TOFTitle"/>
    <w:basedOn w:val="TOCTitle"/>
    <w:rsid w:val="009C3270"/>
  </w:style>
  <w:style w:type="paragraph" w:styleId="TableofFigures">
    <w:name w:val="table of figures"/>
    <w:basedOn w:val="Normal"/>
    <w:next w:val="Normal"/>
    <w:semiHidden/>
    <w:rsid w:val="009C3270"/>
    <w:pPr>
      <w:tabs>
        <w:tab w:val="right" w:leader="dot" w:pos="9072"/>
      </w:tabs>
      <w:ind w:left="970" w:hanging="403"/>
    </w:pPr>
    <w:rPr>
      <w:rFonts w:ascii="Times New Roman" w:hAnsi="Times New Roman"/>
      <w:b/>
    </w:rPr>
  </w:style>
  <w:style w:type="paragraph" w:styleId="ListNumber">
    <w:name w:val="List Number"/>
    <w:basedOn w:val="List"/>
    <w:rsid w:val="009C3270"/>
    <w:pPr>
      <w:numPr>
        <w:numId w:val="15"/>
      </w:numPr>
      <w:tabs>
        <w:tab w:val="clear" w:pos="340"/>
      </w:tabs>
    </w:pPr>
  </w:style>
  <w:style w:type="character" w:customStyle="1" w:styleId="WingdingSymbols">
    <w:name w:val="Wingding Symbols"/>
    <w:rsid w:val="009C3270"/>
    <w:rPr>
      <w:rFonts w:ascii="Wingdings" w:hAnsi="Wingdings"/>
    </w:rPr>
  </w:style>
  <w:style w:type="paragraph" w:customStyle="1" w:styleId="TableHeading">
    <w:name w:val="Table Heading"/>
    <w:basedOn w:val="HeadingBase"/>
    <w:rsid w:val="009C3270"/>
    <w:pPr>
      <w:keepLines/>
      <w:pBdr>
        <w:bottom w:val="single" w:sz="6" w:space="1" w:color="918585"/>
      </w:pBdr>
      <w:spacing w:before="240"/>
    </w:pPr>
  </w:style>
  <w:style w:type="character" w:customStyle="1" w:styleId="HotSpot">
    <w:name w:val="HotSpot"/>
    <w:rsid w:val="009C3270"/>
    <w:rPr>
      <w:color w:val="0033CC"/>
      <w:u w:val="none"/>
    </w:rPr>
  </w:style>
  <w:style w:type="paragraph" w:customStyle="1" w:styleId="BodyTextRight">
    <w:name w:val="Body Text Right"/>
    <w:basedOn w:val="BodyText"/>
    <w:rsid w:val="009C3270"/>
    <w:pPr>
      <w:spacing w:before="0" w:after="0"/>
      <w:jc w:val="right"/>
    </w:pPr>
  </w:style>
  <w:style w:type="paragraph" w:styleId="Index3">
    <w:name w:val="index 3"/>
    <w:basedOn w:val="ListNumber2"/>
    <w:next w:val="Normal"/>
    <w:semiHidden/>
    <w:rsid w:val="009C3270"/>
    <w:pPr>
      <w:numPr>
        <w:numId w:val="0"/>
      </w:numPr>
      <w:tabs>
        <w:tab w:val="right" w:leader="dot" w:pos="4176"/>
      </w:tabs>
    </w:pPr>
  </w:style>
  <w:style w:type="paragraph" w:styleId="ListNumber2">
    <w:name w:val="List Number 2"/>
    <w:basedOn w:val="List2"/>
    <w:rsid w:val="009C3270"/>
    <w:pPr>
      <w:numPr>
        <w:numId w:val="10"/>
      </w:numPr>
      <w:tabs>
        <w:tab w:val="clear" w:pos="1060"/>
      </w:tabs>
    </w:pPr>
  </w:style>
  <w:style w:type="paragraph" w:customStyle="1" w:styleId="MarginNote">
    <w:name w:val="Margin Note"/>
    <w:basedOn w:val="BodyText"/>
    <w:rsid w:val="009C32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2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2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270"/>
    <w:rPr>
      <w:sz w:val="32"/>
    </w:rPr>
  </w:style>
  <w:style w:type="paragraph" w:customStyle="1" w:styleId="HeadingProcedure">
    <w:name w:val="Heading Procedure"/>
    <w:basedOn w:val="HeadingBase"/>
    <w:next w:val="Normal"/>
    <w:rsid w:val="009C3270"/>
    <w:pPr>
      <w:tabs>
        <w:tab w:val="left" w:pos="0"/>
      </w:tabs>
      <w:spacing w:before="120" w:after="60"/>
    </w:pPr>
    <w:rPr>
      <w:i/>
      <w:color w:val="918585"/>
      <w:sz w:val="22"/>
    </w:rPr>
  </w:style>
  <w:style w:type="paragraph" w:customStyle="1" w:styleId="TableBodyText">
    <w:name w:val="Table Body Text"/>
    <w:basedOn w:val="BodyText"/>
    <w:rsid w:val="009C3270"/>
    <w:pPr>
      <w:spacing w:before="60" w:after="60"/>
    </w:pPr>
  </w:style>
  <w:style w:type="paragraph" w:styleId="ListContinue">
    <w:name w:val="List Continue"/>
    <w:basedOn w:val="List"/>
    <w:rsid w:val="009C3270"/>
    <w:pPr>
      <w:ind w:firstLine="0"/>
    </w:pPr>
  </w:style>
  <w:style w:type="paragraph" w:customStyle="1" w:styleId="ListNote">
    <w:name w:val="List Note"/>
    <w:basedOn w:val="List"/>
    <w:rsid w:val="009C3270"/>
    <w:pPr>
      <w:pBdr>
        <w:top w:val="single" w:sz="6" w:space="2" w:color="918585"/>
        <w:bottom w:val="single" w:sz="6" w:space="2" w:color="918585"/>
      </w:pBdr>
      <w:tabs>
        <w:tab w:val="left" w:pos="1021"/>
      </w:tabs>
      <w:ind w:firstLine="0"/>
    </w:pPr>
  </w:style>
  <w:style w:type="paragraph" w:customStyle="1" w:styleId="Warning">
    <w:name w:val="Warning"/>
    <w:basedOn w:val="BodyText"/>
    <w:rsid w:val="009C3270"/>
    <w:pPr>
      <w:shd w:val="clear" w:color="auto" w:fill="D9D9D9"/>
      <w:tabs>
        <w:tab w:val="left" w:pos="992"/>
      </w:tabs>
      <w:ind w:left="119" w:right="119"/>
    </w:pPr>
    <w:rPr>
      <w:sz w:val="20"/>
    </w:rPr>
  </w:style>
  <w:style w:type="paragraph" w:customStyle="1" w:styleId="MarginIcons">
    <w:name w:val="Margin Icons"/>
    <w:basedOn w:val="BodyText"/>
    <w:rsid w:val="009C32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270"/>
    <w:rPr>
      <w:rFonts w:ascii="Courier New" w:hAnsi="Courier New"/>
    </w:rPr>
  </w:style>
  <w:style w:type="paragraph" w:customStyle="1" w:styleId="NoteBullet">
    <w:name w:val="Note Bullet"/>
    <w:basedOn w:val="Note"/>
    <w:rsid w:val="009C3270"/>
    <w:pPr>
      <w:tabs>
        <w:tab w:val="clear" w:pos="680"/>
      </w:tabs>
      <w:spacing w:before="60" w:after="60"/>
    </w:pPr>
  </w:style>
  <w:style w:type="paragraph" w:customStyle="1" w:styleId="SubHeading2">
    <w:name w:val="SubHeading2"/>
    <w:basedOn w:val="HeadingBase"/>
    <w:rsid w:val="009C3270"/>
    <w:pPr>
      <w:spacing w:before="240" w:after="60"/>
    </w:pPr>
    <w:rPr>
      <w:sz w:val="20"/>
    </w:rPr>
  </w:style>
  <w:style w:type="paragraph" w:customStyle="1" w:styleId="SubHeading1">
    <w:name w:val="SubHeading1"/>
    <w:basedOn w:val="HeadingBase"/>
    <w:rsid w:val="009C3270"/>
    <w:pPr>
      <w:spacing w:before="240" w:after="60"/>
    </w:pPr>
    <w:rPr>
      <w:color w:val="918585"/>
      <w:sz w:val="22"/>
    </w:rPr>
  </w:style>
  <w:style w:type="paragraph" w:customStyle="1" w:styleId="SideHeading">
    <w:name w:val="Side Heading"/>
    <w:basedOn w:val="HeadingBase"/>
    <w:rsid w:val="009C32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270"/>
    <w:pPr>
      <w:tabs>
        <w:tab w:val="num" w:pos="360"/>
      </w:tabs>
    </w:pPr>
  </w:style>
  <w:style w:type="paragraph" w:styleId="PlainText">
    <w:name w:val="Plain Text"/>
    <w:basedOn w:val="Normal"/>
    <w:link w:val="PlainTextChar"/>
    <w:rsid w:val="009C3270"/>
    <w:rPr>
      <w:sz w:val="20"/>
    </w:rPr>
  </w:style>
  <w:style w:type="character" w:customStyle="1" w:styleId="PlainTextChar">
    <w:name w:val="Plain Text Char"/>
    <w:basedOn w:val="DefaultParagraphFont"/>
    <w:link w:val="PlainText"/>
    <w:rsid w:val="009C3270"/>
    <w:rPr>
      <w:rFonts w:ascii="Courier New" w:eastAsia="Times New Roman" w:hAnsi="Courier New" w:cs="Times New Roman"/>
      <w:sz w:val="20"/>
      <w:szCs w:val="20"/>
      <w:lang w:eastAsia="en-US"/>
    </w:rPr>
  </w:style>
  <w:style w:type="character" w:customStyle="1" w:styleId="MenuOption">
    <w:name w:val="Menu Option"/>
    <w:basedOn w:val="DefaultParagraphFont"/>
    <w:rsid w:val="009C3270"/>
    <w:rPr>
      <w:b/>
      <w:smallCaps/>
    </w:rPr>
  </w:style>
  <w:style w:type="paragraph" w:customStyle="1" w:styleId="TableListNumber">
    <w:name w:val="Table List Number"/>
    <w:basedOn w:val="ListNumber"/>
    <w:rsid w:val="009C3270"/>
    <w:pPr>
      <w:numPr>
        <w:numId w:val="0"/>
      </w:numPr>
    </w:pPr>
  </w:style>
  <w:style w:type="paragraph" w:styleId="TOC4">
    <w:name w:val="toc 4"/>
    <w:basedOn w:val="TOCBase"/>
    <w:next w:val="Normal"/>
    <w:semiHidden/>
    <w:rsid w:val="009C3270"/>
    <w:pPr>
      <w:tabs>
        <w:tab w:val="right" w:leader="dot" w:pos="9071"/>
      </w:tabs>
      <w:ind w:left="1701"/>
    </w:pPr>
  </w:style>
  <w:style w:type="paragraph" w:customStyle="1" w:styleId="ListAlpha">
    <w:name w:val="List Alpha"/>
    <w:basedOn w:val="List"/>
    <w:rsid w:val="009C3270"/>
    <w:pPr>
      <w:numPr>
        <w:numId w:val="9"/>
      </w:numPr>
    </w:pPr>
  </w:style>
  <w:style w:type="paragraph" w:customStyle="1" w:styleId="ListAlpha2">
    <w:name w:val="List Alpha 2"/>
    <w:basedOn w:val="List2"/>
    <w:rsid w:val="009C3270"/>
    <w:pPr>
      <w:numPr>
        <w:numId w:val="8"/>
      </w:numPr>
    </w:pPr>
  </w:style>
  <w:style w:type="paragraph" w:styleId="List2">
    <w:name w:val="List 2"/>
    <w:basedOn w:val="BodyText"/>
    <w:rsid w:val="009C3270"/>
    <w:pPr>
      <w:tabs>
        <w:tab w:val="left" w:pos="680"/>
      </w:tabs>
      <w:spacing w:before="60" w:after="60"/>
      <w:ind w:left="680" w:hanging="340"/>
    </w:pPr>
  </w:style>
  <w:style w:type="paragraph" w:styleId="List3">
    <w:name w:val="List 3"/>
    <w:basedOn w:val="BodyText"/>
    <w:rsid w:val="009C3270"/>
    <w:pPr>
      <w:tabs>
        <w:tab w:val="left" w:pos="1021"/>
      </w:tabs>
      <w:spacing w:before="60" w:after="60"/>
      <w:ind w:left="1020" w:hanging="340"/>
    </w:pPr>
  </w:style>
  <w:style w:type="paragraph" w:styleId="List4">
    <w:name w:val="List 4"/>
    <w:basedOn w:val="BodyText"/>
    <w:rsid w:val="009C3270"/>
    <w:pPr>
      <w:tabs>
        <w:tab w:val="left" w:pos="1361"/>
      </w:tabs>
      <w:spacing w:before="60" w:after="60"/>
      <w:ind w:left="1361" w:hanging="340"/>
    </w:pPr>
  </w:style>
  <w:style w:type="paragraph" w:styleId="List5">
    <w:name w:val="List 5"/>
    <w:basedOn w:val="BodyText"/>
    <w:rsid w:val="009C3270"/>
    <w:pPr>
      <w:tabs>
        <w:tab w:val="left" w:pos="1701"/>
      </w:tabs>
      <w:spacing w:before="60" w:after="60"/>
      <w:ind w:left="1701" w:hanging="340"/>
    </w:pPr>
  </w:style>
  <w:style w:type="paragraph" w:styleId="ListBullet3">
    <w:name w:val="List Bullet 3"/>
    <w:basedOn w:val="List3"/>
    <w:rsid w:val="009C3270"/>
    <w:pPr>
      <w:numPr>
        <w:numId w:val="14"/>
      </w:numPr>
      <w:tabs>
        <w:tab w:val="clear" w:pos="1021"/>
      </w:tabs>
      <w:ind w:left="1037" w:hanging="357"/>
    </w:pPr>
  </w:style>
  <w:style w:type="paragraph" w:styleId="ListBullet4">
    <w:name w:val="List Bullet 4"/>
    <w:basedOn w:val="List4"/>
    <w:rsid w:val="009C3270"/>
    <w:pPr>
      <w:numPr>
        <w:numId w:val="3"/>
      </w:numPr>
      <w:tabs>
        <w:tab w:val="clear" w:pos="1361"/>
      </w:tabs>
    </w:pPr>
  </w:style>
  <w:style w:type="paragraph" w:styleId="ListBullet5">
    <w:name w:val="List Bullet 5"/>
    <w:basedOn w:val="List5"/>
    <w:rsid w:val="009C3270"/>
    <w:pPr>
      <w:numPr>
        <w:numId w:val="4"/>
      </w:numPr>
    </w:pPr>
  </w:style>
  <w:style w:type="paragraph" w:styleId="ListContinue2">
    <w:name w:val="List Continue 2"/>
    <w:basedOn w:val="List2"/>
    <w:rsid w:val="009C3270"/>
    <w:pPr>
      <w:ind w:firstLine="0"/>
    </w:pPr>
  </w:style>
  <w:style w:type="paragraph" w:styleId="ListContinue3">
    <w:name w:val="List Continue 3"/>
    <w:basedOn w:val="List3"/>
    <w:rsid w:val="009C3270"/>
    <w:pPr>
      <w:ind w:left="1021" w:firstLine="0"/>
    </w:pPr>
  </w:style>
  <w:style w:type="paragraph" w:styleId="ListContinue4">
    <w:name w:val="List Continue 4"/>
    <w:basedOn w:val="List4"/>
    <w:rsid w:val="009C3270"/>
    <w:pPr>
      <w:ind w:firstLine="0"/>
    </w:pPr>
  </w:style>
  <w:style w:type="paragraph" w:styleId="ListContinue5">
    <w:name w:val="List Continue 5"/>
    <w:basedOn w:val="List5"/>
    <w:rsid w:val="009C3270"/>
    <w:pPr>
      <w:ind w:firstLine="0"/>
    </w:pPr>
  </w:style>
  <w:style w:type="paragraph" w:styleId="ListNumber3">
    <w:name w:val="List Number 3"/>
    <w:basedOn w:val="List3"/>
    <w:rsid w:val="009C3270"/>
    <w:pPr>
      <w:numPr>
        <w:numId w:val="5"/>
      </w:numPr>
    </w:pPr>
  </w:style>
  <w:style w:type="paragraph" w:styleId="ListNumber4">
    <w:name w:val="List Number 4"/>
    <w:basedOn w:val="List4"/>
    <w:rsid w:val="009C3270"/>
    <w:pPr>
      <w:numPr>
        <w:numId w:val="6"/>
      </w:numPr>
    </w:pPr>
  </w:style>
  <w:style w:type="paragraph" w:styleId="ListNumber5">
    <w:name w:val="List Number 5"/>
    <w:basedOn w:val="List5"/>
    <w:rsid w:val="009C3270"/>
    <w:pPr>
      <w:numPr>
        <w:numId w:val="7"/>
      </w:numPr>
    </w:pPr>
  </w:style>
  <w:style w:type="paragraph" w:styleId="BlockText">
    <w:name w:val="Block Text"/>
    <w:basedOn w:val="Normal"/>
    <w:rsid w:val="009C3270"/>
    <w:pPr>
      <w:spacing w:after="120"/>
      <w:ind w:left="1440" w:right="1440"/>
    </w:pPr>
  </w:style>
  <w:style w:type="character" w:customStyle="1" w:styleId="Subscript">
    <w:name w:val="Subscript"/>
    <w:basedOn w:val="DefaultParagraphFont"/>
    <w:rsid w:val="009C3270"/>
    <w:rPr>
      <w:sz w:val="16"/>
      <w:vertAlign w:val="subscript"/>
    </w:rPr>
  </w:style>
  <w:style w:type="character" w:customStyle="1" w:styleId="Superscript">
    <w:name w:val="Superscript"/>
    <w:basedOn w:val="DefaultParagraphFont"/>
    <w:rsid w:val="009C3270"/>
    <w:rPr>
      <w:sz w:val="16"/>
      <w:vertAlign w:val="superscript"/>
    </w:rPr>
  </w:style>
  <w:style w:type="character" w:customStyle="1" w:styleId="Symbols">
    <w:name w:val="Symbols"/>
    <w:basedOn w:val="DefaultParagraphFont"/>
    <w:rsid w:val="009C3270"/>
    <w:rPr>
      <w:rFonts w:ascii="Symbol" w:hAnsi="Symbol"/>
    </w:rPr>
  </w:style>
  <w:style w:type="character" w:customStyle="1" w:styleId="MenuOptions">
    <w:name w:val="Menu Options"/>
    <w:basedOn w:val="DefaultParagraphFont"/>
    <w:rsid w:val="009C3270"/>
    <w:rPr>
      <w:rFonts w:ascii="Arial Narrow" w:hAnsi="Arial Narrow"/>
      <w:smallCaps/>
    </w:rPr>
  </w:style>
  <w:style w:type="character" w:customStyle="1" w:styleId="Buttons">
    <w:name w:val="Buttons"/>
    <w:basedOn w:val="DefaultParagraphFont"/>
    <w:rsid w:val="009C3270"/>
    <w:rPr>
      <w:b/>
    </w:rPr>
  </w:style>
  <w:style w:type="character" w:customStyle="1" w:styleId="Underlined">
    <w:name w:val="Underlined"/>
    <w:basedOn w:val="DefaultParagraphFont"/>
    <w:rsid w:val="009C3270"/>
    <w:rPr>
      <w:u w:val="single"/>
    </w:rPr>
  </w:style>
  <w:style w:type="paragraph" w:customStyle="1" w:styleId="TableBodyTextRight">
    <w:name w:val="Table Body Text Right"/>
    <w:basedOn w:val="TableBodyText"/>
    <w:rsid w:val="009C3270"/>
    <w:pPr>
      <w:widowControl w:val="0"/>
      <w:autoSpaceDE w:val="0"/>
      <w:autoSpaceDN w:val="0"/>
      <w:adjustRightInd w:val="0"/>
      <w:jc w:val="right"/>
    </w:pPr>
    <w:rPr>
      <w:rFonts w:cs="Arial"/>
      <w:szCs w:val="18"/>
    </w:rPr>
  </w:style>
  <w:style w:type="paragraph" w:customStyle="1" w:styleId="CopyrightText">
    <w:name w:val="Copyright Text"/>
    <w:basedOn w:val="BodyText"/>
    <w:rsid w:val="009C3270"/>
    <w:rPr>
      <w:sz w:val="18"/>
    </w:rPr>
  </w:style>
  <w:style w:type="paragraph" w:customStyle="1" w:styleId="BodySmallRight">
    <w:name w:val="Body Small Right"/>
    <w:basedOn w:val="BodyTextRight"/>
    <w:rsid w:val="009C3270"/>
    <w:rPr>
      <w:sz w:val="18"/>
      <w:szCs w:val="18"/>
    </w:rPr>
  </w:style>
  <w:style w:type="paragraph" w:customStyle="1" w:styleId="MarginEdition">
    <w:name w:val="Margin Edition"/>
    <w:basedOn w:val="MarginNote"/>
    <w:rsid w:val="009C3270"/>
    <w:pPr>
      <w:spacing w:before="0" w:after="0"/>
    </w:pPr>
    <w:rPr>
      <w:rFonts w:ascii="Times New Roman" w:hAnsi="Times New Roman"/>
      <w:color w:val="999999"/>
    </w:rPr>
  </w:style>
  <w:style w:type="paragraph" w:customStyle="1" w:styleId="Spacer">
    <w:name w:val="Spacer"/>
    <w:basedOn w:val="Normal"/>
    <w:rsid w:val="009C3270"/>
    <w:rPr>
      <w:sz w:val="2"/>
      <w:szCs w:val="2"/>
    </w:rPr>
  </w:style>
  <w:style w:type="character" w:customStyle="1" w:styleId="Small">
    <w:name w:val="Small"/>
    <w:basedOn w:val="DefaultParagraphFont"/>
    <w:rsid w:val="009C3270"/>
    <w:rPr>
      <w:sz w:val="16"/>
    </w:rPr>
  </w:style>
  <w:style w:type="paragraph" w:customStyle="1" w:styleId="WideTable">
    <w:name w:val="Wide Table"/>
    <w:basedOn w:val="Normal"/>
    <w:rsid w:val="009C3270"/>
    <w:pPr>
      <w:ind w:left="-1418"/>
    </w:pPr>
    <w:rPr>
      <w:sz w:val="2"/>
      <w:szCs w:val="2"/>
    </w:rPr>
  </w:style>
  <w:style w:type="character" w:styleId="PageNumber">
    <w:name w:val="page number"/>
    <w:basedOn w:val="DefaultParagraphFont"/>
    <w:rsid w:val="009C3270"/>
  </w:style>
  <w:style w:type="paragraph" w:styleId="Quote">
    <w:name w:val="Quote"/>
    <w:basedOn w:val="Heading1"/>
    <w:link w:val="QuoteChar"/>
    <w:qFormat/>
    <w:rsid w:val="009C3270"/>
    <w:rPr>
      <w:b w:val="0"/>
      <w:sz w:val="72"/>
      <w:szCs w:val="72"/>
      <w:lang w:val="en-NZ"/>
    </w:rPr>
  </w:style>
  <w:style w:type="character" w:customStyle="1" w:styleId="QuoteChar">
    <w:name w:val="Quote Char"/>
    <w:basedOn w:val="DefaultParagraphFont"/>
    <w:link w:val="Quote"/>
    <w:rsid w:val="009C32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270"/>
    <w:pPr>
      <w:pageBreakBefore/>
    </w:pPr>
  </w:style>
  <w:style w:type="paragraph" w:customStyle="1" w:styleId="Border">
    <w:name w:val="Border"/>
    <w:basedOn w:val="Normal"/>
    <w:qFormat/>
    <w:rsid w:val="009C32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270"/>
    <w:rPr>
      <w:b/>
      <w:bCs/>
      <w:i/>
      <w:iCs/>
      <w:color w:val="auto"/>
    </w:rPr>
  </w:style>
  <w:style w:type="paragraph" w:styleId="IntenseQuote">
    <w:name w:val="Intense Quote"/>
    <w:basedOn w:val="Normal"/>
    <w:next w:val="Normal"/>
    <w:link w:val="IntenseQuoteChar"/>
    <w:uiPriority w:val="30"/>
    <w:qFormat/>
    <w:rsid w:val="009C32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2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270"/>
    <w:rPr>
      <w:smallCaps/>
      <w:color w:val="auto"/>
      <w:u w:val="single"/>
    </w:rPr>
  </w:style>
  <w:style w:type="character" w:styleId="IntenseReference">
    <w:name w:val="Intense Reference"/>
    <w:basedOn w:val="DefaultParagraphFont"/>
    <w:uiPriority w:val="32"/>
    <w:qFormat/>
    <w:rsid w:val="009C3270"/>
    <w:rPr>
      <w:b/>
      <w:bCs/>
      <w:smallCaps/>
      <w:color w:val="auto"/>
      <w:spacing w:val="5"/>
      <w:u w:val="single"/>
    </w:rPr>
  </w:style>
  <w:style w:type="paragraph" w:customStyle="1" w:styleId="2ColumnHeading">
    <w:name w:val="2Column Heading"/>
    <w:basedOn w:val="BodyText"/>
    <w:qFormat/>
    <w:rsid w:val="009C3270"/>
    <w:pPr>
      <w:spacing w:after="60"/>
      <w:ind w:left="-2268"/>
    </w:pPr>
    <w:rPr>
      <w:b/>
    </w:rPr>
  </w:style>
  <w:style w:type="paragraph" w:customStyle="1" w:styleId="Heading1TOC">
    <w:name w:val="Heading1 TOC"/>
    <w:basedOn w:val="Normal"/>
    <w:qFormat/>
    <w:rsid w:val="009C3270"/>
    <w:pPr>
      <w:spacing w:before="240" w:after="120"/>
    </w:pPr>
    <w:rPr>
      <w:rFonts w:ascii="Times New Roman" w:hAnsi="Times New Roman"/>
      <w:b/>
      <w:sz w:val="32"/>
    </w:rPr>
  </w:style>
  <w:style w:type="paragraph" w:customStyle="1" w:styleId="Heading2TOC">
    <w:name w:val="Heading2 TOC"/>
    <w:basedOn w:val="Normal"/>
    <w:qFormat/>
    <w:rsid w:val="009C3270"/>
    <w:pPr>
      <w:spacing w:before="240" w:after="60"/>
    </w:pPr>
    <w:rPr>
      <w:rFonts w:ascii="Times New Roman" w:hAnsi="Times New Roman"/>
      <w:b/>
      <w:sz w:val="28"/>
    </w:rPr>
  </w:style>
  <w:style w:type="character" w:customStyle="1" w:styleId="Underline">
    <w:name w:val="Underline"/>
    <w:basedOn w:val="DefaultParagraphFont"/>
    <w:qFormat/>
    <w:rsid w:val="009C3270"/>
    <w:rPr>
      <w:u w:val="single"/>
    </w:rPr>
  </w:style>
  <w:style w:type="character" w:customStyle="1" w:styleId="BoldandItalics">
    <w:name w:val="Bold and Italics"/>
    <w:qFormat/>
    <w:rsid w:val="009C3270"/>
    <w:rPr>
      <w:b/>
      <w:i/>
      <w:u w:val="none"/>
    </w:rPr>
  </w:style>
  <w:style w:type="paragraph" w:styleId="BalloonText">
    <w:name w:val="Balloon Text"/>
    <w:basedOn w:val="Normal"/>
    <w:link w:val="BalloonTextChar"/>
    <w:rsid w:val="009C3270"/>
    <w:rPr>
      <w:rFonts w:ascii="Tahoma" w:hAnsi="Tahoma" w:cs="Tahoma"/>
      <w:sz w:val="16"/>
      <w:szCs w:val="16"/>
    </w:rPr>
  </w:style>
  <w:style w:type="character" w:customStyle="1" w:styleId="BalloonTextChar">
    <w:name w:val="Balloon Text Char"/>
    <w:basedOn w:val="DefaultParagraphFont"/>
    <w:link w:val="BalloonText"/>
    <w:rsid w:val="009C32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2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2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270"/>
    <w:rPr>
      <w:b/>
      <w:color w:val="660033"/>
      <w:spacing w:val="0"/>
    </w:rPr>
  </w:style>
  <w:style w:type="paragraph" w:customStyle="1" w:styleId="Nameditemlist">
    <w:name w:val="Named item list"/>
    <w:basedOn w:val="BodyText"/>
    <w:qFormat/>
    <w:rsid w:val="009C3270"/>
    <w:pPr>
      <w:tabs>
        <w:tab w:val="left" w:pos="2835"/>
      </w:tabs>
      <w:ind w:left="2835" w:hanging="2835"/>
    </w:pPr>
  </w:style>
  <w:style w:type="paragraph" w:customStyle="1" w:styleId="BodyTextnopadding">
    <w:name w:val="Body Text no padding"/>
    <w:basedOn w:val="BodyText"/>
    <w:qFormat/>
    <w:rsid w:val="009C3270"/>
    <w:pPr>
      <w:spacing w:before="0" w:after="0"/>
    </w:pPr>
  </w:style>
  <w:style w:type="paragraph" w:customStyle="1" w:styleId="BodyTextBold">
    <w:name w:val="Body Text Bold"/>
    <w:basedOn w:val="BodyText"/>
    <w:qFormat/>
    <w:rsid w:val="009C3270"/>
    <w:rPr>
      <w:b/>
    </w:rPr>
  </w:style>
  <w:style w:type="character" w:styleId="Hyperlink">
    <w:name w:val="Hyperlink"/>
    <w:basedOn w:val="DefaultParagraphFont"/>
    <w:uiPriority w:val="99"/>
    <w:unhideWhenUsed/>
    <w:rsid w:val="000D11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8754</Characters>
  <Application>Microsoft Office Word</Application>
  <DocSecurity>0</DocSecurity>
  <Lines>350</Lines>
  <Paragraphs>194</Paragraphs>
  <ScaleCrop>false</ScaleCrop>
  <Company>Author-it Software Corporation Ltd.</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MSTGN6006 Map and establish TCF supply chain process</dc:title>
  <dc:subject>Approved</dc:subject>
  <dc:creator>Skills Insight</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