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759" w:rsidP="00DF47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MSTGN6006 Map and establish TCF supply chain process</w:t>
      </w:r>
      <w:r>
        <w:fldChar w:fldCharType="end"/>
      </w:r>
    </w:p>
    <w:p w:rsidR="00DF4759" w:rsidP="00DF4759">
      <w:pPr>
        <w:pStyle w:val="Version"/>
        <w:sectPr w:rsidSect="00DF6E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E4A" w:rsidP="00DF6E4A">
      <w:pPr>
        <w:pStyle w:val="SuperHeading"/>
      </w:pPr>
      <w:r w:rsidRPr="00DF6E4A">
        <w:t>Assessment Requirements for MSTGN6006 Map and establish TCF supply chain process</w:t>
      </w:r>
    </w:p>
    <w:p w:rsidR="00000000" w:rsidRPr="00DF6E4A" w:rsidP="00DF6E4A">
      <w:pPr>
        <w:pStyle w:val="Heading1"/>
      </w:pPr>
      <w:bookmarkStart w:id="1" w:name="O_931986"/>
      <w:bookmarkEnd w:id="1"/>
      <w:r w:rsidRPr="00DF6E4A">
        <w:t>Modification History</w:t>
      </w:r>
    </w:p>
    <w:p w:rsidR="00000000" w:rsidRPr="00DF6E4A" w:rsidP="00DF4759">
      <w:pPr>
        <w:pStyle w:val="BodyText"/>
      </w:pPr>
      <w:r w:rsidRPr="00DF6E4A">
        <w:t>Release 1. Supersedes and is equivalent to LMTGN6006A Map and establish textiles, clothing or footwear supply chain process</w:t>
      </w:r>
    </w:p>
    <w:p w:rsidR="00000000" w:rsidRPr="00DF6E4A" w:rsidP="00DF6E4A">
      <w:pPr>
        <w:pStyle w:val="Heading1"/>
      </w:pPr>
      <w:bookmarkStart w:id="2" w:name="O_931989"/>
      <w:bookmarkEnd w:id="2"/>
      <w:r w:rsidRPr="00DF6E4A">
        <w:t>Performance Evidence</w:t>
      </w:r>
    </w:p>
    <w:p w:rsidR="00000000" w:rsidRPr="00DF6E4A" w:rsidP="00DF4759">
      <w:pPr>
        <w:pStyle w:val="BodyText"/>
      </w:pPr>
      <w:r w:rsidRPr="00DF6E4A">
        <w:t>Evidence required to demonstrate competence in this unit must be relevant to and satisfy the requirements of the elements and performance criteria, and include:</w:t>
      </w:r>
    </w:p>
    <w:p w:rsidR="00000000" w:rsidRPr="00DF6E4A" w:rsidP="00DF6E4A">
      <w:pPr>
        <w:pStyle w:val="ListBullet"/>
      </w:pPr>
      <w:r w:rsidRPr="00DF6E4A">
        <w:t>reading and following work instructions, standard operating proce</w:t>
      </w:r>
      <w:r w:rsidRPr="00DF6E4A">
        <w:t xml:space="preserve">dures (SOPs), safe work practices </w:t>
      </w:r>
    </w:p>
    <w:p w:rsidR="00000000" w:rsidRPr="00DF6E4A" w:rsidP="00DF6E4A">
      <w:pPr>
        <w:pStyle w:val="ListBullet"/>
      </w:pPr>
      <w:r w:rsidRPr="00DF6E4A">
        <w:t>applying relevant standards</w:t>
      </w:r>
    </w:p>
    <w:p w:rsidR="00000000" w:rsidRPr="00DF6E4A" w:rsidP="00DF6E4A">
      <w:pPr>
        <w:pStyle w:val="ListBullet"/>
      </w:pPr>
      <w:r w:rsidRPr="00DF6E4A">
        <w:t>preparing a map of all components and personnel in TCF supply chain systems for an identified enterprise, and confirming resources, supply requirements, and availability of machines and personn</w:t>
      </w:r>
      <w:r w:rsidRPr="00DF6E4A">
        <w:t xml:space="preserve">el </w:t>
      </w:r>
    </w:p>
    <w:p w:rsidR="00000000" w:rsidRPr="00DF6E4A" w:rsidP="00DF6E4A">
      <w:pPr>
        <w:pStyle w:val="ListBullet"/>
      </w:pPr>
      <w:r w:rsidRPr="00DF6E4A">
        <w:t>preparing a map of the supply needs of the TCF enterprise and identifying internal processes that ensure receipt and supply of TCF products meet enterprise conditions, quality standards and resource requirements</w:t>
      </w:r>
    </w:p>
    <w:p w:rsidR="00000000" w:rsidRPr="00DF6E4A" w:rsidP="00DF6E4A">
      <w:pPr>
        <w:pStyle w:val="ListBullet"/>
      </w:pPr>
      <w:r w:rsidRPr="00DF6E4A">
        <w:t>analysing import and export rules and re</w:t>
      </w:r>
      <w:r w:rsidRPr="00DF6E4A">
        <w:t xml:space="preserve">gulations for international sources to determine effect on supply conditions </w:t>
      </w:r>
    </w:p>
    <w:p w:rsidR="00000000" w:rsidRPr="00DF6E4A" w:rsidP="00DF6E4A">
      <w:pPr>
        <w:pStyle w:val="ListBullet"/>
      </w:pPr>
      <w:r w:rsidRPr="00DF6E4A">
        <w:t>monitoring supply chain, analysing performance and establishing testing procedures to confirm product and material quality</w:t>
      </w:r>
    </w:p>
    <w:p w:rsidR="00000000" w:rsidRPr="00DF6E4A" w:rsidP="00DF6E4A">
      <w:pPr>
        <w:pStyle w:val="ListBullet"/>
      </w:pPr>
      <w:r w:rsidRPr="00DF6E4A">
        <w:t>conducting ongoing research to assess new trends, condi</w:t>
      </w:r>
      <w:r w:rsidRPr="00DF6E4A">
        <w:t xml:space="preserve">tions and relationships that may influence supply and demand in the TCF industry </w:t>
      </w:r>
    </w:p>
    <w:p w:rsidR="00000000" w:rsidRPr="00DF6E4A" w:rsidP="00DF6E4A">
      <w:pPr>
        <w:pStyle w:val="ListBullet"/>
      </w:pPr>
      <w:r w:rsidRPr="00DF6E4A">
        <w:t>using appropriate TCF industry terminology and technology to prepare a database, spreadsheet or table to record details of relationships and supply chain process for an ident</w:t>
      </w:r>
      <w:r w:rsidRPr="00DF6E4A">
        <w:t>ified enterprise</w:t>
      </w:r>
    </w:p>
    <w:p w:rsidR="00000000" w:rsidRPr="00DF6E4A" w:rsidP="00DF6E4A">
      <w:pPr>
        <w:pStyle w:val="ListBullet"/>
      </w:pPr>
      <w:r w:rsidRPr="00DF6E4A">
        <w:t>maintaining documentation, TCF production planning records and preparing reports to ensure supply chain information is accurate and current.</w:t>
      </w:r>
    </w:p>
    <w:p w:rsidR="00000000" w:rsidRPr="00DF6E4A" w:rsidP="00DF6E4A">
      <w:pPr>
        <w:pStyle w:val="AllowPageBreak"/>
      </w:pPr>
    </w:p>
    <w:p w:rsidR="00000000" w:rsidRPr="00DF6E4A" w:rsidP="00DF6E4A">
      <w:pPr>
        <w:pStyle w:val="Heading1"/>
      </w:pPr>
      <w:bookmarkStart w:id="3" w:name="O_931988"/>
      <w:bookmarkEnd w:id="3"/>
      <w:r w:rsidRPr="00DF6E4A">
        <w:t>Knowledge Evidence</w:t>
      </w:r>
    </w:p>
    <w:p w:rsidR="00000000" w:rsidRPr="00DF6E4A" w:rsidP="00DF4759">
      <w:pPr>
        <w:pStyle w:val="BodyText"/>
      </w:pPr>
      <w:r w:rsidRPr="00DF6E4A">
        <w:t>Evidence must be provided that demonstrates knowledge of:</w:t>
      </w:r>
    </w:p>
    <w:p w:rsidR="00000000" w:rsidRPr="00DF6E4A" w:rsidP="00DF6E4A">
      <w:pPr>
        <w:pStyle w:val="ListBullet"/>
      </w:pPr>
      <w:r w:rsidRPr="00DF6E4A">
        <w:t>saf</w:t>
      </w:r>
      <w:r w:rsidRPr="00DF6E4A">
        <w:t>e work practices and procedures and use of personal protective equipment (PPE)</w:t>
      </w:r>
    </w:p>
    <w:p w:rsidR="00000000" w:rsidRPr="00DF6E4A" w:rsidP="00DF6E4A">
      <w:pPr>
        <w:pStyle w:val="ListBullet"/>
      </w:pPr>
      <w:r w:rsidRPr="00DF6E4A">
        <w:t>relevant Australian Standards</w:t>
      </w:r>
    </w:p>
    <w:p w:rsidR="00000000" w:rsidRPr="00DF6E4A" w:rsidP="00DF6E4A">
      <w:pPr>
        <w:pStyle w:val="ListBullet"/>
      </w:pPr>
      <w:r w:rsidRPr="00DF6E4A">
        <w:t>components of TCF supply chain, such as:</w:t>
      </w:r>
    </w:p>
    <w:p w:rsidR="00000000" w:rsidRPr="00DF6E4A" w:rsidP="00DF6E4A">
      <w:pPr>
        <w:pStyle w:val="ListBullet2"/>
      </w:pPr>
      <w:r w:rsidRPr="00DF6E4A">
        <w:t xml:space="preserve">product flow </w:t>
      </w:r>
    </w:p>
    <w:p w:rsidR="00000000" w:rsidRPr="00DF6E4A" w:rsidP="00DF6E4A">
      <w:pPr>
        <w:pStyle w:val="ListBullet2"/>
      </w:pPr>
      <w:r w:rsidRPr="00DF6E4A">
        <w:t xml:space="preserve">raw material </w:t>
      </w:r>
    </w:p>
    <w:p w:rsidR="00000000" w:rsidRPr="00DF6E4A" w:rsidP="00DF6E4A">
      <w:pPr>
        <w:pStyle w:val="ListBullet2"/>
      </w:pPr>
      <w:r w:rsidRPr="00DF6E4A">
        <w:t>production</w:t>
      </w:r>
    </w:p>
    <w:p w:rsidR="00000000" w:rsidRPr="00DF6E4A" w:rsidP="00DF6E4A">
      <w:pPr>
        <w:pStyle w:val="ListBullet2"/>
      </w:pPr>
      <w:r w:rsidRPr="00DF6E4A">
        <w:t>distribution</w:t>
      </w:r>
    </w:p>
    <w:p w:rsidR="00000000" w:rsidRPr="00DF6E4A" w:rsidP="00DF6E4A">
      <w:pPr>
        <w:pStyle w:val="ListBullet2"/>
      </w:pPr>
      <w:r w:rsidRPr="00DF6E4A">
        <w:t xml:space="preserve">marketing </w:t>
      </w:r>
    </w:p>
    <w:p w:rsidR="00000000" w:rsidRPr="00DF6E4A" w:rsidP="00DF6E4A">
      <w:pPr>
        <w:pStyle w:val="ListBullet2"/>
      </w:pPr>
      <w:r w:rsidRPr="00DF6E4A">
        <w:t>customers</w:t>
      </w:r>
    </w:p>
    <w:p w:rsidR="00000000" w:rsidRPr="00DF6E4A" w:rsidP="00DF6E4A">
      <w:pPr>
        <w:pStyle w:val="ListBullet2"/>
      </w:pPr>
      <w:r w:rsidRPr="00DF6E4A">
        <w:t>business support and administrators</w:t>
      </w:r>
    </w:p>
    <w:p w:rsidR="00000000" w:rsidRPr="00DF6E4A" w:rsidP="00DF6E4A">
      <w:pPr>
        <w:pStyle w:val="ListBullet"/>
      </w:pPr>
      <w:r w:rsidRPr="00DF6E4A">
        <w:t>characteristics of a broad range of fibres, fabrics and fashion and textile products</w:t>
      </w:r>
    </w:p>
    <w:p w:rsidR="00000000" w:rsidRPr="00DF6E4A" w:rsidP="00DF6E4A">
      <w:pPr>
        <w:pStyle w:val="ListBullet"/>
      </w:pPr>
      <w:r w:rsidRPr="00DF6E4A">
        <w:t>information resources on fibres and fabrics</w:t>
      </w:r>
    </w:p>
    <w:p w:rsidR="00000000" w:rsidRPr="00DF6E4A" w:rsidP="00DF6E4A">
      <w:pPr>
        <w:pStyle w:val="ListBullet"/>
      </w:pPr>
      <w:r w:rsidRPr="00DF6E4A">
        <w:t>TCF production processes</w:t>
      </w:r>
    </w:p>
    <w:p w:rsidR="00000000" w:rsidRPr="00DF6E4A" w:rsidP="00DF6E4A">
      <w:pPr>
        <w:pStyle w:val="ListBullet"/>
      </w:pPr>
      <w:r w:rsidRPr="00DF6E4A">
        <w:t xml:space="preserve">test procedures to assess quality of materials and products </w:t>
      </w:r>
    </w:p>
    <w:p w:rsidR="00000000" w:rsidRPr="00DF6E4A" w:rsidP="00DF6E4A">
      <w:pPr>
        <w:pStyle w:val="ListBullet"/>
      </w:pPr>
      <w:r w:rsidRPr="00DF6E4A">
        <w:t>elec</w:t>
      </w:r>
      <w:r w:rsidRPr="00DF6E4A">
        <w:t>tronic and digital tools used in TCF supply chain</w:t>
      </w:r>
    </w:p>
    <w:p w:rsidR="00000000" w:rsidRPr="00DF6E4A" w:rsidP="00DF6E4A">
      <w:pPr>
        <w:pStyle w:val="ListBullet"/>
      </w:pPr>
      <w:r w:rsidRPr="00DF6E4A">
        <w:t>electronic and digital communication and recording tools appropriate for TCF supply chain</w:t>
      </w:r>
    </w:p>
    <w:p w:rsidR="00000000" w:rsidRPr="00DF6E4A" w:rsidP="00DF6E4A">
      <w:pPr>
        <w:pStyle w:val="ListBullet"/>
      </w:pPr>
      <w:r w:rsidRPr="00DF6E4A">
        <w:t>information on TCF trends and conditions test procedures to assess quality of materials and products</w:t>
      </w:r>
    </w:p>
    <w:p w:rsidR="00000000" w:rsidRPr="00DF6E4A" w:rsidP="00DF6E4A">
      <w:pPr>
        <w:pStyle w:val="ListBullet"/>
      </w:pPr>
      <w:r w:rsidRPr="00DF6E4A">
        <w:t>workplace proce</w:t>
      </w:r>
      <w:r w:rsidRPr="00DF6E4A">
        <w:t>dures</w:t>
      </w:r>
    </w:p>
    <w:p w:rsidR="00000000" w:rsidRPr="00DF6E4A" w:rsidP="00DF6E4A">
      <w:pPr>
        <w:pStyle w:val="ListBullet"/>
      </w:pPr>
      <w:r w:rsidRPr="00DF6E4A">
        <w:t>recording and reporting practices.</w:t>
      </w:r>
    </w:p>
    <w:p w:rsidR="00000000" w:rsidRPr="00DF6E4A" w:rsidP="00DF6E4A">
      <w:pPr>
        <w:pStyle w:val="AllowPageBreak"/>
      </w:pPr>
    </w:p>
    <w:p w:rsidR="00000000" w:rsidRPr="00DF6E4A" w:rsidP="00DF6E4A">
      <w:pPr>
        <w:pStyle w:val="Heading1"/>
      </w:pPr>
      <w:bookmarkStart w:id="4" w:name="O_931987"/>
      <w:bookmarkEnd w:id="4"/>
      <w:r w:rsidRPr="00DF6E4A">
        <w:t>Assessment Conditions</w:t>
      </w:r>
    </w:p>
    <w:p w:rsidR="00000000" w:rsidRPr="00DF6E4A" w:rsidP="00DF6E4A">
      <w:pPr>
        <w:pStyle w:val="ListBullet"/>
      </w:pPr>
      <w:r w:rsidRPr="00DF6E4A">
        <w:t>Assessors must:</w:t>
      </w:r>
    </w:p>
    <w:p w:rsidR="00000000" w:rsidRPr="00DF6E4A" w:rsidP="00DF6E4A">
      <w:pPr>
        <w:pStyle w:val="ListBullet2"/>
      </w:pPr>
      <w:r w:rsidRPr="00DF6E4A">
        <w:t>satisfy the assessor competency requirements that are in place at the time of the assessment, as set by the VET regulator</w:t>
      </w:r>
    </w:p>
    <w:p w:rsidR="00000000" w:rsidRPr="00DF6E4A" w:rsidP="00DF6E4A">
      <w:pPr>
        <w:pStyle w:val="ListBullet2"/>
      </w:pPr>
      <w:r w:rsidRPr="00DF6E4A">
        <w:t>have vocational competency in mapping and establishing TCF supply chain process, at least to the level being assessed, with relevant industry knowledge and experience.</w:t>
      </w:r>
    </w:p>
    <w:p w:rsidR="00000000" w:rsidRPr="00DF6E4A" w:rsidP="00DF6E4A">
      <w:pPr>
        <w:pStyle w:val="ListBullet"/>
      </w:pPr>
      <w:r w:rsidRPr="00DF6E4A">
        <w:t>Assessment should occur in operational workplace situations. Where this is not possible</w:t>
      </w:r>
      <w:r w:rsidRPr="00DF6E4A">
        <w:t>, or where personal safety or environmental damage are limiting factors, assessment must occur in a sufficiently rigorous simulated environment reflecting realistic operational workplace conditions. This must cover all aspects of workplace performance, inc</w:t>
      </w:r>
      <w:r w:rsidRPr="00DF6E4A">
        <w:t>luding environment, task skills, task management skills, contingency management skills and job role environment skills.</w:t>
      </w:r>
    </w:p>
    <w:p w:rsidR="00000000" w:rsidRPr="00DF6E4A" w:rsidP="00DF6E4A">
      <w:pPr>
        <w:pStyle w:val="ListBullet"/>
      </w:pPr>
      <w:r w:rsidRPr="00DF6E4A">
        <w:t xml:space="preserve">Assessment processes and techniques must be appropriate to the language, literacy and numeracy requirements of the work being performed </w:t>
      </w:r>
      <w:r w:rsidRPr="00DF6E4A">
        <w:t>and the needs of the candidate.</w:t>
      </w:r>
    </w:p>
    <w:p w:rsidR="00000000" w:rsidRPr="00DF6E4A" w:rsidP="00DF6E4A">
      <w:pPr>
        <w:pStyle w:val="ListBullet"/>
      </w:pPr>
      <w:r w:rsidRPr="00DF6E4A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DF6E4A" w:rsidP="00DF6E4A">
      <w:pPr>
        <w:pStyle w:val="ListBullet"/>
      </w:pPr>
      <w:r w:rsidRPr="00DF6E4A">
        <w:t>The un</w:t>
      </w:r>
      <w:r w:rsidRPr="00DF6E4A">
        <w:t>it is applicable to all TCF sectors and assessment must ensure it is delivered to suit the industry it is being applied to.</w:t>
      </w:r>
    </w:p>
    <w:p w:rsidR="00000000" w:rsidRPr="00DF6E4A" w:rsidP="00DF6E4A">
      <w:pPr>
        <w:pStyle w:val="AllowPageBreak"/>
      </w:pPr>
    </w:p>
    <w:p w:rsidR="00000000" w:rsidRPr="00DF6E4A" w:rsidP="00DF6E4A">
      <w:pPr>
        <w:pStyle w:val="Heading1"/>
      </w:pPr>
      <w:bookmarkStart w:id="5" w:name="O_931985"/>
      <w:bookmarkEnd w:id="5"/>
      <w:r w:rsidRPr="00DF6E4A">
        <w:t>Links</w:t>
      </w:r>
    </w:p>
    <w:p w:rsidR="00000000" w:rsidRPr="00DF6E4A" w:rsidP="00DF4759">
      <w:pPr>
        <w:pStyle w:val="BodyText"/>
      </w:pPr>
      <w:r w:rsidRPr="00DF6E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241F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F6E4A" w:rsidP="00DF6E4A"/>
    <w:sectPr w:rsidSect="00DF6E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4A" w:rsidRPr="00DF4759" w:rsidP="00DF47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59" w:rsidP="00DF6E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4759" w:rsidP="00DF6E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F4759" w:rsidP="00DF6E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E4A" w:rsidRPr="00DF4759" w:rsidP="00DF47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59" w:rsidRPr="002D2AF8" w:rsidP="00DF6E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MSTGN6006 Map and establish TCF supply chain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DF4759" w:rsidP="00DF6E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5284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CAC0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0881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E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E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E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E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E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E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E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E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E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E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E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E4A"/>
  </w:style>
  <w:style w:type="character" w:customStyle="1" w:styleId="Heading1Char">
    <w:name w:val="Heading 1 Char"/>
    <w:basedOn w:val="DefaultParagraphFont"/>
    <w:link w:val="Heading1"/>
    <w:rsid w:val="00DF6E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E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E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6E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6E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6E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E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6E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E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E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E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E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E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E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E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E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E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E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E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E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E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E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E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E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E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6E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6E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6E4A"/>
    <w:rPr>
      <w:b/>
      <w:spacing w:val="0"/>
    </w:rPr>
  </w:style>
  <w:style w:type="paragraph" w:customStyle="1" w:styleId="SuperTitle">
    <w:name w:val="SuperTitle"/>
    <w:basedOn w:val="Title"/>
    <w:rsid w:val="00DF6E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E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E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6E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E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E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E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E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E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E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E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E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6E4A"/>
    <w:rPr>
      <w:i/>
    </w:rPr>
  </w:style>
  <w:style w:type="paragraph" w:styleId="Caption">
    <w:name w:val="caption"/>
    <w:basedOn w:val="BodyText"/>
    <w:next w:val="Normal"/>
    <w:qFormat/>
    <w:rsid w:val="00DF6E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E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E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E4A"/>
  </w:style>
  <w:style w:type="paragraph" w:styleId="TableofFigures">
    <w:name w:val="table of figures"/>
    <w:basedOn w:val="Normal"/>
    <w:next w:val="Normal"/>
    <w:semiHidden/>
    <w:rsid w:val="00DF6E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E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6E4A"/>
    <w:rPr>
      <w:rFonts w:ascii="Wingdings" w:hAnsi="Wingdings"/>
    </w:rPr>
  </w:style>
  <w:style w:type="paragraph" w:customStyle="1" w:styleId="TableHeading">
    <w:name w:val="Table Heading"/>
    <w:basedOn w:val="HeadingBase"/>
    <w:rsid w:val="00DF6E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E4A"/>
    <w:rPr>
      <w:color w:val="0033CC"/>
      <w:u w:val="none"/>
    </w:rPr>
  </w:style>
  <w:style w:type="paragraph" w:customStyle="1" w:styleId="BodyTextRight">
    <w:name w:val="Body Text Right"/>
    <w:basedOn w:val="BodyText"/>
    <w:rsid w:val="00DF6E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E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E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E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E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E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E4A"/>
    <w:rPr>
      <w:sz w:val="32"/>
    </w:rPr>
  </w:style>
  <w:style w:type="paragraph" w:customStyle="1" w:styleId="HeadingProcedure">
    <w:name w:val="Heading Procedure"/>
    <w:basedOn w:val="HeadingBase"/>
    <w:next w:val="Normal"/>
    <w:rsid w:val="00DF6E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E4A"/>
    <w:pPr>
      <w:spacing w:before="60" w:after="60"/>
    </w:pPr>
  </w:style>
  <w:style w:type="paragraph" w:styleId="ListContinue">
    <w:name w:val="List Continue"/>
    <w:basedOn w:val="List"/>
    <w:rsid w:val="00DF6E4A"/>
    <w:pPr>
      <w:ind w:firstLine="0"/>
    </w:pPr>
  </w:style>
  <w:style w:type="paragraph" w:customStyle="1" w:styleId="ListNote">
    <w:name w:val="List Note"/>
    <w:basedOn w:val="List"/>
    <w:rsid w:val="00DF6E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E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E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E4A"/>
    <w:rPr>
      <w:rFonts w:ascii="Courier New" w:hAnsi="Courier New"/>
    </w:rPr>
  </w:style>
  <w:style w:type="paragraph" w:customStyle="1" w:styleId="NoteBullet">
    <w:name w:val="Note Bullet"/>
    <w:basedOn w:val="Note"/>
    <w:rsid w:val="00DF6E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E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E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E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E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6E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E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E4A"/>
    <w:rPr>
      <w:b/>
      <w:smallCaps/>
    </w:rPr>
  </w:style>
  <w:style w:type="paragraph" w:customStyle="1" w:styleId="TableListNumber">
    <w:name w:val="Table List Number"/>
    <w:basedOn w:val="ListNumber"/>
    <w:rsid w:val="00DF6E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E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E4A"/>
    <w:pPr>
      <w:numPr>
        <w:numId w:val="9"/>
      </w:numPr>
    </w:pPr>
  </w:style>
  <w:style w:type="paragraph" w:customStyle="1" w:styleId="ListAlpha2">
    <w:name w:val="List Alpha 2"/>
    <w:basedOn w:val="List2"/>
    <w:rsid w:val="00DF6E4A"/>
    <w:pPr>
      <w:numPr>
        <w:numId w:val="8"/>
      </w:numPr>
    </w:pPr>
  </w:style>
  <w:style w:type="paragraph" w:styleId="List2">
    <w:name w:val="List 2"/>
    <w:basedOn w:val="BodyText"/>
    <w:rsid w:val="00DF6E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E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E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E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E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E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6E4A"/>
    <w:pPr>
      <w:numPr>
        <w:numId w:val="4"/>
      </w:numPr>
    </w:pPr>
  </w:style>
  <w:style w:type="paragraph" w:styleId="ListContinue2">
    <w:name w:val="List Continue 2"/>
    <w:basedOn w:val="List2"/>
    <w:rsid w:val="00DF6E4A"/>
    <w:pPr>
      <w:ind w:firstLine="0"/>
    </w:pPr>
  </w:style>
  <w:style w:type="paragraph" w:styleId="ListContinue3">
    <w:name w:val="List Continue 3"/>
    <w:basedOn w:val="List3"/>
    <w:rsid w:val="00DF6E4A"/>
    <w:pPr>
      <w:ind w:left="1021" w:firstLine="0"/>
    </w:pPr>
  </w:style>
  <w:style w:type="paragraph" w:styleId="ListContinue4">
    <w:name w:val="List Continue 4"/>
    <w:basedOn w:val="List4"/>
    <w:rsid w:val="00DF6E4A"/>
    <w:pPr>
      <w:ind w:firstLine="0"/>
    </w:pPr>
  </w:style>
  <w:style w:type="paragraph" w:styleId="ListContinue5">
    <w:name w:val="List Continue 5"/>
    <w:basedOn w:val="List5"/>
    <w:rsid w:val="00DF6E4A"/>
    <w:pPr>
      <w:ind w:firstLine="0"/>
    </w:pPr>
  </w:style>
  <w:style w:type="paragraph" w:styleId="ListNumber3">
    <w:name w:val="List Number 3"/>
    <w:basedOn w:val="List3"/>
    <w:rsid w:val="00DF6E4A"/>
    <w:pPr>
      <w:numPr>
        <w:numId w:val="5"/>
      </w:numPr>
    </w:pPr>
  </w:style>
  <w:style w:type="paragraph" w:styleId="ListNumber4">
    <w:name w:val="List Number 4"/>
    <w:basedOn w:val="List4"/>
    <w:rsid w:val="00DF6E4A"/>
    <w:pPr>
      <w:numPr>
        <w:numId w:val="6"/>
      </w:numPr>
    </w:pPr>
  </w:style>
  <w:style w:type="paragraph" w:styleId="ListNumber5">
    <w:name w:val="List Number 5"/>
    <w:basedOn w:val="List5"/>
    <w:rsid w:val="00DF6E4A"/>
    <w:pPr>
      <w:numPr>
        <w:numId w:val="7"/>
      </w:numPr>
    </w:pPr>
  </w:style>
  <w:style w:type="paragraph" w:styleId="BlockText">
    <w:name w:val="Block Text"/>
    <w:basedOn w:val="Normal"/>
    <w:rsid w:val="00DF6E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E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E4A"/>
    <w:rPr>
      <w:sz w:val="16"/>
      <w:vertAlign w:val="superscript"/>
    </w:rPr>
  </w:style>
  <w:style w:type="character" w:customStyle="1" w:styleId="Symbols">
    <w:name w:val="Symbols"/>
    <w:basedOn w:val="DefaultParagraphFont"/>
    <w:rsid w:val="00DF6E4A"/>
    <w:rPr>
      <w:rFonts w:ascii="Symbol" w:hAnsi="Symbol"/>
    </w:rPr>
  </w:style>
  <w:style w:type="character" w:customStyle="1" w:styleId="MenuOptions">
    <w:name w:val="Menu Options"/>
    <w:basedOn w:val="DefaultParagraphFont"/>
    <w:rsid w:val="00DF6E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E4A"/>
    <w:rPr>
      <w:b/>
    </w:rPr>
  </w:style>
  <w:style w:type="character" w:customStyle="1" w:styleId="Underlined">
    <w:name w:val="Underlined"/>
    <w:basedOn w:val="DefaultParagraphFont"/>
    <w:rsid w:val="00DF6E4A"/>
    <w:rPr>
      <w:u w:val="single"/>
    </w:rPr>
  </w:style>
  <w:style w:type="paragraph" w:customStyle="1" w:styleId="TableBodyTextRight">
    <w:name w:val="Table Body Text Right"/>
    <w:basedOn w:val="TableBodyText"/>
    <w:rsid w:val="00DF6E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E4A"/>
    <w:rPr>
      <w:sz w:val="18"/>
    </w:rPr>
  </w:style>
  <w:style w:type="paragraph" w:customStyle="1" w:styleId="BodySmallRight">
    <w:name w:val="Body Small Right"/>
    <w:basedOn w:val="BodyTextRight"/>
    <w:rsid w:val="00DF6E4A"/>
    <w:rPr>
      <w:sz w:val="18"/>
      <w:szCs w:val="18"/>
    </w:rPr>
  </w:style>
  <w:style w:type="paragraph" w:customStyle="1" w:styleId="MarginEdition">
    <w:name w:val="Margin Edition"/>
    <w:basedOn w:val="MarginNote"/>
    <w:rsid w:val="00DF6E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E4A"/>
    <w:rPr>
      <w:sz w:val="2"/>
      <w:szCs w:val="2"/>
    </w:rPr>
  </w:style>
  <w:style w:type="character" w:customStyle="1" w:styleId="Small">
    <w:name w:val="Small"/>
    <w:basedOn w:val="DefaultParagraphFont"/>
    <w:rsid w:val="00DF6E4A"/>
    <w:rPr>
      <w:sz w:val="16"/>
    </w:rPr>
  </w:style>
  <w:style w:type="paragraph" w:customStyle="1" w:styleId="WideTable">
    <w:name w:val="Wide Table"/>
    <w:basedOn w:val="Normal"/>
    <w:rsid w:val="00DF6E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E4A"/>
  </w:style>
  <w:style w:type="paragraph" w:styleId="Quote">
    <w:name w:val="Quote"/>
    <w:basedOn w:val="Heading1"/>
    <w:link w:val="QuoteChar"/>
    <w:qFormat/>
    <w:rsid w:val="00DF6E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E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E4A"/>
    <w:pPr>
      <w:pageBreakBefore/>
    </w:pPr>
  </w:style>
  <w:style w:type="paragraph" w:customStyle="1" w:styleId="Border">
    <w:name w:val="Border"/>
    <w:basedOn w:val="Normal"/>
    <w:qFormat/>
    <w:rsid w:val="00DF6E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E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E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E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E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E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E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E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E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E4A"/>
    <w:rPr>
      <w:u w:val="single"/>
    </w:rPr>
  </w:style>
  <w:style w:type="character" w:customStyle="1" w:styleId="BoldandItalics">
    <w:name w:val="Bold and Italics"/>
    <w:qFormat/>
    <w:rsid w:val="00DF6E4A"/>
    <w:rPr>
      <w:b/>
      <w:i/>
      <w:u w:val="none"/>
    </w:rPr>
  </w:style>
  <w:style w:type="paragraph" w:styleId="BalloonText">
    <w:name w:val="Balloon Text"/>
    <w:basedOn w:val="Normal"/>
    <w:link w:val="BalloonTextChar"/>
    <w:rsid w:val="00DF6E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E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E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E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E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E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E4A"/>
    <w:pPr>
      <w:spacing w:before="0" w:after="0"/>
    </w:pPr>
  </w:style>
  <w:style w:type="paragraph" w:customStyle="1" w:styleId="BodyTextBold">
    <w:name w:val="Body Text Bold"/>
    <w:basedOn w:val="BodyText"/>
    <w:qFormat/>
    <w:rsid w:val="00DF6E4A"/>
    <w:rPr>
      <w:b/>
    </w:rPr>
  </w:style>
  <w:style w:type="character" w:styleId="Hyperlink">
    <w:name w:val="Hyperlink"/>
    <w:basedOn w:val="DefaultParagraphFont"/>
    <w:uiPriority w:val="99"/>
    <w:unhideWhenUsed/>
    <w:rsid w:val="00DF47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3664</Characters>
  <Application>Microsoft Office Word</Application>
  <DocSecurity>0</DocSecurity>
  <Lines>85</Lines>
  <Paragraphs>55</Paragraphs>
  <ScaleCrop>false</ScaleCrop>
  <Company>Author-it Software Corporation Ltd.</Company>
  <LinksUpToDate>false</LinksUpToDate>
  <CharactersWithSpaces>4180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MSTGN6006 Map and establish TCF supply chain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2021-07-21T08:41:00Z</dcterms:created>
  <dcterms:modified xsi:type="dcterms:W3CDTF">2021-07-21T08:41:00Z</dcterms:modified>
</cp:coreProperties>
</file>