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F4D" w:rsidP="00CA6F4D">
      <w:pPr>
        <w:pStyle w:val="Title"/>
      </w:pPr>
      <w:r>
        <w:fldChar w:fldCharType="begin"/>
      </w:r>
      <w:r>
        <w:instrText xml:space="preserve"> TITLE   \* MERGEFORMAT </w:instrText>
      </w:r>
      <w:r>
        <w:fldChar w:fldCharType="separate"/>
      </w:r>
      <w:r>
        <w:t>MSTGN6005 Manage production processes</w:t>
      </w:r>
      <w:r>
        <w:fldChar w:fldCharType="end"/>
      </w:r>
    </w:p>
    <w:p w:rsidR="00CA6F4D" w:rsidP="00CA6F4D">
      <w:pPr>
        <w:pStyle w:val="Version"/>
        <w:sectPr w:rsidSect="001B72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26C" w:rsidP="001B726C">
      <w:pPr>
        <w:pStyle w:val="SuperHeading"/>
      </w:pPr>
      <w:r w:rsidRPr="001B726C">
        <w:t>MSTGN6005 Manage production processes</w:t>
      </w:r>
    </w:p>
    <w:p w:rsidR="00000000" w:rsidRPr="001B726C" w:rsidP="001B726C">
      <w:pPr>
        <w:pStyle w:val="Heading1"/>
      </w:pPr>
      <w:bookmarkStart w:id="1" w:name="O_931971"/>
      <w:bookmarkEnd w:id="1"/>
      <w:r w:rsidRPr="001B726C">
        <w:t>Modification History</w:t>
      </w:r>
    </w:p>
    <w:p w:rsidR="00000000" w:rsidRPr="001B726C" w:rsidP="001B726C">
      <w:pPr>
        <w:pStyle w:val="BodyText"/>
      </w:pPr>
      <w:r w:rsidRPr="001B726C">
        <w:t>Release 1. Supersedes and is equivalent to LMTGN6005A Manage production processes</w:t>
      </w:r>
    </w:p>
    <w:p w:rsidR="00000000" w:rsidRPr="001B726C" w:rsidP="001B726C">
      <w:pPr>
        <w:pStyle w:val="AllowPageBreak"/>
      </w:pPr>
    </w:p>
    <w:p w:rsidR="00000000" w:rsidRPr="001B726C" w:rsidP="001B726C">
      <w:pPr>
        <w:pStyle w:val="Heading1"/>
      </w:pPr>
      <w:bookmarkStart w:id="2" w:name="O_931979"/>
      <w:bookmarkEnd w:id="2"/>
      <w:r w:rsidRPr="001B726C">
        <w:t>Application</w:t>
      </w:r>
    </w:p>
    <w:p w:rsidR="00000000" w:rsidRPr="001B726C" w:rsidP="001B726C">
      <w:pPr>
        <w:pStyle w:val="BodyText"/>
      </w:pPr>
      <w:r w:rsidRPr="001B726C">
        <w:t>This unit of competency covers the skills and knowledge required to manage a production facility in a textiles, clothing and</w:t>
      </w:r>
      <w:r w:rsidRPr="001B726C">
        <w:t xml:space="preserve"> footwear (TCF) workplace.</w:t>
      </w:r>
    </w:p>
    <w:p w:rsidR="00000000" w:rsidRPr="001B726C" w:rsidP="001B726C">
      <w:pPr>
        <w:pStyle w:val="BodyText"/>
      </w:pPr>
    </w:p>
    <w:p w:rsidR="00000000" w:rsidRPr="001B726C" w:rsidP="001B726C">
      <w:pPr>
        <w:pStyle w:val="BodyText"/>
      </w:pPr>
      <w:r w:rsidRPr="001B726C">
        <w:t xml:space="preserve">This unit of competency applies to managing production in a TCF workplace where judgement is required in planning, technical or supervisory activities related to operations or processes in substantially non-routine situations.  </w:t>
      </w:r>
    </w:p>
    <w:p w:rsidR="00000000" w:rsidRPr="001B726C" w:rsidP="001B726C">
      <w:pPr>
        <w:pStyle w:val="BodyText"/>
      </w:pPr>
    </w:p>
    <w:p w:rsidR="00000000" w:rsidRPr="001B726C" w:rsidP="001B726C">
      <w:pPr>
        <w:pStyle w:val="BodyText"/>
      </w:pPr>
      <w:r w:rsidRPr="001B726C">
        <w:t xml:space="preserve">The unit of competency is applied under limited guidance in line with a broad plan, budget or strategy as part of the major functional area or in highly specialised situations requiring a range of skills. </w:t>
      </w:r>
    </w:p>
    <w:p w:rsidR="00000000" w:rsidRPr="001B726C" w:rsidP="001B726C">
      <w:pPr>
        <w:pStyle w:val="BodyText"/>
      </w:pPr>
    </w:p>
    <w:p w:rsidR="00000000" w:rsidRPr="001B726C" w:rsidP="001B726C">
      <w:pPr>
        <w:pStyle w:val="BodyText"/>
      </w:pPr>
      <w:r w:rsidRPr="001B726C">
        <w:t>This unit of competency is applicable to all se</w:t>
      </w:r>
      <w:r w:rsidRPr="001B726C">
        <w:t>ctors of the TCF industry.</w:t>
      </w:r>
    </w:p>
    <w:p w:rsidR="00000000" w:rsidRPr="001B726C" w:rsidP="001B726C">
      <w:pPr>
        <w:pStyle w:val="BodyText"/>
      </w:pPr>
    </w:p>
    <w:p w:rsidR="00000000" w:rsidRPr="001B726C" w:rsidP="001B726C">
      <w:pPr>
        <w:pStyle w:val="BodyText"/>
      </w:pPr>
      <w:r w:rsidRPr="001B726C">
        <w:t xml:space="preserve">Work may be conducted in small to large scale enterprises and may involve individual and team activities. </w:t>
      </w:r>
    </w:p>
    <w:p w:rsidR="00000000" w:rsidRPr="001B726C" w:rsidP="001B726C">
      <w:pPr>
        <w:pStyle w:val="BodyText"/>
      </w:pPr>
    </w:p>
    <w:p w:rsidR="00CA6F4D" w:rsidP="001B726C">
      <w:pPr>
        <w:pStyle w:val="BodyText"/>
      </w:pPr>
      <w:r w:rsidRPr="001B726C">
        <w:t>No licensing, legislative or certification requirements apply to this unit at the time of publication</w:t>
      </w:r>
    </w:p>
    <w:p w:rsidR="00CA6F4D" w:rsidP="001B726C">
      <w:pPr>
        <w:pStyle w:val="BodyText"/>
      </w:pPr>
    </w:p>
    <w:p w:rsidR="00000000" w:rsidRPr="001B726C" w:rsidP="001B726C">
      <w:pPr>
        <w:pStyle w:val="Heading1"/>
      </w:pPr>
      <w:bookmarkStart w:id="3" w:name="O_931978"/>
      <w:bookmarkEnd w:id="3"/>
      <w:r w:rsidRPr="001B726C">
        <w:t>Pre-requisite Unit</w:t>
      </w:r>
    </w:p>
    <w:p w:rsidR="00000000" w:rsidRPr="001B726C" w:rsidP="001B726C">
      <w:pPr>
        <w:pStyle w:val="BodyText"/>
      </w:pPr>
      <w:r w:rsidRPr="001B726C">
        <w:t>Nil</w:t>
      </w:r>
    </w:p>
    <w:p w:rsidR="00000000" w:rsidRPr="001B726C" w:rsidP="001B726C">
      <w:pPr>
        <w:pStyle w:val="AllowPageBreak"/>
      </w:pPr>
    </w:p>
    <w:p w:rsidR="00000000" w:rsidRPr="001B726C" w:rsidP="001B726C">
      <w:pPr>
        <w:pStyle w:val="Heading1"/>
      </w:pPr>
      <w:bookmarkStart w:id="4" w:name="O_931977"/>
      <w:bookmarkEnd w:id="4"/>
      <w:r w:rsidRPr="001B726C">
        <w:t>Competency Field</w:t>
      </w:r>
    </w:p>
    <w:p w:rsidR="00000000" w:rsidRPr="001B726C" w:rsidP="001B726C">
      <w:pPr>
        <w:pStyle w:val="BodyText"/>
      </w:pPr>
      <w:r w:rsidRPr="001B726C">
        <w:t>Generic</w:t>
      </w:r>
    </w:p>
    <w:p w:rsidR="00000000" w:rsidRPr="001B726C" w:rsidP="001B726C">
      <w:pPr>
        <w:pStyle w:val="AllowPageBreak"/>
      </w:pPr>
    </w:p>
    <w:p w:rsidR="00000000" w:rsidRPr="001B726C" w:rsidP="001B726C">
      <w:pPr>
        <w:pStyle w:val="Heading1"/>
      </w:pPr>
      <w:bookmarkStart w:id="5" w:name="O_931976"/>
      <w:bookmarkEnd w:id="5"/>
      <w:r w:rsidRPr="001B726C">
        <w:t>Unit Sector</w:t>
      </w:r>
    </w:p>
    <w:p w:rsidR="00000000" w:rsidRPr="001B726C" w:rsidP="001B726C">
      <w:pPr>
        <w:pStyle w:val="BodyText"/>
      </w:pPr>
      <w:r w:rsidRPr="001B726C">
        <w:t>Not applicable</w:t>
      </w:r>
    </w:p>
    <w:p w:rsidR="00000000" w:rsidRPr="001B726C" w:rsidP="001B726C">
      <w:pPr>
        <w:pStyle w:val="AllowPageBreak"/>
      </w:pPr>
    </w:p>
    <w:p w:rsidR="00000000" w:rsidRPr="001B726C" w:rsidP="001B726C">
      <w:pPr>
        <w:pStyle w:val="Heading1"/>
      </w:pPr>
      <w:bookmarkStart w:id="6" w:name="O_931975"/>
      <w:bookmarkEnd w:id="6"/>
      <w:r w:rsidRPr="001B726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B726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Performance criteria describe the performance needed to demonstrate achievement of the element.</w:t>
            </w:r>
          </w:p>
        </w:tc>
      </w:tr>
      <w:tr w:rsidTr="001B72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726C" w:rsidP="001B726C">
            <w:pPr>
              <w:pStyle w:val="BodyText"/>
            </w:pPr>
            <w:r w:rsidRPr="001B726C">
              <w:t>1</w:t>
            </w:r>
          </w:p>
        </w:tc>
        <w:tc>
          <w:tcPr>
            <w:tcW w:w="1962" w:type="dxa"/>
            <w:vMerge w:val="restart"/>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rPr>
                <w:rStyle w:val="SpecialBold"/>
              </w:rPr>
              <w:t>Review production scheduling</w:t>
            </w:r>
          </w:p>
        </w:tc>
        <w:tc>
          <w:tcPr>
            <w:tcW w:w="77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1.1</w:t>
            </w:r>
          </w:p>
        </w:tc>
        <w:tc>
          <w:tcPr>
            <w:tcW w:w="561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Review production schedule to determine effective machinery operation, time and cost efficiency in the use of facilities, a</w:t>
            </w:r>
            <w:r w:rsidRPr="001B726C">
              <w:t>nd suitable use of personnel</w:t>
            </w:r>
          </w:p>
        </w:tc>
      </w:tr>
      <w:tr w:rsidTr="001B72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1.2</w:t>
            </w:r>
          </w:p>
        </w:tc>
        <w:tc>
          <w:tcPr>
            <w:tcW w:w="561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Make recommendations for improvement or change, as appropriate</w:t>
            </w:r>
          </w:p>
        </w:tc>
      </w:tr>
      <w:tr w:rsidTr="001B72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1.3</w:t>
            </w:r>
          </w:p>
        </w:tc>
        <w:tc>
          <w:tcPr>
            <w:tcW w:w="561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Modify schedule according to recommendations or in line with production requirements and workplace procedures, as required</w:t>
            </w:r>
          </w:p>
        </w:tc>
      </w:tr>
      <w:tr w:rsidTr="001B72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72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726C" w:rsidP="001B726C">
            <w:pPr>
              <w:pStyle w:val="BodyText"/>
            </w:pPr>
            <w:r w:rsidRPr="001B726C">
              <w:t>2</w:t>
            </w:r>
          </w:p>
        </w:tc>
        <w:tc>
          <w:tcPr>
            <w:tcW w:w="1962" w:type="dxa"/>
            <w:vMerge w:val="restart"/>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rPr>
                <w:rStyle w:val="SpecialBold"/>
              </w:rPr>
              <w:t>Facilitate resolution of work flow problem</w:t>
            </w:r>
          </w:p>
        </w:tc>
        <w:tc>
          <w:tcPr>
            <w:tcW w:w="77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2.1</w:t>
            </w:r>
          </w:p>
        </w:tc>
        <w:tc>
          <w:tcPr>
            <w:tcW w:w="561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Facilitate meetings to identify methods to solve process or work flow problems</w:t>
            </w:r>
          </w:p>
        </w:tc>
      </w:tr>
      <w:tr w:rsidTr="001B72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2.2</w:t>
            </w:r>
          </w:p>
        </w:tc>
        <w:tc>
          <w:tcPr>
            <w:tcW w:w="561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Use knowledge of process improvement and efficient producti</w:t>
            </w:r>
            <w:r w:rsidRPr="001B726C">
              <w:t>on techniques and systems to assist in identifying and resolving process or work flow problems</w:t>
            </w:r>
          </w:p>
        </w:tc>
      </w:tr>
      <w:tr w:rsidTr="001B72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2.3</w:t>
            </w:r>
          </w:p>
        </w:tc>
        <w:tc>
          <w:tcPr>
            <w:tcW w:w="561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 xml:space="preserve">Recommend and document preferred option to resolve the problem </w:t>
            </w:r>
          </w:p>
        </w:tc>
      </w:tr>
      <w:tr w:rsidTr="001B72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2.4</w:t>
            </w:r>
          </w:p>
        </w:tc>
        <w:tc>
          <w:tcPr>
            <w:tcW w:w="561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Contribute to implementing the recommended problem resolution option, in accordance</w:t>
            </w:r>
            <w:r w:rsidRPr="001B726C">
              <w:t xml:space="preserve"> with work health and safety (WHS) practices</w:t>
            </w:r>
          </w:p>
        </w:tc>
      </w:tr>
      <w:tr w:rsidTr="001B72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72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726C" w:rsidP="001B726C">
            <w:pPr>
              <w:pStyle w:val="BodyText"/>
            </w:pPr>
            <w:r w:rsidRPr="001B726C">
              <w:t>3</w:t>
            </w:r>
          </w:p>
        </w:tc>
        <w:tc>
          <w:tcPr>
            <w:tcW w:w="1962" w:type="dxa"/>
            <w:vMerge w:val="restart"/>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rPr>
                <w:rStyle w:val="SpecialBold"/>
              </w:rPr>
              <w:t>Monitor production improvements or variations</w:t>
            </w:r>
          </w:p>
        </w:tc>
        <w:tc>
          <w:tcPr>
            <w:tcW w:w="77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3.1</w:t>
            </w:r>
          </w:p>
        </w:tc>
        <w:tc>
          <w:tcPr>
            <w:tcW w:w="561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Monitor improvements or variations to production to ensure outcome meets specifications, production schedule and workplace requirements</w:t>
            </w:r>
          </w:p>
        </w:tc>
      </w:tr>
      <w:tr w:rsidTr="001B72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3.2</w:t>
            </w:r>
          </w:p>
        </w:tc>
        <w:tc>
          <w:tcPr>
            <w:tcW w:w="561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Collate and analyse data to evaluate the effectiveness of production improvements or variations</w:t>
            </w:r>
          </w:p>
        </w:tc>
      </w:tr>
      <w:tr w:rsidTr="001B72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3.3</w:t>
            </w:r>
          </w:p>
        </w:tc>
        <w:tc>
          <w:tcPr>
            <w:tcW w:w="561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 xml:space="preserve">Make decisions on improvements or variations to production within limits of management responsibility </w:t>
            </w:r>
          </w:p>
        </w:tc>
      </w:tr>
      <w:tr w:rsidTr="001B72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72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726C" w:rsidP="001B726C">
            <w:pPr>
              <w:pStyle w:val="BodyText"/>
            </w:pPr>
            <w:r w:rsidRPr="001B726C">
              <w:t>4</w:t>
            </w:r>
          </w:p>
        </w:tc>
        <w:tc>
          <w:tcPr>
            <w:tcW w:w="1962" w:type="dxa"/>
            <w:vMerge w:val="restart"/>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rPr>
                <w:rStyle w:val="SpecialBold"/>
              </w:rPr>
              <w:t>Create records and reports</w:t>
            </w:r>
          </w:p>
        </w:tc>
        <w:tc>
          <w:tcPr>
            <w:tcW w:w="77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4.1</w:t>
            </w:r>
          </w:p>
        </w:tc>
        <w:tc>
          <w:tcPr>
            <w:tcW w:w="561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Maintain management records and prepare reports, where necessary</w:t>
            </w:r>
          </w:p>
        </w:tc>
      </w:tr>
      <w:tr w:rsidTr="001B72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4.2</w:t>
            </w:r>
          </w:p>
        </w:tc>
        <w:tc>
          <w:tcPr>
            <w:tcW w:w="5610" w:type="dxa"/>
            <w:tcBorders>
              <w:top w:val="nil"/>
              <w:left w:val="nil"/>
              <w:bottom w:val="nil"/>
              <w:right w:val="nil"/>
            </w:tcBorders>
            <w:tcMar>
              <w:top w:w="0" w:type="dxa"/>
              <w:left w:w="62" w:type="dxa"/>
              <w:bottom w:w="0" w:type="dxa"/>
              <w:right w:w="62" w:type="dxa"/>
            </w:tcMar>
          </w:tcPr>
          <w:p w:rsidR="00000000" w:rsidRPr="001B726C" w:rsidP="001B726C">
            <w:pPr>
              <w:pStyle w:val="BodyText"/>
            </w:pPr>
            <w:r w:rsidRPr="001B726C">
              <w:t xml:space="preserve">Make presentations on production performance and </w:t>
            </w:r>
            <w:r w:rsidRPr="001B726C">
              <w:t xml:space="preserve">developments at management meetings </w:t>
            </w:r>
          </w:p>
        </w:tc>
      </w:tr>
    </w:tbl>
    <w:p w:rsidR="00000000" w:rsidRPr="001B726C" w:rsidP="001B726C">
      <w:pPr>
        <w:pStyle w:val="BodyText"/>
      </w:pPr>
    </w:p>
    <w:p w:rsidR="00000000" w:rsidRPr="001B726C" w:rsidP="001B726C">
      <w:pPr>
        <w:pStyle w:val="AllowPageBreak"/>
      </w:pPr>
    </w:p>
    <w:p w:rsidR="00000000" w:rsidRPr="001B726C" w:rsidP="001B726C">
      <w:pPr>
        <w:pStyle w:val="Heading1"/>
      </w:pPr>
      <w:bookmarkStart w:id="7" w:name="O_931974"/>
      <w:bookmarkEnd w:id="7"/>
      <w:r w:rsidRPr="001B726C">
        <w:t>Foundation Skills</w:t>
      </w:r>
    </w:p>
    <w:p w:rsidR="00000000" w:rsidRPr="001B726C" w:rsidP="001B726C">
      <w:pPr>
        <w:pStyle w:val="BodyText"/>
      </w:pPr>
      <w:r w:rsidRPr="001B726C">
        <w:t>This section describes those required skills (language, literacy and numeracy) that are essential to performance.</w:t>
      </w:r>
    </w:p>
    <w:p w:rsidR="00000000" w:rsidRPr="001B726C" w:rsidP="001B726C">
      <w:pPr>
        <w:pStyle w:val="BodyText"/>
      </w:pPr>
    </w:p>
    <w:p w:rsidR="00000000" w:rsidRPr="001B726C" w:rsidP="001B726C">
      <w:pPr>
        <w:pStyle w:val="BodyText"/>
      </w:pPr>
      <w:r w:rsidRPr="001B726C">
        <w:t>Foundation skills essential to performance are explicit in the performance criteria of this unit of competency.</w:t>
      </w:r>
    </w:p>
    <w:p w:rsidR="00000000" w:rsidRPr="001B726C" w:rsidP="001B726C">
      <w:pPr>
        <w:pStyle w:val="AllowPageBreak"/>
      </w:pPr>
    </w:p>
    <w:p w:rsidR="00000000" w:rsidRPr="001B726C" w:rsidP="001B726C">
      <w:pPr>
        <w:pStyle w:val="Heading1"/>
      </w:pPr>
      <w:bookmarkStart w:id="8" w:name="O_931973"/>
      <w:bookmarkEnd w:id="8"/>
      <w:r w:rsidRPr="001B726C">
        <w:t>Range of Con</w:t>
      </w:r>
      <w:r w:rsidRPr="001B726C">
        <w:t>ditions</w:t>
      </w:r>
    </w:p>
    <w:tbl>
      <w:tblPr>
        <w:tblW w:w="0" w:type="auto"/>
        <w:tblCellMar>
          <w:left w:w="62" w:type="dxa"/>
          <w:right w:w="62" w:type="dxa"/>
        </w:tblCellMar>
        <w:tblLook w:val="0000"/>
      </w:tblPr>
      <w:tblGrid>
        <w:gridCol w:w="2163"/>
        <w:gridCol w:w="7033"/>
      </w:tblGrid>
      <w:tr w:rsidTr="00CA6F4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t>This field allows for different work environments and conditions that may affect performance. Essential operating conditions that may be present (depending on the work situation, needs of the candidate, accessibility of the item, and local industry</w:t>
            </w:r>
            <w:r w:rsidRPr="001B726C">
              <w:t xml:space="preserve"> and regional contexts) are included.</w:t>
            </w:r>
          </w:p>
        </w:tc>
      </w:tr>
      <w:tr w:rsidTr="00CA6F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B726C" w:rsidP="001B726C">
            <w:pPr>
              <w:pStyle w:val="ListBullet"/>
            </w:pPr>
            <w:r w:rsidRPr="001B726C">
              <w:t>requirements prescribed by legislation, awards, agreements and conditions of employment</w:t>
            </w:r>
          </w:p>
          <w:p w:rsidR="00000000" w:rsidRPr="001B726C" w:rsidP="001B726C">
            <w:pPr>
              <w:pStyle w:val="ListBullet"/>
            </w:pPr>
            <w:r w:rsidRPr="001B726C">
              <w:t>standard operating procedures (SOPs)</w:t>
            </w:r>
          </w:p>
          <w:p w:rsidR="00000000" w:rsidRPr="001B726C" w:rsidP="001B726C">
            <w:pPr>
              <w:pStyle w:val="ListBullet"/>
            </w:pPr>
            <w:r w:rsidRPr="001B726C">
              <w:t>work instructions</w:t>
            </w:r>
          </w:p>
          <w:p w:rsidR="00000000" w:rsidRPr="001B726C" w:rsidP="001B726C">
            <w:pPr>
              <w:pStyle w:val="ListBullet"/>
            </w:pPr>
            <w:r w:rsidRPr="001B726C">
              <w:t>oral, written and visual communication</w:t>
            </w:r>
          </w:p>
          <w:p w:rsidR="00000000" w:rsidRPr="001B726C" w:rsidP="001B726C">
            <w:pPr>
              <w:pStyle w:val="ListBullet"/>
            </w:pPr>
            <w:r w:rsidRPr="001B726C">
              <w:t>quality practices, including responsibility for maintenance of own work quality and contribution to quality improvement of team or section output</w:t>
            </w:r>
          </w:p>
          <w:p w:rsidR="00000000" w:rsidRPr="001B726C" w:rsidP="001B726C">
            <w:pPr>
              <w:pStyle w:val="ListBullet"/>
            </w:pPr>
            <w:r w:rsidRPr="001B726C">
              <w:t>housekeeping</w:t>
            </w:r>
          </w:p>
          <w:p w:rsidR="00000000" w:rsidRPr="001B726C" w:rsidP="001B726C">
            <w:pPr>
              <w:pStyle w:val="ListBullet"/>
            </w:pPr>
            <w:r w:rsidRPr="001B726C">
              <w:t>tasks related to environmental protection, waste disposal,</w:t>
            </w:r>
            <w:r w:rsidRPr="001B726C">
              <w:t xml:space="preserve"> pollution control and recycling</w:t>
            </w:r>
          </w:p>
          <w:p w:rsidR="00000000" w:rsidRPr="001B726C" w:rsidP="001B726C">
            <w:pPr>
              <w:pStyle w:val="ListBullet"/>
            </w:pPr>
            <w:r w:rsidRPr="001B726C">
              <w:t>WHS practices</w:t>
            </w:r>
          </w:p>
          <w:p w:rsidR="00000000" w:rsidP="001B726C">
            <w:pPr>
              <w:pStyle w:val="BodyText"/>
              <w:rPr>
                <w:lang w:val="en-NZ"/>
              </w:rPr>
            </w:pPr>
          </w:p>
        </w:tc>
      </w:tr>
      <w:tr w:rsidTr="00CA6F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B726C" w:rsidP="001B726C">
            <w:pPr>
              <w:pStyle w:val="ListBullet"/>
            </w:pPr>
            <w:r w:rsidRPr="001B726C">
              <w:t>the relevant industry or Australian Standards that are current at the time this unit is being undertaken</w:t>
            </w:r>
          </w:p>
          <w:p w:rsidR="00000000" w:rsidP="001B726C">
            <w:pPr>
              <w:pStyle w:val="BodyText"/>
              <w:rPr>
                <w:lang w:val="en-NZ"/>
              </w:rPr>
            </w:pPr>
          </w:p>
        </w:tc>
      </w:tr>
      <w:tr w:rsidTr="00CA6F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rPr>
                <w:rStyle w:val="SpecialBold"/>
              </w:rPr>
              <w:t>Production schedule includes, but is not limited to, one or more of t</w:t>
            </w:r>
            <w:r w:rsidRPr="001B726C">
              <w:rPr>
                <w:rStyle w:val="SpecialBold"/>
              </w:rPr>
              <w:t>he following:</w:t>
            </w:r>
          </w:p>
        </w:tc>
        <w:tc>
          <w:tcPr>
            <w:tcW w:w="0" w:type="auto"/>
            <w:tcBorders>
              <w:top w:val="nil"/>
              <w:left w:val="nil"/>
              <w:bottom w:val="nil"/>
              <w:right w:val="nil"/>
            </w:tcBorders>
            <w:tcMar>
              <w:top w:w="0" w:type="dxa"/>
              <w:left w:w="62" w:type="dxa"/>
              <w:bottom w:w="0" w:type="dxa"/>
              <w:right w:w="62" w:type="dxa"/>
            </w:tcMar>
          </w:tcPr>
          <w:p w:rsidR="00000000" w:rsidRPr="001B726C" w:rsidP="001B726C">
            <w:pPr>
              <w:pStyle w:val="ListBullet"/>
            </w:pPr>
            <w:r w:rsidRPr="001B726C">
              <w:t>electronic or hard copy format</w:t>
            </w:r>
          </w:p>
          <w:p w:rsidR="00000000" w:rsidRPr="001B726C" w:rsidP="001B726C">
            <w:pPr>
              <w:pStyle w:val="ListBullet"/>
            </w:pPr>
            <w:r w:rsidRPr="001B726C">
              <w:t>written text</w:t>
            </w:r>
          </w:p>
          <w:p w:rsidR="00000000" w:rsidRPr="001B726C" w:rsidP="001B726C">
            <w:pPr>
              <w:pStyle w:val="ListBullet"/>
            </w:pPr>
            <w:r w:rsidRPr="001B726C">
              <w:t>tables of numeric data</w:t>
            </w:r>
          </w:p>
          <w:p w:rsidR="00000000" w:rsidRPr="001B726C" w:rsidP="001B726C">
            <w:pPr>
              <w:pStyle w:val="ListBullet"/>
            </w:pPr>
            <w:r w:rsidRPr="001B726C">
              <w:t>graphics</w:t>
            </w:r>
          </w:p>
          <w:p w:rsidR="00000000" w:rsidRPr="001B726C" w:rsidP="001B726C">
            <w:pPr>
              <w:pStyle w:val="ListBullet"/>
            </w:pPr>
            <w:r w:rsidRPr="001B726C">
              <w:t xml:space="preserve">charts </w:t>
            </w:r>
          </w:p>
          <w:p w:rsidR="00000000" w:rsidP="001B726C">
            <w:pPr>
              <w:pStyle w:val="ListBullet"/>
              <w:rPr>
                <w:lang w:val="en-NZ"/>
              </w:rPr>
            </w:pPr>
            <w:r w:rsidRPr="001B726C">
              <w:t>graphs</w:t>
            </w:r>
          </w:p>
        </w:tc>
      </w:tr>
      <w:tr w:rsidTr="00CA6F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1B726C" w:rsidP="001B726C">
            <w:pPr>
              <w:pStyle w:val="BodyText"/>
            </w:pPr>
            <w:r w:rsidRPr="001B726C">
              <w:t>WHS practices must include hazard identification and control, risk assessment and implementation of risk reduction measures specific to the tasks described by this unit, and includes one or more of the following:</w:t>
            </w:r>
          </w:p>
          <w:p w:rsidR="00000000" w:rsidRPr="001B726C" w:rsidP="001B726C">
            <w:pPr>
              <w:pStyle w:val="ListBullet"/>
            </w:pPr>
            <w:r w:rsidRPr="001B726C">
              <w:t>manual handling techniques</w:t>
            </w:r>
          </w:p>
          <w:p w:rsidR="00000000" w:rsidRPr="001B726C" w:rsidP="001B726C">
            <w:pPr>
              <w:pStyle w:val="ListBullet"/>
            </w:pPr>
            <w:r w:rsidRPr="001B726C">
              <w:t>SOPs</w:t>
            </w:r>
          </w:p>
          <w:p w:rsidR="00000000" w:rsidRPr="001B726C" w:rsidP="001B726C">
            <w:pPr>
              <w:pStyle w:val="ListBullet"/>
            </w:pPr>
            <w:r w:rsidRPr="001B726C">
              <w:t>personal p</w:t>
            </w:r>
            <w:r w:rsidRPr="001B726C">
              <w:t>rotective equipment (PPE)</w:t>
            </w:r>
          </w:p>
          <w:p w:rsidR="00000000" w:rsidRPr="001B726C" w:rsidP="001B726C">
            <w:pPr>
              <w:pStyle w:val="ListBullet"/>
            </w:pPr>
            <w:r w:rsidRPr="001B726C">
              <w:t>safe materials handling</w:t>
            </w:r>
          </w:p>
          <w:p w:rsidR="00000000" w:rsidRPr="001B726C" w:rsidP="001B726C">
            <w:pPr>
              <w:pStyle w:val="ListBullet"/>
            </w:pPr>
            <w:r w:rsidRPr="001B726C">
              <w:t>taking of rest breaks</w:t>
            </w:r>
          </w:p>
          <w:p w:rsidR="00000000" w:rsidRPr="001B726C" w:rsidP="001B726C">
            <w:pPr>
              <w:pStyle w:val="ListBullet"/>
            </w:pPr>
            <w:r w:rsidRPr="001B726C">
              <w:t>ergonomic arrangement of workplaces</w:t>
            </w:r>
          </w:p>
          <w:p w:rsidR="00000000" w:rsidRPr="001B726C" w:rsidP="001B726C">
            <w:pPr>
              <w:pStyle w:val="ListBullet"/>
            </w:pPr>
            <w:r w:rsidRPr="001B726C">
              <w:t>following marked walkways</w:t>
            </w:r>
          </w:p>
          <w:p w:rsidR="00000000" w:rsidRPr="001B726C" w:rsidP="001B726C">
            <w:pPr>
              <w:pStyle w:val="ListBullet"/>
            </w:pPr>
            <w:r w:rsidRPr="001B726C">
              <w:t>safe storage of equipment</w:t>
            </w:r>
          </w:p>
          <w:p w:rsidR="00000000" w:rsidRPr="001B726C" w:rsidP="001B726C">
            <w:pPr>
              <w:pStyle w:val="ListBullet"/>
            </w:pPr>
            <w:r w:rsidRPr="001B726C">
              <w:t>housekeeping</w:t>
            </w:r>
          </w:p>
          <w:p w:rsidR="00000000" w:rsidRPr="001B726C" w:rsidP="001B726C">
            <w:pPr>
              <w:pStyle w:val="ListBullet"/>
            </w:pPr>
            <w:r w:rsidRPr="001B726C">
              <w:t>reporting accidents and incidents</w:t>
            </w:r>
          </w:p>
          <w:p w:rsidR="00000000" w:rsidRPr="001B726C" w:rsidP="001B726C">
            <w:pPr>
              <w:pStyle w:val="ListBullet"/>
            </w:pPr>
            <w:r w:rsidRPr="001B726C">
              <w:t>other WHS practices relevant to the job</w:t>
            </w:r>
            <w:r w:rsidRPr="001B726C">
              <w:t xml:space="preserve"> and enterprise</w:t>
            </w:r>
          </w:p>
          <w:p w:rsidR="00000000" w:rsidP="001B726C">
            <w:pPr>
              <w:pStyle w:val="BodyText"/>
              <w:rPr>
                <w:lang w:val="en-NZ"/>
              </w:rPr>
            </w:pPr>
          </w:p>
        </w:tc>
      </w:tr>
      <w:tr w:rsidTr="00CA6F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26C">
            <w:pPr>
              <w:pStyle w:val="BodyText"/>
              <w:rPr>
                <w:lang w:val="en-NZ"/>
              </w:rPr>
            </w:pPr>
            <w:r w:rsidRPr="001B726C">
              <w:rPr>
                <w:rStyle w:val="SpecialBold"/>
              </w:rPr>
              <w:t>Workplace organisation systems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B726C" w:rsidP="001B726C">
            <w:pPr>
              <w:pStyle w:val="ListBullet"/>
            </w:pPr>
            <w:r w:rsidRPr="001B726C">
              <w:t>just in time (JIT)</w:t>
            </w:r>
          </w:p>
          <w:p w:rsidR="00000000" w:rsidRPr="001B726C" w:rsidP="001B726C">
            <w:pPr>
              <w:pStyle w:val="ListBullet"/>
            </w:pPr>
            <w:r w:rsidRPr="001B726C">
              <w:t>value-added modelling (VAM)</w:t>
            </w:r>
          </w:p>
          <w:p w:rsidR="00000000" w:rsidRPr="001B726C" w:rsidP="001B726C">
            <w:pPr>
              <w:pStyle w:val="ListBullet"/>
            </w:pPr>
            <w:r w:rsidRPr="001B726C">
              <w:t>quick response</w:t>
            </w:r>
          </w:p>
          <w:p w:rsidR="00000000" w:rsidRPr="001B726C" w:rsidP="001B726C">
            <w:pPr>
              <w:pStyle w:val="ListBullet"/>
            </w:pPr>
            <w:r w:rsidRPr="001B726C">
              <w:t>quality circles</w:t>
            </w:r>
          </w:p>
          <w:p w:rsidR="00000000" w:rsidRPr="001B726C" w:rsidP="001B726C">
            <w:pPr>
              <w:pStyle w:val="ListBullet"/>
            </w:pPr>
            <w:r w:rsidRPr="001B726C">
              <w:t>team processes</w:t>
            </w:r>
          </w:p>
          <w:p w:rsidR="00000000" w:rsidRPr="001B726C" w:rsidP="001B726C">
            <w:pPr>
              <w:pStyle w:val="ListBullet"/>
            </w:pPr>
            <w:r w:rsidRPr="001B726C">
              <w:t>benchmarking</w:t>
            </w:r>
          </w:p>
        </w:tc>
      </w:tr>
    </w:tbl>
    <w:p w:rsidR="00000000" w:rsidRPr="001B726C" w:rsidP="001B726C">
      <w:pPr>
        <w:pStyle w:val="BodyText"/>
      </w:pPr>
    </w:p>
    <w:p w:rsidR="00000000" w:rsidRPr="001B726C" w:rsidP="001B726C">
      <w:pPr>
        <w:pStyle w:val="AllowPageBreak"/>
      </w:pPr>
    </w:p>
    <w:p w:rsidR="00000000" w:rsidRPr="001B726C" w:rsidP="001B726C">
      <w:pPr>
        <w:pStyle w:val="Heading1"/>
      </w:pPr>
      <w:bookmarkStart w:id="9" w:name="O_931972"/>
      <w:bookmarkEnd w:id="9"/>
      <w:r w:rsidRPr="001B726C">
        <w:t>Unit Mapping Information</w:t>
      </w:r>
    </w:p>
    <w:p w:rsidR="00000000" w:rsidRPr="001B726C" w:rsidP="001B726C">
      <w:pPr>
        <w:pStyle w:val="BodyText"/>
      </w:pPr>
      <w:r w:rsidRPr="001B726C">
        <w:t>Release 1. Supersedes and is equivalent to LMTGN6005A Manage production processes</w:t>
      </w:r>
    </w:p>
    <w:p w:rsidR="00000000" w:rsidRPr="001B726C" w:rsidP="001B726C">
      <w:pPr>
        <w:pStyle w:val="AllowPageBreak"/>
      </w:pPr>
    </w:p>
    <w:p w:rsidR="00000000" w:rsidRPr="001B726C" w:rsidP="001B726C">
      <w:pPr>
        <w:pStyle w:val="Heading1"/>
      </w:pPr>
      <w:bookmarkStart w:id="10" w:name="O_931965"/>
      <w:bookmarkEnd w:id="10"/>
      <w:r w:rsidRPr="001B726C">
        <w:t>Links</w:t>
      </w:r>
    </w:p>
    <w:p w:rsidR="00000000" w:rsidRPr="001B726C" w:rsidP="001B726C">
      <w:pPr>
        <w:pStyle w:val="BodyText"/>
      </w:pPr>
      <w:r w:rsidRPr="001B726C">
        <w:t>Companion Volume implementation guides are found in VETNet - https://vetnet.education.gov.au/Pages/TrainingDocs.aspx?q=a203ec5c-de7d-406b-b3e1-8f1a9b76</w:t>
      </w:r>
      <w:r w:rsidRPr="001B726C">
        <w:t>e92e</w:t>
      </w:r>
    </w:p>
    <w:p w:rsidR="00000000" w:rsidRPr="001B726C" w:rsidP="001B726C"/>
    <w:sectPr w:rsidSect="001B72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6C" w:rsidRPr="00CA6F4D" w:rsidP="00CA6F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F4D" w:rsidP="001B7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A6F4D" w:rsidP="001B726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A6F4D" w:rsidP="001B72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F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726C" w:rsidRPr="00CA6F4D" w:rsidP="00CA6F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F4D" w:rsidRPr="002D2AF8" w:rsidP="001B726C">
    <w:pPr>
      <w:pStyle w:val="Header"/>
      <w:framePr w:wrap="around"/>
    </w:pPr>
    <w:r>
      <w:fldChar w:fldCharType="begin"/>
    </w:r>
    <w:r>
      <w:instrText xml:space="preserve"> TITLE   \* MERGEFORMAT </w:instrText>
    </w:r>
    <w:r>
      <w:fldChar w:fldCharType="separate"/>
    </w:r>
    <w:r>
      <w:t>MSTGN6005 Manage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2016</w:t>
    </w:r>
    <w:r>
      <w:fldChar w:fldCharType="end"/>
    </w:r>
  </w:p>
  <w:p w:rsidR="00CA6F4D" w:rsidP="001B72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2A62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12BD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2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26C"/>
    <w:pPr>
      <w:spacing w:before="360" w:after="60"/>
      <w:outlineLvl w:val="0"/>
    </w:pPr>
    <w:rPr>
      <w:sz w:val="32"/>
    </w:rPr>
  </w:style>
  <w:style w:type="paragraph" w:styleId="Heading2">
    <w:name w:val="heading 2"/>
    <w:basedOn w:val="HeadingBase"/>
    <w:next w:val="BodyText"/>
    <w:link w:val="Heading2Char"/>
    <w:qFormat/>
    <w:rsid w:val="001B726C"/>
    <w:pPr>
      <w:keepLines/>
      <w:spacing w:before="240" w:after="120"/>
      <w:outlineLvl w:val="1"/>
    </w:pPr>
    <w:rPr>
      <w:sz w:val="28"/>
      <w:szCs w:val="40"/>
    </w:rPr>
  </w:style>
  <w:style w:type="paragraph" w:styleId="Heading3">
    <w:name w:val="heading 3"/>
    <w:basedOn w:val="HeadingBase"/>
    <w:next w:val="BodyText"/>
    <w:link w:val="Heading3Char"/>
    <w:qFormat/>
    <w:rsid w:val="001B726C"/>
    <w:pPr>
      <w:spacing w:before="180" w:after="120"/>
      <w:outlineLvl w:val="2"/>
    </w:pPr>
    <w:rPr>
      <w:spacing w:val="-10"/>
      <w:kern w:val="32"/>
    </w:rPr>
  </w:style>
  <w:style w:type="paragraph" w:styleId="Heading4">
    <w:name w:val="heading 4"/>
    <w:basedOn w:val="HeadingBase"/>
    <w:next w:val="BodyText"/>
    <w:link w:val="Heading4Char"/>
    <w:qFormat/>
    <w:rsid w:val="001B726C"/>
    <w:pPr>
      <w:spacing w:before="160" w:after="120"/>
      <w:outlineLvl w:val="3"/>
    </w:pPr>
    <w:rPr>
      <w:sz w:val="22"/>
    </w:rPr>
  </w:style>
  <w:style w:type="paragraph" w:styleId="Heading5">
    <w:name w:val="heading 5"/>
    <w:basedOn w:val="HeadingBase"/>
    <w:next w:val="Normal"/>
    <w:link w:val="Heading5Char"/>
    <w:qFormat/>
    <w:rsid w:val="001B726C"/>
    <w:pPr>
      <w:spacing w:before="80"/>
      <w:outlineLvl w:val="4"/>
    </w:pPr>
    <w:rPr>
      <w:color w:val="918585"/>
      <w:sz w:val="20"/>
    </w:rPr>
  </w:style>
  <w:style w:type="paragraph" w:styleId="Heading6">
    <w:name w:val="heading 6"/>
    <w:basedOn w:val="HeadingBase"/>
    <w:next w:val="Normal"/>
    <w:link w:val="Heading6Char"/>
    <w:qFormat/>
    <w:rsid w:val="001B726C"/>
    <w:pPr>
      <w:spacing w:before="60"/>
      <w:outlineLvl w:val="5"/>
    </w:pPr>
    <w:rPr>
      <w:color w:val="918585"/>
      <w:sz w:val="20"/>
    </w:rPr>
  </w:style>
  <w:style w:type="paragraph" w:styleId="Heading7">
    <w:name w:val="heading 7"/>
    <w:basedOn w:val="Normal"/>
    <w:next w:val="Normal"/>
    <w:link w:val="Heading7Char"/>
    <w:qFormat/>
    <w:rsid w:val="001B726C"/>
    <w:pPr>
      <w:ind w:left="720"/>
      <w:outlineLvl w:val="6"/>
    </w:pPr>
    <w:rPr>
      <w:i/>
    </w:rPr>
  </w:style>
  <w:style w:type="paragraph" w:styleId="Heading8">
    <w:name w:val="heading 8"/>
    <w:basedOn w:val="Normal"/>
    <w:next w:val="Normal"/>
    <w:link w:val="Heading8Char"/>
    <w:qFormat/>
    <w:rsid w:val="001B726C"/>
    <w:pPr>
      <w:ind w:left="720"/>
      <w:outlineLvl w:val="7"/>
    </w:pPr>
    <w:rPr>
      <w:i/>
    </w:rPr>
  </w:style>
  <w:style w:type="paragraph" w:styleId="Heading9">
    <w:name w:val="heading 9"/>
    <w:basedOn w:val="Normal"/>
    <w:next w:val="Normal"/>
    <w:link w:val="Heading9Char"/>
    <w:qFormat/>
    <w:rsid w:val="001B726C"/>
    <w:pPr>
      <w:ind w:left="720"/>
      <w:outlineLvl w:val="8"/>
    </w:pPr>
    <w:rPr>
      <w:i/>
    </w:rPr>
  </w:style>
  <w:style w:type="character" w:default="1" w:styleId="DefaultParagraphFont">
    <w:name w:val="Default Paragraph Font"/>
    <w:uiPriority w:val="1"/>
    <w:unhideWhenUsed/>
    <w:rsid w:val="001B7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26C"/>
  </w:style>
  <w:style w:type="character" w:customStyle="1" w:styleId="Heading1Char">
    <w:name w:val="Heading 1 Char"/>
    <w:basedOn w:val="DefaultParagraphFont"/>
    <w:link w:val="Heading1"/>
    <w:rsid w:val="001B726C"/>
    <w:rPr>
      <w:rFonts w:ascii="Times New Roman" w:eastAsia="Times New Roman" w:hAnsi="Times New Roman" w:cs="Times New Roman"/>
      <w:b/>
      <w:sz w:val="32"/>
      <w:szCs w:val="20"/>
      <w:lang w:eastAsia="en-US"/>
    </w:rPr>
  </w:style>
  <w:style w:type="paragraph" w:styleId="BodyText">
    <w:name w:val="Body Text"/>
    <w:basedOn w:val="Normal"/>
    <w:link w:val="BodyTextChar"/>
    <w:rsid w:val="001B72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726C"/>
    <w:rPr>
      <w:rFonts w:ascii="Times New Roman" w:eastAsia="Times New Roman" w:hAnsi="Times New Roman" w:cs="Times New Roman"/>
      <w:sz w:val="24"/>
      <w:lang w:eastAsia="en-US"/>
    </w:rPr>
  </w:style>
  <w:style w:type="paragraph" w:styleId="ListBullet">
    <w:name w:val="List Bullet"/>
    <w:basedOn w:val="List"/>
    <w:rsid w:val="001B726C"/>
    <w:pPr>
      <w:numPr>
        <w:numId w:val="12"/>
      </w:numPr>
      <w:tabs>
        <w:tab w:val="clear" w:pos="340"/>
      </w:tabs>
      <w:spacing w:before="40" w:after="40"/>
    </w:pPr>
  </w:style>
  <w:style w:type="character" w:customStyle="1" w:styleId="SpecialBold">
    <w:name w:val="Special Bold"/>
    <w:basedOn w:val="DefaultParagraphFont"/>
    <w:rsid w:val="001B726C"/>
    <w:rPr>
      <w:b/>
      <w:spacing w:val="0"/>
    </w:rPr>
  </w:style>
  <w:style w:type="paragraph" w:customStyle="1" w:styleId="SuperHeading">
    <w:name w:val="SuperHeading"/>
    <w:basedOn w:val="Normal"/>
    <w:rsid w:val="001B726C"/>
    <w:pPr>
      <w:spacing w:before="240" w:after="120"/>
      <w:outlineLvl w:val="0"/>
    </w:pPr>
    <w:rPr>
      <w:rFonts w:ascii="Times New Roman" w:hAnsi="Times New Roman"/>
      <w:b/>
      <w:sz w:val="32"/>
    </w:rPr>
  </w:style>
  <w:style w:type="paragraph" w:customStyle="1" w:styleId="AllowPageBreak">
    <w:name w:val="AllowPageBreak"/>
    <w:rsid w:val="001B72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7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2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2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2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2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26C"/>
    <w:rPr>
      <w:rFonts w:ascii="Courier New" w:eastAsia="Times New Roman" w:hAnsi="Courier New" w:cs="Times New Roman"/>
      <w:i/>
      <w:szCs w:val="20"/>
      <w:lang w:eastAsia="en-US"/>
    </w:rPr>
  </w:style>
  <w:style w:type="paragraph" w:customStyle="1" w:styleId="HeadingBase">
    <w:name w:val="Heading Base"/>
    <w:rsid w:val="001B7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26C"/>
    <w:pPr>
      <w:tabs>
        <w:tab w:val="right" w:leader="dot" w:pos="9072"/>
      </w:tabs>
      <w:ind w:left="567"/>
    </w:pPr>
    <w:rPr>
      <w:szCs w:val="22"/>
    </w:rPr>
  </w:style>
  <w:style w:type="paragraph" w:customStyle="1" w:styleId="TOCBase">
    <w:name w:val="TOC Base"/>
    <w:rsid w:val="001B7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26C"/>
    <w:pPr>
      <w:tabs>
        <w:tab w:val="right" w:leader="dot" w:pos="9072"/>
      </w:tabs>
      <w:spacing w:before="40" w:after="40"/>
      <w:ind w:left="284"/>
    </w:pPr>
    <w:rPr>
      <w:rFonts w:ascii="Times New Roman" w:hAnsi="Times New Roman"/>
    </w:rPr>
  </w:style>
  <w:style w:type="paragraph" w:styleId="TOC1">
    <w:name w:val="toc 1"/>
    <w:basedOn w:val="TOCBase"/>
    <w:next w:val="Normal"/>
    <w:rsid w:val="001B72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26C"/>
    <w:rPr>
      <w:rFonts w:ascii="Times New Roman" w:eastAsia="Times New Roman" w:hAnsi="Times New Roman" w:cs="Times New Roman"/>
      <w:sz w:val="16"/>
      <w:lang w:eastAsia="en-US"/>
    </w:rPr>
  </w:style>
  <w:style w:type="paragraph" w:styleId="Title">
    <w:name w:val="Title"/>
    <w:basedOn w:val="HeadingBase"/>
    <w:link w:val="TitleChar"/>
    <w:qFormat/>
    <w:rsid w:val="001B726C"/>
    <w:pPr>
      <w:spacing w:before="5040"/>
      <w:jc w:val="center"/>
    </w:pPr>
    <w:rPr>
      <w:sz w:val="48"/>
      <w:szCs w:val="72"/>
      <w:lang w:val="en-US"/>
    </w:rPr>
  </w:style>
  <w:style w:type="character" w:customStyle="1" w:styleId="TitleChar">
    <w:name w:val="Title Char"/>
    <w:basedOn w:val="DefaultParagraphFont"/>
    <w:link w:val="Title"/>
    <w:rsid w:val="001B7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26C"/>
    <w:pPr>
      <w:tabs>
        <w:tab w:val="left" w:pos="3600"/>
        <w:tab w:val="left" w:pos="3958"/>
      </w:tabs>
    </w:pPr>
  </w:style>
  <w:style w:type="paragraph" w:styleId="List">
    <w:name w:val="List"/>
    <w:basedOn w:val="BodyText"/>
    <w:next w:val="BodyText"/>
    <w:rsid w:val="001B726C"/>
    <w:pPr>
      <w:tabs>
        <w:tab w:val="left" w:pos="340"/>
      </w:tabs>
      <w:spacing w:before="60" w:after="60"/>
      <w:ind w:left="340" w:hanging="340"/>
    </w:pPr>
  </w:style>
  <w:style w:type="paragraph" w:customStyle="1" w:styleId="Note">
    <w:name w:val="Note"/>
    <w:basedOn w:val="BodyText"/>
    <w:rsid w:val="001B72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26C"/>
    <w:pPr>
      <w:framePr w:wrap="auto" w:hAnchor="text" w:y="6049"/>
    </w:pPr>
    <w:rPr>
      <w:color w:val="000000"/>
      <w:sz w:val="40"/>
    </w:rPr>
  </w:style>
  <w:style w:type="paragraph" w:customStyle="1" w:styleId="TOCTitle">
    <w:name w:val="TOCTitle"/>
    <w:basedOn w:val="Heading1"/>
    <w:rsid w:val="001B726C"/>
    <w:pPr>
      <w:spacing w:after="240"/>
      <w:jc w:val="center"/>
      <w:outlineLvl w:val="9"/>
    </w:pPr>
    <w:rPr>
      <w:caps/>
    </w:rPr>
  </w:style>
  <w:style w:type="paragraph" w:customStyle="1" w:styleId="Version">
    <w:name w:val="Version"/>
    <w:rsid w:val="001B72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726C"/>
    <w:pPr>
      <w:numPr>
        <w:numId w:val="13"/>
      </w:numPr>
      <w:tabs>
        <w:tab w:val="clear" w:pos="680"/>
      </w:tabs>
    </w:pPr>
  </w:style>
  <w:style w:type="paragraph" w:styleId="Index1">
    <w:name w:val="index 1"/>
    <w:basedOn w:val="Normal"/>
    <w:next w:val="Normal"/>
    <w:semiHidden/>
    <w:rsid w:val="001B726C"/>
    <w:pPr>
      <w:keepNext w:val="0"/>
      <w:tabs>
        <w:tab w:val="right" w:pos="4176"/>
      </w:tabs>
      <w:ind w:left="198" w:hanging="198"/>
    </w:pPr>
    <w:rPr>
      <w:rFonts w:ascii="Garamond" w:hAnsi="Garamond"/>
    </w:rPr>
  </w:style>
  <w:style w:type="paragraph" w:styleId="IndexHeading">
    <w:name w:val="index heading"/>
    <w:basedOn w:val="Normal"/>
    <w:next w:val="Index1"/>
    <w:semiHidden/>
    <w:rsid w:val="001B726C"/>
    <w:pPr>
      <w:spacing w:before="120" w:after="120"/>
    </w:pPr>
    <w:rPr>
      <w:rFonts w:ascii="Arial" w:hAnsi="Arial"/>
      <w:b/>
      <w:color w:val="918585"/>
      <w:sz w:val="24"/>
    </w:rPr>
  </w:style>
  <w:style w:type="paragraph" w:styleId="Header">
    <w:name w:val="header"/>
    <w:basedOn w:val="Normal"/>
    <w:link w:val="HeaderChar"/>
    <w:rsid w:val="001B7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26C"/>
    <w:rPr>
      <w:rFonts w:ascii="Times New Roman" w:eastAsia="Times New Roman" w:hAnsi="Times New Roman" w:cs="Times New Roman"/>
      <w:sz w:val="16"/>
      <w:szCs w:val="20"/>
      <w:lang w:val="en-GB" w:eastAsia="en-US"/>
    </w:rPr>
  </w:style>
  <w:style w:type="paragraph" w:customStyle="1" w:styleId="Chapter">
    <w:name w:val="Chapter"/>
    <w:basedOn w:val="Normal"/>
    <w:rsid w:val="001B726C"/>
    <w:pPr>
      <w:spacing w:before="240"/>
    </w:pPr>
    <w:rPr>
      <w:rFonts w:ascii="Times New Roman" w:hAnsi="Times New Roman"/>
      <w:smallCaps/>
      <w:spacing w:val="80"/>
      <w:sz w:val="28"/>
    </w:rPr>
  </w:style>
  <w:style w:type="paragraph" w:customStyle="1" w:styleId="InChapter">
    <w:name w:val="InChapter"/>
    <w:basedOn w:val="Heading3"/>
    <w:rsid w:val="001B726C"/>
    <w:pPr>
      <w:spacing w:after="240"/>
      <w:outlineLvl w:val="9"/>
    </w:pPr>
    <w:rPr>
      <w:noProof/>
    </w:rPr>
  </w:style>
  <w:style w:type="paragraph" w:styleId="Index2">
    <w:name w:val="index 2"/>
    <w:basedOn w:val="Normal"/>
    <w:next w:val="Normal"/>
    <w:semiHidden/>
    <w:rsid w:val="001B726C"/>
    <w:pPr>
      <w:tabs>
        <w:tab w:val="right" w:pos="4176"/>
      </w:tabs>
      <w:ind w:left="568" w:hanging="284"/>
    </w:pPr>
    <w:rPr>
      <w:rFonts w:ascii="Garamond" w:hAnsi="Garamond"/>
    </w:rPr>
  </w:style>
  <w:style w:type="paragraph" w:customStyle="1" w:styleId="Byline">
    <w:name w:val="Byline"/>
    <w:rsid w:val="001B7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26C"/>
    <w:pPr>
      <w:tabs>
        <w:tab w:val="clear" w:pos="3600"/>
        <w:tab w:val="clear" w:pos="3958"/>
      </w:tabs>
      <w:jc w:val="right"/>
    </w:pPr>
  </w:style>
  <w:style w:type="character" w:styleId="Emphasis">
    <w:name w:val="Emphasis"/>
    <w:basedOn w:val="DefaultParagraphFont"/>
    <w:qFormat/>
    <w:rsid w:val="001B726C"/>
    <w:rPr>
      <w:i/>
    </w:rPr>
  </w:style>
  <w:style w:type="paragraph" w:styleId="Caption">
    <w:name w:val="caption"/>
    <w:basedOn w:val="BodyText"/>
    <w:next w:val="Normal"/>
    <w:qFormat/>
    <w:rsid w:val="001B726C"/>
    <w:pPr>
      <w:framePr w:w="2268" w:hSpace="181" w:vSpace="181" w:wrap="around" w:vAnchor="text" w:hAnchor="page" w:x="1135" w:y="285" w:anchorLock="1"/>
    </w:pPr>
    <w:rPr>
      <w:i/>
    </w:rPr>
  </w:style>
  <w:style w:type="paragraph" w:customStyle="1" w:styleId="MiniTOCTitle">
    <w:name w:val="MiniTOCTitle"/>
    <w:basedOn w:val="Heading4"/>
    <w:rsid w:val="001B726C"/>
    <w:pPr>
      <w:spacing w:before="240"/>
      <w:outlineLvl w:val="9"/>
    </w:pPr>
    <w:rPr>
      <w:noProof/>
      <w:sz w:val="24"/>
    </w:rPr>
  </w:style>
  <w:style w:type="paragraph" w:customStyle="1" w:styleId="MiniTOCItem">
    <w:name w:val="MiniTOCItem"/>
    <w:basedOn w:val="ListBullet"/>
    <w:rsid w:val="001B726C"/>
    <w:pPr>
      <w:numPr>
        <w:numId w:val="0"/>
      </w:numPr>
      <w:tabs>
        <w:tab w:val="right" w:leader="dot" w:pos="6521"/>
      </w:tabs>
      <w:spacing w:before="0" w:after="0"/>
    </w:pPr>
  </w:style>
  <w:style w:type="paragraph" w:customStyle="1" w:styleId="TOFTitle">
    <w:name w:val="TOFTitle"/>
    <w:basedOn w:val="TOCTitle"/>
    <w:rsid w:val="001B726C"/>
  </w:style>
  <w:style w:type="paragraph" w:styleId="TableofFigures">
    <w:name w:val="table of figures"/>
    <w:basedOn w:val="Normal"/>
    <w:next w:val="Normal"/>
    <w:semiHidden/>
    <w:rsid w:val="001B726C"/>
    <w:pPr>
      <w:tabs>
        <w:tab w:val="right" w:leader="dot" w:pos="9072"/>
      </w:tabs>
      <w:ind w:left="970" w:hanging="403"/>
    </w:pPr>
    <w:rPr>
      <w:rFonts w:ascii="Times New Roman" w:hAnsi="Times New Roman"/>
      <w:b/>
    </w:rPr>
  </w:style>
  <w:style w:type="paragraph" w:styleId="ListNumber">
    <w:name w:val="List Number"/>
    <w:basedOn w:val="List"/>
    <w:rsid w:val="001B726C"/>
    <w:pPr>
      <w:numPr>
        <w:numId w:val="10"/>
      </w:numPr>
    </w:pPr>
  </w:style>
  <w:style w:type="character" w:customStyle="1" w:styleId="WingdingSymbols">
    <w:name w:val="Wingding Symbols"/>
    <w:rsid w:val="001B726C"/>
    <w:rPr>
      <w:rFonts w:ascii="Wingdings" w:hAnsi="Wingdings"/>
    </w:rPr>
  </w:style>
  <w:style w:type="paragraph" w:customStyle="1" w:styleId="TableHeading">
    <w:name w:val="Table Heading"/>
    <w:basedOn w:val="HeadingBase"/>
    <w:rsid w:val="001B726C"/>
    <w:pPr>
      <w:keepLines/>
      <w:pBdr>
        <w:bottom w:val="single" w:sz="6" w:space="1" w:color="918585"/>
      </w:pBdr>
      <w:spacing w:before="240"/>
    </w:pPr>
  </w:style>
  <w:style w:type="character" w:customStyle="1" w:styleId="HotSpot">
    <w:name w:val="HotSpot"/>
    <w:rsid w:val="001B726C"/>
    <w:rPr>
      <w:color w:val="0033CC"/>
      <w:u w:val="none"/>
    </w:rPr>
  </w:style>
  <w:style w:type="paragraph" w:customStyle="1" w:styleId="BodyTextRight">
    <w:name w:val="Body Text Right"/>
    <w:basedOn w:val="BodyText"/>
    <w:rsid w:val="001B726C"/>
    <w:pPr>
      <w:spacing w:before="0" w:after="0"/>
      <w:jc w:val="right"/>
    </w:pPr>
  </w:style>
  <w:style w:type="paragraph" w:styleId="Index3">
    <w:name w:val="index 3"/>
    <w:basedOn w:val="ListNumber2"/>
    <w:next w:val="Normal"/>
    <w:semiHidden/>
    <w:rsid w:val="001B726C"/>
    <w:pPr>
      <w:numPr>
        <w:numId w:val="0"/>
      </w:numPr>
      <w:tabs>
        <w:tab w:val="right" w:leader="dot" w:pos="4176"/>
      </w:tabs>
    </w:pPr>
  </w:style>
  <w:style w:type="paragraph" w:styleId="ListNumber2">
    <w:name w:val="List Number 2"/>
    <w:basedOn w:val="List2"/>
    <w:rsid w:val="001B726C"/>
    <w:pPr>
      <w:numPr>
        <w:numId w:val="9"/>
      </w:numPr>
      <w:tabs>
        <w:tab w:val="clear" w:pos="1060"/>
      </w:tabs>
    </w:pPr>
  </w:style>
  <w:style w:type="paragraph" w:customStyle="1" w:styleId="MarginNote">
    <w:name w:val="Margin Note"/>
    <w:basedOn w:val="BodyText"/>
    <w:rsid w:val="001B7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2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26C"/>
    <w:rPr>
      <w:sz w:val="32"/>
    </w:rPr>
  </w:style>
  <w:style w:type="paragraph" w:customStyle="1" w:styleId="HeadingProcedure">
    <w:name w:val="Heading Procedure"/>
    <w:basedOn w:val="HeadingBase"/>
    <w:next w:val="Normal"/>
    <w:rsid w:val="001B726C"/>
    <w:pPr>
      <w:tabs>
        <w:tab w:val="left" w:pos="0"/>
      </w:tabs>
      <w:spacing w:before="120" w:after="60"/>
    </w:pPr>
    <w:rPr>
      <w:i/>
      <w:color w:val="918585"/>
      <w:sz w:val="22"/>
    </w:rPr>
  </w:style>
  <w:style w:type="paragraph" w:customStyle="1" w:styleId="TableBodyText">
    <w:name w:val="Table Body Text"/>
    <w:basedOn w:val="BodyText"/>
    <w:rsid w:val="001B726C"/>
    <w:pPr>
      <w:spacing w:before="60" w:after="60"/>
    </w:pPr>
  </w:style>
  <w:style w:type="paragraph" w:styleId="ListContinue">
    <w:name w:val="List Continue"/>
    <w:basedOn w:val="List"/>
    <w:rsid w:val="001B726C"/>
    <w:pPr>
      <w:ind w:firstLine="0"/>
    </w:pPr>
  </w:style>
  <w:style w:type="paragraph" w:customStyle="1" w:styleId="ListNote">
    <w:name w:val="List Note"/>
    <w:basedOn w:val="List"/>
    <w:rsid w:val="001B726C"/>
    <w:pPr>
      <w:pBdr>
        <w:top w:val="single" w:sz="6" w:space="2" w:color="918585"/>
        <w:bottom w:val="single" w:sz="6" w:space="2" w:color="918585"/>
      </w:pBdr>
      <w:tabs>
        <w:tab w:val="left" w:pos="1021"/>
      </w:tabs>
      <w:ind w:firstLine="0"/>
    </w:pPr>
  </w:style>
  <w:style w:type="paragraph" w:customStyle="1" w:styleId="Warning">
    <w:name w:val="Warning"/>
    <w:basedOn w:val="BodyText"/>
    <w:rsid w:val="001B726C"/>
    <w:pPr>
      <w:shd w:val="clear" w:color="auto" w:fill="D9D9D9"/>
      <w:tabs>
        <w:tab w:val="left" w:pos="992"/>
      </w:tabs>
      <w:ind w:left="119" w:right="119"/>
    </w:pPr>
    <w:rPr>
      <w:sz w:val="20"/>
    </w:rPr>
  </w:style>
  <w:style w:type="paragraph" w:customStyle="1" w:styleId="MarginIcons">
    <w:name w:val="Margin Icons"/>
    <w:basedOn w:val="BodyText"/>
    <w:rsid w:val="001B7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26C"/>
    <w:rPr>
      <w:rFonts w:ascii="Courier New" w:hAnsi="Courier New"/>
    </w:rPr>
  </w:style>
  <w:style w:type="paragraph" w:customStyle="1" w:styleId="NoteBullet">
    <w:name w:val="Note Bullet"/>
    <w:basedOn w:val="Note"/>
    <w:rsid w:val="001B726C"/>
    <w:pPr>
      <w:tabs>
        <w:tab w:val="clear" w:pos="680"/>
      </w:tabs>
      <w:spacing w:before="60" w:after="60"/>
    </w:pPr>
  </w:style>
  <w:style w:type="paragraph" w:customStyle="1" w:styleId="SubHeading2">
    <w:name w:val="SubHeading2"/>
    <w:basedOn w:val="HeadingBase"/>
    <w:rsid w:val="001B726C"/>
    <w:pPr>
      <w:spacing w:before="240" w:after="60"/>
    </w:pPr>
    <w:rPr>
      <w:sz w:val="20"/>
    </w:rPr>
  </w:style>
  <w:style w:type="paragraph" w:customStyle="1" w:styleId="SubHeading1">
    <w:name w:val="SubHeading1"/>
    <w:basedOn w:val="HeadingBase"/>
    <w:rsid w:val="001B726C"/>
    <w:pPr>
      <w:spacing w:before="240" w:after="60"/>
    </w:pPr>
    <w:rPr>
      <w:color w:val="918585"/>
      <w:sz w:val="22"/>
    </w:rPr>
  </w:style>
  <w:style w:type="paragraph" w:customStyle="1" w:styleId="SideHeading">
    <w:name w:val="Side Heading"/>
    <w:basedOn w:val="HeadingBase"/>
    <w:rsid w:val="001B7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26C"/>
    <w:pPr>
      <w:tabs>
        <w:tab w:val="num" w:pos="360"/>
      </w:tabs>
    </w:pPr>
  </w:style>
  <w:style w:type="paragraph" w:styleId="PlainText">
    <w:name w:val="Plain Text"/>
    <w:basedOn w:val="Normal"/>
    <w:link w:val="PlainTextChar"/>
    <w:rsid w:val="001B726C"/>
    <w:rPr>
      <w:sz w:val="20"/>
    </w:rPr>
  </w:style>
  <w:style w:type="character" w:customStyle="1" w:styleId="PlainTextChar">
    <w:name w:val="Plain Text Char"/>
    <w:basedOn w:val="DefaultParagraphFont"/>
    <w:link w:val="PlainText"/>
    <w:rsid w:val="001B726C"/>
    <w:rPr>
      <w:rFonts w:ascii="Courier New" w:eastAsia="Times New Roman" w:hAnsi="Courier New" w:cs="Times New Roman"/>
      <w:sz w:val="20"/>
      <w:szCs w:val="20"/>
      <w:lang w:eastAsia="en-US"/>
    </w:rPr>
  </w:style>
  <w:style w:type="character" w:customStyle="1" w:styleId="MenuOption">
    <w:name w:val="Menu Option"/>
    <w:basedOn w:val="DefaultParagraphFont"/>
    <w:rsid w:val="001B726C"/>
    <w:rPr>
      <w:b/>
      <w:smallCaps/>
    </w:rPr>
  </w:style>
  <w:style w:type="paragraph" w:customStyle="1" w:styleId="TableListNumber">
    <w:name w:val="Table List Number"/>
    <w:basedOn w:val="ListNumber"/>
    <w:rsid w:val="001B726C"/>
    <w:pPr>
      <w:numPr>
        <w:numId w:val="0"/>
      </w:numPr>
    </w:pPr>
  </w:style>
  <w:style w:type="paragraph" w:styleId="TOC4">
    <w:name w:val="toc 4"/>
    <w:basedOn w:val="TOCBase"/>
    <w:next w:val="Normal"/>
    <w:semiHidden/>
    <w:rsid w:val="001B726C"/>
    <w:pPr>
      <w:tabs>
        <w:tab w:val="right" w:leader="dot" w:pos="9071"/>
      </w:tabs>
      <w:ind w:left="1701"/>
    </w:pPr>
  </w:style>
  <w:style w:type="paragraph" w:customStyle="1" w:styleId="ListAlpha">
    <w:name w:val="List Alpha"/>
    <w:basedOn w:val="List"/>
    <w:rsid w:val="001B726C"/>
    <w:pPr>
      <w:numPr>
        <w:numId w:val="8"/>
      </w:numPr>
    </w:pPr>
  </w:style>
  <w:style w:type="paragraph" w:customStyle="1" w:styleId="ListAlpha2">
    <w:name w:val="List Alpha 2"/>
    <w:basedOn w:val="List2"/>
    <w:rsid w:val="001B726C"/>
    <w:pPr>
      <w:numPr>
        <w:numId w:val="7"/>
      </w:numPr>
    </w:pPr>
  </w:style>
  <w:style w:type="paragraph" w:styleId="List2">
    <w:name w:val="List 2"/>
    <w:basedOn w:val="BodyText"/>
    <w:rsid w:val="001B726C"/>
    <w:pPr>
      <w:tabs>
        <w:tab w:val="left" w:pos="680"/>
      </w:tabs>
      <w:spacing w:before="60" w:after="60"/>
      <w:ind w:left="680" w:hanging="340"/>
    </w:pPr>
  </w:style>
  <w:style w:type="paragraph" w:styleId="List3">
    <w:name w:val="List 3"/>
    <w:basedOn w:val="BodyText"/>
    <w:rsid w:val="001B726C"/>
    <w:pPr>
      <w:tabs>
        <w:tab w:val="left" w:pos="1021"/>
      </w:tabs>
      <w:spacing w:before="60" w:after="60"/>
      <w:ind w:left="1020" w:hanging="340"/>
    </w:pPr>
  </w:style>
  <w:style w:type="paragraph" w:styleId="List4">
    <w:name w:val="List 4"/>
    <w:basedOn w:val="BodyText"/>
    <w:rsid w:val="001B726C"/>
    <w:pPr>
      <w:tabs>
        <w:tab w:val="left" w:pos="1361"/>
      </w:tabs>
      <w:spacing w:before="60" w:after="60"/>
      <w:ind w:left="1361" w:hanging="340"/>
    </w:pPr>
  </w:style>
  <w:style w:type="paragraph" w:styleId="List5">
    <w:name w:val="List 5"/>
    <w:basedOn w:val="BodyText"/>
    <w:rsid w:val="001B726C"/>
    <w:pPr>
      <w:tabs>
        <w:tab w:val="left" w:pos="1701"/>
      </w:tabs>
      <w:spacing w:before="60" w:after="60"/>
      <w:ind w:left="1701" w:hanging="340"/>
    </w:pPr>
  </w:style>
  <w:style w:type="paragraph" w:styleId="ListBullet3">
    <w:name w:val="List Bullet 3"/>
    <w:basedOn w:val="List3"/>
    <w:rsid w:val="001B726C"/>
    <w:pPr>
      <w:numPr>
        <w:numId w:val="14"/>
      </w:numPr>
      <w:tabs>
        <w:tab w:val="clear" w:pos="1021"/>
      </w:tabs>
      <w:ind w:left="1037" w:hanging="357"/>
    </w:pPr>
  </w:style>
  <w:style w:type="paragraph" w:styleId="ListBullet4">
    <w:name w:val="List Bullet 4"/>
    <w:basedOn w:val="List4"/>
    <w:rsid w:val="001B726C"/>
    <w:pPr>
      <w:numPr>
        <w:numId w:val="2"/>
      </w:numPr>
      <w:tabs>
        <w:tab w:val="clear" w:pos="1361"/>
      </w:tabs>
    </w:pPr>
  </w:style>
  <w:style w:type="paragraph" w:styleId="ListBullet5">
    <w:name w:val="List Bullet 5"/>
    <w:basedOn w:val="List5"/>
    <w:rsid w:val="001B726C"/>
    <w:pPr>
      <w:numPr>
        <w:numId w:val="3"/>
      </w:numPr>
    </w:pPr>
  </w:style>
  <w:style w:type="paragraph" w:styleId="ListContinue2">
    <w:name w:val="List Continue 2"/>
    <w:basedOn w:val="List2"/>
    <w:rsid w:val="001B726C"/>
    <w:pPr>
      <w:ind w:firstLine="0"/>
    </w:pPr>
  </w:style>
  <w:style w:type="paragraph" w:styleId="ListContinue3">
    <w:name w:val="List Continue 3"/>
    <w:basedOn w:val="List3"/>
    <w:rsid w:val="001B726C"/>
    <w:pPr>
      <w:ind w:left="1021" w:firstLine="0"/>
    </w:pPr>
  </w:style>
  <w:style w:type="paragraph" w:styleId="ListContinue4">
    <w:name w:val="List Continue 4"/>
    <w:basedOn w:val="List4"/>
    <w:rsid w:val="001B726C"/>
    <w:pPr>
      <w:ind w:firstLine="0"/>
    </w:pPr>
  </w:style>
  <w:style w:type="paragraph" w:styleId="ListContinue5">
    <w:name w:val="List Continue 5"/>
    <w:basedOn w:val="List5"/>
    <w:rsid w:val="001B726C"/>
    <w:pPr>
      <w:ind w:firstLine="0"/>
    </w:pPr>
  </w:style>
  <w:style w:type="paragraph" w:styleId="ListNumber3">
    <w:name w:val="List Number 3"/>
    <w:basedOn w:val="List3"/>
    <w:rsid w:val="001B726C"/>
    <w:pPr>
      <w:numPr>
        <w:numId w:val="4"/>
      </w:numPr>
    </w:pPr>
  </w:style>
  <w:style w:type="paragraph" w:styleId="ListNumber4">
    <w:name w:val="List Number 4"/>
    <w:basedOn w:val="List4"/>
    <w:rsid w:val="001B726C"/>
    <w:pPr>
      <w:numPr>
        <w:numId w:val="5"/>
      </w:numPr>
    </w:pPr>
  </w:style>
  <w:style w:type="paragraph" w:styleId="ListNumber5">
    <w:name w:val="List Number 5"/>
    <w:basedOn w:val="List5"/>
    <w:rsid w:val="001B726C"/>
    <w:pPr>
      <w:numPr>
        <w:numId w:val="6"/>
      </w:numPr>
    </w:pPr>
  </w:style>
  <w:style w:type="paragraph" w:styleId="BlockText">
    <w:name w:val="Block Text"/>
    <w:basedOn w:val="Normal"/>
    <w:rsid w:val="001B726C"/>
    <w:pPr>
      <w:spacing w:after="120"/>
      <w:ind w:left="1440" w:right="1440"/>
    </w:pPr>
  </w:style>
  <w:style w:type="character" w:customStyle="1" w:styleId="Subscript">
    <w:name w:val="Subscript"/>
    <w:basedOn w:val="DefaultParagraphFont"/>
    <w:rsid w:val="001B726C"/>
    <w:rPr>
      <w:sz w:val="16"/>
      <w:vertAlign w:val="subscript"/>
    </w:rPr>
  </w:style>
  <w:style w:type="character" w:customStyle="1" w:styleId="Superscript">
    <w:name w:val="Superscript"/>
    <w:basedOn w:val="DefaultParagraphFont"/>
    <w:rsid w:val="001B726C"/>
    <w:rPr>
      <w:sz w:val="16"/>
      <w:vertAlign w:val="superscript"/>
    </w:rPr>
  </w:style>
  <w:style w:type="character" w:customStyle="1" w:styleId="Symbols">
    <w:name w:val="Symbols"/>
    <w:basedOn w:val="DefaultParagraphFont"/>
    <w:rsid w:val="001B726C"/>
    <w:rPr>
      <w:rFonts w:ascii="Symbol" w:hAnsi="Symbol"/>
    </w:rPr>
  </w:style>
  <w:style w:type="character" w:customStyle="1" w:styleId="MenuOptions">
    <w:name w:val="Menu Options"/>
    <w:basedOn w:val="DefaultParagraphFont"/>
    <w:rsid w:val="001B726C"/>
    <w:rPr>
      <w:rFonts w:ascii="Arial Narrow" w:hAnsi="Arial Narrow"/>
      <w:smallCaps/>
    </w:rPr>
  </w:style>
  <w:style w:type="character" w:customStyle="1" w:styleId="Buttons">
    <w:name w:val="Buttons"/>
    <w:basedOn w:val="DefaultParagraphFont"/>
    <w:rsid w:val="001B726C"/>
    <w:rPr>
      <w:b/>
    </w:rPr>
  </w:style>
  <w:style w:type="character" w:customStyle="1" w:styleId="Underlined">
    <w:name w:val="Underlined"/>
    <w:basedOn w:val="DefaultParagraphFont"/>
    <w:rsid w:val="001B726C"/>
    <w:rPr>
      <w:u w:val="single"/>
    </w:rPr>
  </w:style>
  <w:style w:type="paragraph" w:customStyle="1" w:styleId="TableBodyTextRight">
    <w:name w:val="Table Body Text Right"/>
    <w:basedOn w:val="TableBodyText"/>
    <w:rsid w:val="001B726C"/>
    <w:pPr>
      <w:widowControl w:val="0"/>
      <w:autoSpaceDE w:val="0"/>
      <w:autoSpaceDN w:val="0"/>
      <w:adjustRightInd w:val="0"/>
      <w:jc w:val="right"/>
    </w:pPr>
    <w:rPr>
      <w:rFonts w:cs="Arial"/>
      <w:szCs w:val="18"/>
    </w:rPr>
  </w:style>
  <w:style w:type="paragraph" w:customStyle="1" w:styleId="CopyrightText">
    <w:name w:val="Copyright Text"/>
    <w:basedOn w:val="BodyText"/>
    <w:rsid w:val="001B726C"/>
    <w:rPr>
      <w:sz w:val="18"/>
    </w:rPr>
  </w:style>
  <w:style w:type="paragraph" w:customStyle="1" w:styleId="BodySmallRight">
    <w:name w:val="Body Small Right"/>
    <w:basedOn w:val="BodyTextRight"/>
    <w:rsid w:val="001B726C"/>
    <w:rPr>
      <w:sz w:val="18"/>
      <w:szCs w:val="18"/>
    </w:rPr>
  </w:style>
  <w:style w:type="paragraph" w:customStyle="1" w:styleId="MarginEdition">
    <w:name w:val="Margin Edition"/>
    <w:basedOn w:val="MarginNote"/>
    <w:rsid w:val="001B726C"/>
    <w:pPr>
      <w:spacing w:before="0" w:after="0"/>
    </w:pPr>
    <w:rPr>
      <w:rFonts w:ascii="Times New Roman" w:hAnsi="Times New Roman"/>
      <w:color w:val="999999"/>
    </w:rPr>
  </w:style>
  <w:style w:type="paragraph" w:customStyle="1" w:styleId="Spacer">
    <w:name w:val="Spacer"/>
    <w:basedOn w:val="Normal"/>
    <w:rsid w:val="001B726C"/>
    <w:rPr>
      <w:sz w:val="2"/>
      <w:szCs w:val="2"/>
    </w:rPr>
  </w:style>
  <w:style w:type="character" w:customStyle="1" w:styleId="Small">
    <w:name w:val="Small"/>
    <w:basedOn w:val="DefaultParagraphFont"/>
    <w:rsid w:val="001B726C"/>
    <w:rPr>
      <w:sz w:val="16"/>
    </w:rPr>
  </w:style>
  <w:style w:type="paragraph" w:customStyle="1" w:styleId="WideTable">
    <w:name w:val="Wide Table"/>
    <w:basedOn w:val="Normal"/>
    <w:rsid w:val="001B726C"/>
    <w:pPr>
      <w:ind w:left="-1418"/>
    </w:pPr>
    <w:rPr>
      <w:sz w:val="2"/>
      <w:szCs w:val="2"/>
    </w:rPr>
  </w:style>
  <w:style w:type="character" w:styleId="PageNumber">
    <w:name w:val="page number"/>
    <w:basedOn w:val="DefaultParagraphFont"/>
    <w:rsid w:val="001B726C"/>
  </w:style>
  <w:style w:type="paragraph" w:styleId="Quote">
    <w:name w:val="Quote"/>
    <w:basedOn w:val="Heading1"/>
    <w:link w:val="QuoteChar"/>
    <w:qFormat/>
    <w:rsid w:val="001B726C"/>
    <w:rPr>
      <w:b w:val="0"/>
      <w:sz w:val="72"/>
      <w:szCs w:val="72"/>
      <w:lang w:val="en-NZ"/>
    </w:rPr>
  </w:style>
  <w:style w:type="character" w:customStyle="1" w:styleId="QuoteChar">
    <w:name w:val="Quote Char"/>
    <w:basedOn w:val="DefaultParagraphFont"/>
    <w:link w:val="Quote"/>
    <w:rsid w:val="001B7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26C"/>
    <w:pPr>
      <w:pageBreakBefore/>
    </w:pPr>
  </w:style>
  <w:style w:type="paragraph" w:customStyle="1" w:styleId="Border">
    <w:name w:val="Border"/>
    <w:basedOn w:val="Normal"/>
    <w:qFormat/>
    <w:rsid w:val="001B7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26C"/>
    <w:rPr>
      <w:b/>
      <w:bCs/>
      <w:i/>
      <w:iCs/>
      <w:color w:val="auto"/>
    </w:rPr>
  </w:style>
  <w:style w:type="paragraph" w:styleId="IntenseQuote">
    <w:name w:val="Intense Quote"/>
    <w:basedOn w:val="Normal"/>
    <w:next w:val="Normal"/>
    <w:link w:val="IntenseQuoteChar"/>
    <w:uiPriority w:val="30"/>
    <w:qFormat/>
    <w:rsid w:val="001B7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2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26C"/>
    <w:rPr>
      <w:smallCaps/>
      <w:color w:val="auto"/>
      <w:u w:val="single"/>
    </w:rPr>
  </w:style>
  <w:style w:type="character" w:styleId="IntenseReference">
    <w:name w:val="Intense Reference"/>
    <w:basedOn w:val="DefaultParagraphFont"/>
    <w:uiPriority w:val="32"/>
    <w:qFormat/>
    <w:rsid w:val="001B726C"/>
    <w:rPr>
      <w:b/>
      <w:bCs/>
      <w:smallCaps/>
      <w:color w:val="auto"/>
      <w:spacing w:val="5"/>
      <w:u w:val="single"/>
    </w:rPr>
  </w:style>
  <w:style w:type="paragraph" w:customStyle="1" w:styleId="2ColumnHeading">
    <w:name w:val="2Column Heading"/>
    <w:basedOn w:val="BodyText"/>
    <w:qFormat/>
    <w:rsid w:val="001B726C"/>
    <w:pPr>
      <w:spacing w:after="60"/>
      <w:ind w:left="-2268"/>
    </w:pPr>
    <w:rPr>
      <w:b/>
    </w:rPr>
  </w:style>
  <w:style w:type="paragraph" w:customStyle="1" w:styleId="Heading1TOC">
    <w:name w:val="Heading1 TOC"/>
    <w:basedOn w:val="Normal"/>
    <w:qFormat/>
    <w:rsid w:val="001B726C"/>
    <w:pPr>
      <w:spacing w:before="240" w:after="120"/>
    </w:pPr>
    <w:rPr>
      <w:rFonts w:ascii="Times New Roman" w:hAnsi="Times New Roman"/>
      <w:b/>
      <w:sz w:val="32"/>
    </w:rPr>
  </w:style>
  <w:style w:type="paragraph" w:customStyle="1" w:styleId="Heading2TOC">
    <w:name w:val="Heading2 TOC"/>
    <w:basedOn w:val="Normal"/>
    <w:qFormat/>
    <w:rsid w:val="001B726C"/>
    <w:pPr>
      <w:spacing w:before="240" w:after="60"/>
    </w:pPr>
    <w:rPr>
      <w:rFonts w:ascii="Times New Roman" w:hAnsi="Times New Roman"/>
      <w:b/>
      <w:sz w:val="28"/>
    </w:rPr>
  </w:style>
  <w:style w:type="character" w:customStyle="1" w:styleId="Underline">
    <w:name w:val="Underline"/>
    <w:basedOn w:val="DefaultParagraphFont"/>
    <w:qFormat/>
    <w:rsid w:val="001B726C"/>
    <w:rPr>
      <w:u w:val="single"/>
    </w:rPr>
  </w:style>
  <w:style w:type="character" w:customStyle="1" w:styleId="BoldandItalics">
    <w:name w:val="Bold and Italics"/>
    <w:qFormat/>
    <w:rsid w:val="001B726C"/>
    <w:rPr>
      <w:b/>
      <w:i/>
      <w:u w:val="none"/>
    </w:rPr>
  </w:style>
  <w:style w:type="paragraph" w:styleId="BalloonText">
    <w:name w:val="Balloon Text"/>
    <w:basedOn w:val="Normal"/>
    <w:link w:val="BalloonTextChar"/>
    <w:rsid w:val="001B726C"/>
    <w:rPr>
      <w:rFonts w:ascii="Tahoma" w:hAnsi="Tahoma" w:cs="Tahoma"/>
      <w:sz w:val="16"/>
      <w:szCs w:val="16"/>
    </w:rPr>
  </w:style>
  <w:style w:type="character" w:customStyle="1" w:styleId="BalloonTextChar">
    <w:name w:val="Balloon Text Char"/>
    <w:basedOn w:val="DefaultParagraphFont"/>
    <w:link w:val="BalloonText"/>
    <w:rsid w:val="001B72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2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72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26C"/>
    <w:rPr>
      <w:b/>
      <w:color w:val="660033"/>
      <w:spacing w:val="0"/>
    </w:rPr>
  </w:style>
  <w:style w:type="paragraph" w:customStyle="1" w:styleId="Nameditemlist">
    <w:name w:val="Named item list"/>
    <w:basedOn w:val="BodyText"/>
    <w:qFormat/>
    <w:rsid w:val="001B72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4430</Characters>
  <Application>Microsoft Office Word</Application>
  <DocSecurity>0</DocSecurity>
  <Lines>199</Lines>
  <Paragraphs>100</Paragraphs>
  <ScaleCrop>false</ScaleCrop>
  <Company>Author-it Software Corporation Ltd.</Company>
  <LinksUpToDate>false</LinksUpToDate>
  <CharactersWithSpaces>5070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MSTGN6005 Manage production processes</dc:title>
  <dc:subject>Approved</dc:subject>
  <dc:creator>Manufacturing Skills Australia</dc:creator>
  <cp:keywords>Release: 1</cp:keywords>
  <dc:description>Review Date: 12 April 2008</dc:description>
  <cp:lastModifiedBy>HSD_TPCMSd.prod</cp:lastModifiedBy>
  <cp:revision>3</cp:revision>
  <dcterms:created xsi:type="dcterms:W3CDTF">2016-11-21T11:07:00Z</dcterms:created>
  <dcterms:modified xsi:type="dcterms:W3CDTF">2016-11-21T11:07:00Z</dcterms:modified>
</cp:coreProperties>
</file>