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99C" w:rsidP="00B5099C">
      <w:pPr>
        <w:pStyle w:val="Title"/>
      </w:pPr>
      <w:r>
        <w:fldChar w:fldCharType="begin"/>
      </w:r>
      <w:r>
        <w:instrText xml:space="preserve"> TITLE   \* MERGEFORMAT </w:instrText>
      </w:r>
      <w:r>
        <w:fldChar w:fldCharType="separate"/>
      </w:r>
      <w:r>
        <w:t>MSTGN5011 Work with international TCF supply chains</w:t>
      </w:r>
      <w:r>
        <w:fldChar w:fldCharType="end"/>
      </w:r>
    </w:p>
    <w:p w:rsidR="00B5099C" w:rsidP="00B5099C">
      <w:pPr>
        <w:pStyle w:val="Version"/>
        <w:sectPr w:rsidSect="00CB0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0C3" w:rsidP="00CB00C3">
      <w:pPr>
        <w:pStyle w:val="SuperHeading"/>
      </w:pPr>
      <w:r w:rsidRPr="00CB00C3">
        <w:t>MSTGN5011 Work with international TCF supply chains</w:t>
      </w:r>
    </w:p>
    <w:p w:rsidR="00000000" w:rsidRPr="00CB00C3" w:rsidP="00CB00C3">
      <w:pPr>
        <w:pStyle w:val="Heading1"/>
      </w:pPr>
      <w:bookmarkStart w:id="1" w:name="O_1036982"/>
      <w:bookmarkEnd w:id="1"/>
      <w:r w:rsidRPr="00CB00C3">
        <w:t>Modification History</w:t>
      </w:r>
    </w:p>
    <w:p w:rsidR="00000000" w:rsidRPr="00CB00C3" w:rsidP="00B5099C">
      <w:pPr>
        <w:pStyle w:val="BodyText"/>
      </w:pPr>
      <w:r w:rsidRPr="00CB00C3">
        <w:t>Release 1. Supersedes and is equivalent to MSTGN5003 Work with international TCF supply chains.</w:t>
      </w:r>
    </w:p>
    <w:p w:rsidR="00B5099C" w:rsidP="00B5099C">
      <w:pPr>
        <w:pStyle w:val="BodyText"/>
      </w:pPr>
      <w:r w:rsidRPr="00CB00C3">
        <w:t>Unit code changed. Range of conditions removed. Element removed. Foundation skills information added. Assessment requirements amen</w:t>
      </w:r>
      <w:r w:rsidRPr="00CB00C3">
        <w:t>ded. Equivalent outcome.</w:t>
      </w:r>
    </w:p>
    <w:p w:rsidR="00000000" w:rsidRPr="00CB00C3" w:rsidP="00CB00C3">
      <w:pPr>
        <w:pStyle w:val="Heading1"/>
      </w:pPr>
      <w:bookmarkStart w:id="2" w:name="O_1036983"/>
      <w:bookmarkEnd w:id="2"/>
      <w:r w:rsidRPr="00CB00C3">
        <w:t>Application</w:t>
      </w:r>
    </w:p>
    <w:p w:rsidR="00000000" w:rsidRPr="00CB00C3" w:rsidP="00B5099C">
      <w:pPr>
        <w:pStyle w:val="BodyText"/>
      </w:pPr>
      <w:r w:rsidRPr="00CB00C3">
        <w:t>This unit of competency describes the skills and knowledge required to work with international textiles, clothing and footwear (TCF) supply chains. It involves working with international suppliers an</w:t>
      </w:r>
      <w:r w:rsidRPr="00CB00C3">
        <w:t xml:space="preserve">d customers of goods and services, according to established contractual agreements. </w:t>
      </w:r>
    </w:p>
    <w:p w:rsidR="00000000" w:rsidRPr="00CB00C3" w:rsidP="00B5099C">
      <w:pPr>
        <w:pStyle w:val="BodyText"/>
      </w:pPr>
      <w:r w:rsidRPr="00CB00C3">
        <w:t>The unit applies to small to large scale workplaces in all sectors of the TCF industry, and may involve individual and team activities. Work involves the application of in</w:t>
      </w:r>
      <w:r w:rsidRPr="00CB00C3">
        <w:t>itiative and judgement, and sensitivity to cultural and language differences. Working with international suppliers and customers includes implementing import and export practices, building commercial relationships, and working effectively with local custom</w:t>
      </w:r>
      <w:r w:rsidRPr="00CB00C3">
        <w:t>s, communications and industry work practices.</w:t>
      </w:r>
    </w:p>
    <w:p w:rsidR="00000000" w:rsidRPr="00CB00C3" w:rsidP="00B5099C">
      <w:pPr>
        <w:pStyle w:val="BodyText"/>
      </w:pPr>
      <w:r w:rsidRPr="00CB00C3">
        <w:t>No licensing, legislative or certification requirements apply to this unit at the time of publication.</w:t>
      </w:r>
    </w:p>
    <w:p w:rsidR="00000000" w:rsidRPr="00CB00C3" w:rsidP="00CB00C3">
      <w:pPr>
        <w:pStyle w:val="Heading1"/>
      </w:pPr>
      <w:bookmarkStart w:id="3" w:name="O_1036984"/>
      <w:bookmarkEnd w:id="3"/>
      <w:r w:rsidRPr="00CB00C3">
        <w:t>Pre-requisite Unit</w:t>
      </w:r>
    </w:p>
    <w:p w:rsidR="00000000" w:rsidRPr="00CB00C3" w:rsidP="00B5099C">
      <w:pPr>
        <w:pStyle w:val="BodyText"/>
      </w:pPr>
      <w:r w:rsidRPr="00CB00C3">
        <w:t>N/A</w:t>
      </w:r>
    </w:p>
    <w:p w:rsidR="00000000" w:rsidRPr="00CB00C3" w:rsidP="00CB00C3">
      <w:pPr>
        <w:pStyle w:val="Heading1"/>
      </w:pPr>
      <w:bookmarkStart w:id="4" w:name="O_1036986"/>
      <w:bookmarkEnd w:id="4"/>
      <w:r w:rsidRPr="00CB00C3">
        <w:t>Unit Sector</w:t>
      </w:r>
    </w:p>
    <w:p w:rsidR="00B5099C" w:rsidP="00B5099C">
      <w:pPr>
        <w:pStyle w:val="BodyText"/>
      </w:pPr>
      <w:r w:rsidRPr="00CB00C3">
        <w:t>Generic</w:t>
      </w:r>
    </w:p>
    <w:p w:rsidR="00000000" w:rsidRPr="00CB00C3" w:rsidP="00CB00C3">
      <w:pPr>
        <w:pStyle w:val="Heading1"/>
      </w:pPr>
      <w:bookmarkStart w:id="5" w:name="O_1036987"/>
      <w:bookmarkEnd w:id="5"/>
      <w:r w:rsidRPr="00CB00C3">
        <w:t>Eleme</w:t>
      </w:r>
      <w:r w:rsidRPr="00CB00C3">
        <w:t>nts and Performance Criteria</w:t>
      </w:r>
    </w:p>
    <w:tbl>
      <w:tblPr>
        <w:tblW w:w="9638" w:type="dxa"/>
        <w:tblLayout w:type="fixed"/>
        <w:tblCellMar>
          <w:left w:w="62" w:type="dxa"/>
          <w:right w:w="62" w:type="dxa"/>
        </w:tblCellMar>
        <w:tblLook w:val="0000"/>
      </w:tblPr>
      <w:tblGrid>
        <w:gridCol w:w="2713"/>
        <w:gridCol w:w="922"/>
        <w:gridCol w:w="6003"/>
      </w:tblGrid>
      <w:tr w:rsidTr="00CB00C3">
        <w:tblPrEx>
          <w:tblW w:w="9638" w:type="dxa"/>
          <w:tblLayout w:type="fixed"/>
          <w:tblCellMar>
            <w:left w:w="62" w:type="dxa"/>
            <w:right w:w="62" w:type="dxa"/>
          </w:tblCellMar>
          <w:tblLook w:val="0000"/>
        </w:tblPrEx>
        <w:trPr>
          <w:tblHeader/>
        </w:trPr>
        <w:tc>
          <w:tcPr>
            <w:tcW w:w="271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B00C3" w:rsidP="00CB00C3">
            <w:pPr>
              <w:pStyle w:val="BodyText"/>
            </w:pPr>
            <w:r w:rsidRPr="00CB00C3">
              <w:rPr>
                <w:rStyle w:val="SpecialBold"/>
              </w:rPr>
              <w:t>Elements</w:t>
            </w:r>
          </w:p>
        </w:tc>
        <w:tc>
          <w:tcPr>
            <w:tcW w:w="6925"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B00C3">
            <w:pPr>
              <w:pStyle w:val="BodyText"/>
              <w:rPr>
                <w:lang w:val="en-NZ"/>
              </w:rPr>
            </w:pPr>
            <w:r w:rsidRPr="00CB00C3">
              <w:rPr>
                <w:rStyle w:val="SpecialBold"/>
              </w:rPr>
              <w:t>Performance Criteria</w:t>
            </w:r>
          </w:p>
        </w:tc>
      </w:tr>
      <w:tr w:rsidTr="00CB00C3">
        <w:tblPrEx>
          <w:tblW w:w="9638" w:type="dxa"/>
          <w:tblLayout w:type="fixed"/>
          <w:tblCellMar>
            <w:left w:w="62" w:type="dxa"/>
            <w:right w:w="62" w:type="dxa"/>
          </w:tblCellMar>
          <w:tblLook w:val="0000"/>
        </w:tblPrEx>
        <w:trPr>
          <w:tblHeader/>
        </w:trPr>
        <w:tc>
          <w:tcPr>
            <w:tcW w:w="271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Elements describe the essential outcomes.</w:t>
            </w:r>
          </w:p>
        </w:tc>
        <w:tc>
          <w:tcPr>
            <w:tcW w:w="6925"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Performance criteria describe the performance needed to demonstrate achievement of the element.</w:t>
            </w:r>
          </w:p>
        </w:tc>
      </w:tr>
      <w:tr w:rsidTr="00CB00C3">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 Prepare to work with international supply chain</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Determine job requirements from contracts, orders, specifications, job sheets and work instructions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Identify members in international supply chain for products and services relating to job requirements within own area of responsibility</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Determine value added by each supplier</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Identify supplier characteristics and practices, and any acute, chronic, unethical or unsustainable issues affecting suppliers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 xml:space="preserve">Identify import and export regulations and practices of relevant country </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1.6</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Research local customs and workplace practices and identify relevant factors affecting supply chain operations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1.7</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Access and assess information on local industry markets and conditions and identify transportation and shipping practices</w:t>
            </w:r>
          </w:p>
        </w:tc>
      </w:tr>
      <w:tr w:rsidTr="00CB00C3">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 Confirm r</w:t>
            </w:r>
            <w:r w:rsidRPr="00CB00C3">
              <w:t>elationships with international suppliers and customers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Review past relations with suppliers and customers to identify relationship history</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Confirm specifications for international contracts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Identify quality assurance processes and confirm communication channels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Establish and maintain ongoing communication to foster positive commercial relations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2.5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Adhere to relevant identified Australian and international export and import regulation</w:t>
            </w:r>
            <w:r w:rsidRPr="00CB00C3">
              <w:t>s</w:t>
            </w:r>
          </w:p>
        </w:tc>
      </w:tr>
      <w:tr w:rsidTr="00CB00C3">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3. Set up process for supply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3.1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Document supply operation process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3.2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Determine parameters for quality delivery</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3.3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Formalise and document contract with supplier</w:t>
            </w:r>
          </w:p>
        </w:tc>
      </w:tr>
      <w:tr w:rsidTr="00CB00C3">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4. Monitor international supply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4.1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Check compliance of international supplier or customer with specified contractual requirements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4.2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 xml:space="preserve">Communicate and monitor required quality standards </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4.3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 xml:space="preserve">Identify, report and record non-compliance and investigate </w:t>
            </w:r>
            <w:r w:rsidRPr="00CB00C3">
              <w:t>to determine causes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4.4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Seek feedback from international supplier contact</w:t>
            </w:r>
          </w:p>
        </w:tc>
      </w:tr>
      <w:tr w:rsidTr="00CB00C3">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 Contribute to implementing and recording improvements to global production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Review outcomes of monitoring and feedback</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Identify opportunities for corrective and preventative action to improve commercial relationship with international supplier or customer</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Recommend and activate corrective and preventative actions to improve global production operations</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Communic</w:t>
            </w:r>
            <w:r w:rsidRPr="00CB00C3">
              <w:t>ate changes to required personnel in a logical and clear manner</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Monitor changes to confirm that production quality and efficiency improve</w:t>
            </w:r>
          </w:p>
        </w:tc>
      </w:tr>
      <w:tr w:rsidTr="00CB00C3">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0C3">
            <w:pPr>
              <w:pStyle w:val="BodyText"/>
              <w:rPr>
                <w:lang w:val="en-NZ"/>
              </w:rPr>
            </w:pPr>
            <w:r w:rsidRPr="00CB00C3">
              <w:t>5.6</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0C3" w:rsidP="00CB00C3">
            <w:pPr>
              <w:pStyle w:val="BodyText"/>
            </w:pPr>
            <w:r w:rsidRPr="00CB00C3">
              <w:t>Maintain international production and supply documentation, monitor records, and prepare reports according</w:t>
            </w:r>
            <w:r w:rsidRPr="00CB00C3">
              <w:t xml:space="preserve"> to workplace requirements</w:t>
            </w:r>
          </w:p>
        </w:tc>
      </w:tr>
    </w:tbl>
    <w:p w:rsidR="00000000" w:rsidRPr="00CB00C3" w:rsidP="00CB00C3">
      <w:pPr>
        <w:pStyle w:val="BodyText"/>
      </w:pPr>
    </w:p>
    <w:p w:rsidR="00000000" w:rsidRPr="00CB00C3" w:rsidP="00CB00C3">
      <w:pPr>
        <w:pStyle w:val="AllowPageBreak"/>
      </w:pPr>
    </w:p>
    <w:p w:rsidR="00000000" w:rsidRPr="00CB00C3" w:rsidP="00CB00C3">
      <w:pPr>
        <w:pStyle w:val="Heading1"/>
      </w:pPr>
      <w:bookmarkStart w:id="6" w:name="O_1036988"/>
      <w:bookmarkEnd w:id="6"/>
      <w:r w:rsidRPr="00CB00C3">
        <w:t>Foundation Skills</w:t>
      </w:r>
    </w:p>
    <w:p w:rsidR="00000000" w:rsidRPr="00CB00C3" w:rsidP="00B5099C">
      <w:pPr>
        <w:pStyle w:val="BodyText"/>
      </w:pPr>
      <w:r w:rsidRPr="00CB00C3">
        <w:t>This section describes those language, literacy, numeracy and employment skills that are essential to performance but not explicit in the performance criteria of this unit of competency.</w:t>
      </w:r>
    </w:p>
    <w:p w:rsidR="00000000" w:rsidRPr="00CB00C3" w:rsidP="00CB00C3">
      <w:pPr>
        <w:pStyle w:val="ListBullet"/>
      </w:pPr>
      <w:r w:rsidRPr="00CB00C3">
        <w:t>Reading skills to:</w:t>
      </w:r>
    </w:p>
    <w:p w:rsidR="00000000" w:rsidRPr="00CB00C3" w:rsidP="00CB00C3">
      <w:pPr>
        <w:pStyle w:val="ListBullet2"/>
      </w:pPr>
      <w:r w:rsidRPr="00CB00C3">
        <w:t>interpret import and export regulations and supply documentation</w:t>
      </w:r>
    </w:p>
    <w:p w:rsidR="00000000" w:rsidRPr="00CB00C3" w:rsidP="00CB00C3">
      <w:pPr>
        <w:pStyle w:val="ListBullet2"/>
      </w:pPr>
      <w:r w:rsidRPr="00CB00C3">
        <w:t>check contractual requirements</w:t>
      </w:r>
    </w:p>
    <w:p w:rsidR="00000000" w:rsidRPr="00CB00C3" w:rsidP="00CB00C3">
      <w:pPr>
        <w:pStyle w:val="ListBullet"/>
      </w:pPr>
      <w:r w:rsidRPr="00CB00C3">
        <w:t>Oral communication skills to establish networks, negotiate agreements, and resolve conflicts</w:t>
      </w:r>
    </w:p>
    <w:p w:rsidR="00000000" w:rsidRPr="00CB00C3" w:rsidP="00CB00C3">
      <w:pPr>
        <w:pStyle w:val="ListBullet"/>
      </w:pPr>
      <w:r w:rsidRPr="00CB00C3">
        <w:t>Initiative and enterprise skills to maintain d</w:t>
      </w:r>
      <w:r w:rsidRPr="00CB00C3">
        <w:t>rive, identify new opportunities, and investigate options</w:t>
      </w:r>
    </w:p>
    <w:p w:rsidR="00000000" w:rsidRPr="00CB00C3" w:rsidP="00CB00C3">
      <w:pPr>
        <w:pStyle w:val="ListBullet"/>
      </w:pPr>
      <w:r w:rsidRPr="00CB00C3">
        <w:t>Problem solving skills to rectify misunderstandings and issues with non-compliance</w:t>
      </w:r>
    </w:p>
    <w:p w:rsidR="00000000" w:rsidRPr="00CB00C3" w:rsidP="00CB00C3">
      <w:pPr>
        <w:pStyle w:val="ListBullet"/>
      </w:pPr>
      <w:r w:rsidRPr="00CB00C3">
        <w:t>Technology skills to set up and maintain supplier database</w:t>
      </w:r>
    </w:p>
    <w:p w:rsidR="00000000" w:rsidRPr="00CB00C3" w:rsidP="00B5099C">
      <w:pPr>
        <w:pStyle w:val="BodyText"/>
      </w:pPr>
      <w:r w:rsidRPr="00CB00C3">
        <w:t>Other foundation skills essential to performance are exp</w:t>
      </w:r>
      <w:r w:rsidRPr="00CB00C3">
        <w:t>licit in the performance criteria of this unit.</w:t>
      </w:r>
    </w:p>
    <w:p w:rsidR="00000000" w:rsidRPr="00CB00C3" w:rsidP="00CB00C3">
      <w:pPr>
        <w:pStyle w:val="Heading1"/>
      </w:pPr>
      <w:bookmarkStart w:id="7" w:name="O_1036990"/>
      <w:bookmarkEnd w:id="7"/>
      <w:r w:rsidRPr="00CB00C3">
        <w:t>Unit Mapping Information</w:t>
      </w:r>
    </w:p>
    <w:p w:rsidR="00B5099C" w:rsidP="00B5099C">
      <w:pPr>
        <w:pStyle w:val="BodyText"/>
      </w:pPr>
      <w:r w:rsidRPr="00CB00C3">
        <w:t>Release 1. Supersedes and is equivalent to MSTGN5003 Work with international TCF supply chains.</w:t>
      </w:r>
    </w:p>
    <w:p w:rsidR="00000000" w:rsidRPr="00CB00C3" w:rsidP="00CB00C3">
      <w:pPr>
        <w:pStyle w:val="Heading1"/>
      </w:pPr>
      <w:bookmarkStart w:id="8" w:name="O_1036997"/>
      <w:bookmarkEnd w:id="8"/>
      <w:r w:rsidRPr="00CB00C3">
        <w:t>Links</w:t>
      </w:r>
    </w:p>
    <w:p w:rsidR="00000000" w:rsidRPr="00CB00C3" w:rsidP="00B5099C">
      <w:pPr>
        <w:pStyle w:val="BodyText"/>
      </w:pPr>
      <w:r w:rsidRPr="00CB00C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9434C">
        <w:rPr>
          <w:rStyle w:val="Hyperlink"/>
        </w:rPr>
        <w:t>https://vetnet.gov.au/Pages/TrainingDocs.aspx?q=a203ec5c-de7d-406b-b3e1-8f1a9b76e92e</w:t>
      </w:r>
      <w:r>
        <w:fldChar w:fldCharType="end"/>
      </w:r>
    </w:p>
    <w:p w:rsidR="00000000" w:rsidRPr="00CB00C3" w:rsidP="00B5099C">
      <w:pPr>
        <w:pStyle w:val="BodyText"/>
        <w:sectPr w:rsidSect="00CB00C3">
          <w:headerReference w:type="default" r:id="rId10"/>
          <w:footerReference w:type="default" r:id="rId11"/>
          <w:pgSz w:w="11908" w:h="16833"/>
          <w:pgMar w:top="1702" w:right="1418" w:bottom="1702" w:left="1418" w:header="992" w:footer="992" w:gutter="0"/>
          <w:cols w:space="720"/>
          <w:noEndnote/>
          <w:docGrid w:linePitch="299"/>
        </w:sectPr>
      </w:pPr>
    </w:p>
    <w:p w:rsidR="00000000" w:rsidRPr="00CB00C3" w:rsidP="00CB00C3">
      <w:pPr>
        <w:pStyle w:val="SuperHeading"/>
      </w:pPr>
      <w:r w:rsidRPr="00CB00C3">
        <w:t>Assessment Requirements for MSTGN5011 Work with international T</w:t>
      </w:r>
      <w:r w:rsidRPr="00CB00C3">
        <w:t>CF supply chains</w:t>
      </w:r>
    </w:p>
    <w:p w:rsidR="00000000" w:rsidRPr="00CB00C3" w:rsidP="00CB00C3">
      <w:pPr>
        <w:pStyle w:val="Heading1"/>
      </w:pPr>
      <w:bookmarkStart w:id="9" w:name="O_1036992"/>
      <w:bookmarkEnd w:id="9"/>
      <w:r w:rsidRPr="00CB00C3">
        <w:t>Modification History</w:t>
      </w:r>
    </w:p>
    <w:p w:rsidR="00000000" w:rsidRPr="00CB00C3" w:rsidP="00B5099C">
      <w:pPr>
        <w:pStyle w:val="BodyText"/>
      </w:pPr>
      <w:r w:rsidRPr="00CB00C3">
        <w:t>Release 1. Supersedes and is equivalent to MSTGN5003 Work with international TCF supply chains.</w:t>
      </w:r>
    </w:p>
    <w:p w:rsidR="00000000" w:rsidRPr="00CB00C3" w:rsidP="00B5099C">
      <w:pPr>
        <w:pStyle w:val="BodyText"/>
      </w:pPr>
      <w:r w:rsidRPr="00CB00C3">
        <w:t>Unit code changed. Range of conditions removed. Element removed. Foundation skills information added. As</w:t>
      </w:r>
      <w:r w:rsidRPr="00CB00C3">
        <w:t>sessment requirements amended. Equivalent outcome.</w:t>
      </w:r>
    </w:p>
    <w:p w:rsidR="00000000" w:rsidRPr="00CB00C3" w:rsidP="00CB00C3">
      <w:pPr>
        <w:pStyle w:val="Heading1"/>
      </w:pPr>
      <w:bookmarkStart w:id="10" w:name="O_1036993"/>
      <w:bookmarkEnd w:id="10"/>
      <w:r w:rsidRPr="00CB00C3">
        <w:t>Performance Evidence</w:t>
      </w:r>
    </w:p>
    <w:p w:rsidR="00000000" w:rsidRPr="00CB00C3" w:rsidP="00B5099C">
      <w:pPr>
        <w:pStyle w:val="BodyText"/>
      </w:pPr>
      <w:r w:rsidRPr="00CB00C3">
        <w:t>There must be evidence the candidate has completed the tasks outlined in the elements, performance criteria of this unit, and:</w:t>
      </w:r>
    </w:p>
    <w:p w:rsidR="00000000" w:rsidRPr="00CB00C3" w:rsidP="00CB00C3">
      <w:pPr>
        <w:pStyle w:val="ListBullet"/>
      </w:pPr>
      <w:r w:rsidRPr="00CB00C3">
        <w:t xml:space="preserve">work with at least one international </w:t>
      </w:r>
      <w:r w:rsidRPr="00CB00C3">
        <w:t>textiles, clothing and footwear (TCF) supply chain according to relevant standards, and Australian and international export and import regulations</w:t>
      </w:r>
    </w:p>
    <w:p w:rsidR="00000000" w:rsidRPr="00CB00C3" w:rsidP="00CB00C3">
      <w:pPr>
        <w:pStyle w:val="ListBullet"/>
      </w:pPr>
      <w:r w:rsidRPr="00CB00C3">
        <w:t>investigated possible partners in the international supply chain able to provide at least three products or o</w:t>
      </w:r>
      <w:r w:rsidRPr="00CB00C3">
        <w:t>ne small range of products within own area of responsibility</w:t>
      </w:r>
    </w:p>
    <w:p w:rsidR="00000000" w:rsidRPr="00CB00C3" w:rsidP="00CB00C3">
      <w:pPr>
        <w:pStyle w:val="ListBullet"/>
      </w:pPr>
      <w:r w:rsidRPr="00CB00C3">
        <w:t>investigated, interpreted, recorded and used data about international supply chain characteristics and operations, supplier characteristics and practices, import and export regulations, local cus</w:t>
      </w:r>
      <w:r w:rsidRPr="00CB00C3">
        <w:t>toms and workplace practices of at least two relevant countries.</w:t>
      </w:r>
    </w:p>
    <w:p w:rsidR="00000000" w:rsidRPr="00CB00C3" w:rsidP="00CB00C3">
      <w:pPr>
        <w:pStyle w:val="AllowPageBreak"/>
      </w:pPr>
    </w:p>
    <w:p w:rsidR="00000000" w:rsidRPr="00CB00C3" w:rsidP="00CB00C3">
      <w:pPr>
        <w:pStyle w:val="Heading1"/>
      </w:pPr>
      <w:bookmarkStart w:id="11" w:name="O_1036994"/>
      <w:bookmarkEnd w:id="11"/>
      <w:r w:rsidRPr="00CB00C3">
        <w:t>Knowledge Evidence</w:t>
      </w:r>
    </w:p>
    <w:p w:rsidR="00000000" w:rsidRPr="00CB00C3" w:rsidP="00B5099C">
      <w:pPr>
        <w:pStyle w:val="BodyText"/>
      </w:pPr>
      <w:r w:rsidRPr="00CB00C3">
        <w:t>There must be evidence the candidate has knowledge of:</w:t>
      </w:r>
    </w:p>
    <w:p w:rsidR="00000000" w:rsidRPr="00CB00C3" w:rsidP="00CB00C3">
      <w:pPr>
        <w:pStyle w:val="ListBullet"/>
      </w:pPr>
      <w:r w:rsidRPr="00CB00C3">
        <w:t>legal, ethical and work health and safety requirements specific to the work task</w:t>
      </w:r>
    </w:p>
    <w:p w:rsidR="00000000" w:rsidRPr="00CB00C3" w:rsidP="00CB00C3">
      <w:pPr>
        <w:pStyle w:val="ListBullet"/>
      </w:pPr>
      <w:r w:rsidRPr="00CB00C3">
        <w:t>regu</w:t>
      </w:r>
      <w:r w:rsidRPr="00CB00C3">
        <w:t>latory and industry standards for TCF goods and services</w:t>
      </w:r>
    </w:p>
    <w:p w:rsidR="00000000" w:rsidRPr="00CB00C3" w:rsidP="00CB00C3">
      <w:pPr>
        <w:pStyle w:val="ListBullet"/>
      </w:pPr>
      <w:r w:rsidRPr="00CB00C3">
        <w:t>production control and efficiency processes used in work role</w:t>
      </w:r>
    </w:p>
    <w:p w:rsidR="00000000" w:rsidRPr="00CB00C3" w:rsidP="00CB00C3">
      <w:pPr>
        <w:pStyle w:val="ListBullet"/>
      </w:pPr>
      <w:r w:rsidRPr="00CB00C3">
        <w:t>product and process specifications used in work role</w:t>
      </w:r>
    </w:p>
    <w:p w:rsidR="00000000" w:rsidRPr="00CB00C3" w:rsidP="00CB00C3">
      <w:pPr>
        <w:pStyle w:val="ListBullet"/>
      </w:pPr>
      <w:r w:rsidRPr="00CB00C3">
        <w:t>potential issues with selected fabrics and raw materials</w:t>
      </w:r>
    </w:p>
    <w:p w:rsidR="00000000" w:rsidRPr="00CB00C3" w:rsidP="00CB00C3">
      <w:pPr>
        <w:pStyle w:val="ListBullet"/>
      </w:pPr>
      <w:r w:rsidRPr="00CB00C3">
        <w:t>product market and trends r</w:t>
      </w:r>
      <w:r w:rsidRPr="00CB00C3">
        <w:t>elevant to work role</w:t>
      </w:r>
    </w:p>
    <w:p w:rsidR="00000000" w:rsidRPr="00CB00C3" w:rsidP="00CB00C3">
      <w:pPr>
        <w:pStyle w:val="ListBullet"/>
      </w:pPr>
      <w:r w:rsidRPr="00CB00C3">
        <w:t>practices and procedures for international supply arrangements relevant to work role</w:t>
      </w:r>
    </w:p>
    <w:p w:rsidR="00000000" w:rsidRPr="00CB00C3" w:rsidP="00CB00C3">
      <w:pPr>
        <w:pStyle w:val="ListBullet"/>
      </w:pPr>
      <w:r w:rsidRPr="00CB00C3">
        <w:t>ethical sourcing requirements and sustainable work practices used in TCF industry</w:t>
      </w:r>
    </w:p>
    <w:p w:rsidR="00000000" w:rsidRPr="00CB00C3" w:rsidP="00CB00C3">
      <w:pPr>
        <w:pStyle w:val="ListBullet"/>
      </w:pPr>
      <w:r w:rsidRPr="00CB00C3">
        <w:t>quality assurance processes used in TCF industry</w:t>
      </w:r>
    </w:p>
    <w:p w:rsidR="00000000" w:rsidRPr="00CB00C3" w:rsidP="00CB00C3">
      <w:pPr>
        <w:pStyle w:val="ListBullet"/>
      </w:pPr>
      <w:r w:rsidRPr="00CB00C3">
        <w:t>production processe</w:t>
      </w:r>
      <w:r w:rsidRPr="00CB00C3">
        <w:t>s relevant to work role</w:t>
      </w:r>
    </w:p>
    <w:p w:rsidR="00000000" w:rsidRPr="00CB00C3" w:rsidP="00CB00C3">
      <w:pPr>
        <w:pStyle w:val="ListBullet"/>
      </w:pPr>
      <w:r w:rsidRPr="00CB00C3">
        <w:t>international regulations, pricing structures, import and export factors, production times, quality assurance factors, and production and marketing arrangements, relevant to work role</w:t>
      </w:r>
    </w:p>
    <w:p w:rsidR="00000000" w:rsidRPr="00CB00C3" w:rsidP="00CB00C3">
      <w:pPr>
        <w:pStyle w:val="ListBullet"/>
      </w:pPr>
      <w:r w:rsidRPr="00CB00C3">
        <w:t>communication and negotiation techniques to supp</w:t>
      </w:r>
      <w:r w:rsidRPr="00CB00C3">
        <w:t>ort effective international and domestic supply arrangements</w:t>
      </w:r>
    </w:p>
    <w:p w:rsidR="00000000" w:rsidRPr="00CB00C3" w:rsidP="00CB00C3">
      <w:pPr>
        <w:pStyle w:val="ListBullet"/>
      </w:pPr>
      <w:r w:rsidRPr="00CB00C3">
        <w:t>workplace recording and reporting requirements.</w:t>
      </w:r>
    </w:p>
    <w:p w:rsidR="00000000" w:rsidRPr="00CB00C3" w:rsidP="00CB00C3">
      <w:pPr>
        <w:pStyle w:val="AllowPageBreak"/>
      </w:pPr>
    </w:p>
    <w:p w:rsidR="00000000" w:rsidRPr="00CB00C3" w:rsidP="00CB00C3">
      <w:pPr>
        <w:pStyle w:val="Heading1"/>
      </w:pPr>
      <w:bookmarkStart w:id="12" w:name="O_1036995"/>
      <w:bookmarkEnd w:id="12"/>
      <w:r w:rsidRPr="00CB00C3">
        <w:t>Assessment Conditions</w:t>
      </w:r>
    </w:p>
    <w:p w:rsidR="00000000" w:rsidRPr="00CB00C3" w:rsidP="00B5099C">
      <w:pPr>
        <w:pStyle w:val="BodyText"/>
      </w:pPr>
      <w:r w:rsidRPr="00CB00C3">
        <w:t xml:space="preserve">Skills must have been demonstrated in the workplace or in a simulated environment that reflects workplace </w:t>
      </w:r>
      <w:r w:rsidRPr="00CB00C3">
        <w:t>conditions and contingencies. The following conditions must be met for this unit:</w:t>
      </w:r>
    </w:p>
    <w:p w:rsidR="00000000" w:rsidRPr="00CB00C3" w:rsidP="00CB00C3">
      <w:pPr>
        <w:pStyle w:val="ListBullet"/>
      </w:pPr>
      <w:r w:rsidRPr="00CB00C3">
        <w:t>use of suitable facilities, equipment and resources, including computing equipment and software packages</w:t>
      </w:r>
    </w:p>
    <w:p w:rsidR="00000000" w:rsidRPr="00CB00C3" w:rsidP="00CB00C3">
      <w:pPr>
        <w:pStyle w:val="ListBullet"/>
      </w:pPr>
      <w:r w:rsidRPr="00CB00C3">
        <w:t>modelling of industry operating conditions, including access to inte</w:t>
      </w:r>
      <w:r w:rsidRPr="00CB00C3">
        <w:t>rnational suppliers.</w:t>
      </w:r>
    </w:p>
    <w:p w:rsidR="00000000" w:rsidRPr="00CB00C3" w:rsidP="00B5099C">
      <w:pPr>
        <w:pStyle w:val="BodyText"/>
      </w:pPr>
      <w:r w:rsidRPr="00CB00C3">
        <w:t>Assessors must satisfy the NVR/AQTF mandatory competency requirements for assessors.</w:t>
      </w:r>
    </w:p>
    <w:p w:rsidR="00000000" w:rsidRPr="00CB00C3" w:rsidP="00CB00C3">
      <w:pPr>
        <w:pStyle w:val="Heading1"/>
      </w:pPr>
      <w:bookmarkStart w:id="13" w:name="O_1036998"/>
      <w:bookmarkEnd w:id="13"/>
      <w:r w:rsidRPr="00CB00C3">
        <w:t>Links</w:t>
      </w:r>
    </w:p>
    <w:p w:rsidR="00000000" w:rsidRPr="00CB00C3" w:rsidP="00B5099C">
      <w:pPr>
        <w:pStyle w:val="BodyText"/>
      </w:pPr>
      <w:r w:rsidRPr="00CB00C3">
        <w:t>Companion Volume implementation guides are found in VE</w:t>
      </w:r>
      <w:r w:rsidRPr="00CB00C3">
        <w:t xml:space="preserve">TNet - </w:t>
      </w:r>
      <w:r>
        <w:fldChar w:fldCharType="begin"/>
      </w:r>
      <w:r>
        <w:instrText xml:space="preserve"> HYPERLINK "https://vetnet.gov.au/Pages/TrainingDocs.aspx?q=a203ec5c-de7d-406b-b3e1-8f1a9b76e92e" </w:instrText>
      </w:r>
      <w:r>
        <w:fldChar w:fldCharType="separate"/>
      </w:r>
      <w:r w:rsidRPr="00E9434C">
        <w:rPr>
          <w:rStyle w:val="Hyperlink"/>
        </w:rPr>
        <w:t>https://vetnet.gov.au/Pages/TrainingDocs.aspx?q=a203ec5c-de7d-406b-b3e1-8f1a9b76e92e</w:t>
      </w:r>
      <w:r>
        <w:fldChar w:fldCharType="end"/>
      </w:r>
    </w:p>
    <w:p w:rsidR="00000000" w:rsidRPr="00CB00C3" w:rsidP="00CB00C3"/>
    <w:sectPr w:rsidSect="00CB00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rsidRPr="00B5099C" w:rsidP="00B50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9C" w:rsidP="00CB0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99C" w:rsidP="00CB00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099C" w:rsidP="00CB00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rsidP="00CB00C3">
    <w:pPr>
      <w:pStyle w:val="Footer"/>
      <w:framePr w:wrap="around"/>
    </w:pPr>
    <w:r>
      <w:fldChar w:fldCharType="begin"/>
    </w:r>
    <w:r>
      <w:instrText xml:space="preserve"> DOCPROPERTY  Subject  \* MERGEFORMAT </w:instrText>
    </w:r>
    <w:r>
      <w:fldChar w:fldCharType="separate"/>
    </w:r>
    <w:r w:rsidR="00B5099C">
      <w:t>Approved</w:t>
    </w:r>
    <w:r w:rsidR="00B5099C">
      <w:fldChar w:fldCharType="end"/>
    </w:r>
    <w:r>
      <w:tab/>
      <w:t xml:space="preserve">Page </w:t>
    </w:r>
    <w:r>
      <w:fldChar w:fldCharType="begin"/>
    </w:r>
    <w:r>
      <w:instrText xml:space="preserve"> PAGE  \* Arabic  \* MERGEFORMAT </w:instrText>
    </w:r>
    <w:r>
      <w:fldChar w:fldCharType="separate"/>
    </w:r>
    <w:r w:rsidR="00B509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99C">
      <w:rPr>
        <w:noProof/>
      </w:rPr>
      <w:t>4</w:t>
    </w:r>
    <w:r>
      <w:rPr>
        <w:noProof/>
      </w:rPr>
      <w:fldChar w:fldCharType="end"/>
    </w:r>
  </w:p>
  <w:p w:rsidR="00CB00C3" w:rsidP="00CB00C3">
    <w:pPr>
      <w:pStyle w:val="Footer"/>
      <w:framePr w:wrap="around"/>
    </w:pPr>
    <w:r>
      <w:t xml:space="preserve">© Commonwealth of Australia, </w:t>
    </w:r>
    <w:r>
      <w:fldChar w:fldCharType="begin"/>
    </w:r>
    <w:r>
      <w:instrText xml:space="preserve"> DATE  \@ "yyyy"  \* MERGEFORMAT </w:instrText>
    </w:r>
    <w:r>
      <w:fldChar w:fldCharType="separate"/>
    </w:r>
    <w:r w:rsidR="00B5099C">
      <w:rPr>
        <w:noProof/>
      </w:rPr>
      <w:t>2025</w:t>
    </w:r>
    <w:r>
      <w:fldChar w:fldCharType="end"/>
    </w:r>
    <w:r>
      <w:tab/>
    </w:r>
    <w:r>
      <w:fldChar w:fldCharType="begin"/>
    </w:r>
    <w:r>
      <w:instrText xml:space="preserve"> DOCPROPERTY  Author  \* MERGEFORMAT </w:instrText>
    </w:r>
    <w:r>
      <w:fldChar w:fldCharType="separate"/>
    </w:r>
    <w:r w:rsidR="00B5099C">
      <w:t>Skills Insight</w:t>
    </w:r>
    <w:r w:rsidR="00B5099C">
      <w:fldChar w:fldCharType="end"/>
    </w:r>
  </w:p>
  <w:p w:rsidR="00CB00C3" w:rsidP="00CB0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0C3" w:rsidRPr="00B5099C" w:rsidP="00B50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9C" w:rsidRPr="002D2AF8" w:rsidP="00CB00C3">
    <w:pPr>
      <w:pStyle w:val="Header"/>
      <w:framePr w:wrap="around"/>
    </w:pPr>
    <w:r>
      <w:fldChar w:fldCharType="begin"/>
    </w:r>
    <w:r>
      <w:instrText xml:space="preserve"> TITLE   \* MERGEFORMAT </w:instrText>
    </w:r>
    <w:r>
      <w:fldChar w:fldCharType="separate"/>
    </w:r>
    <w:r>
      <w:t>MSTGN5011 Work with international TCF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099C" w:rsidP="00CB00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C3" w:rsidRPr="002D2AF8" w:rsidP="00CB00C3">
    <w:pPr>
      <w:pStyle w:val="Header"/>
      <w:framePr w:wrap="around"/>
    </w:pPr>
    <w:r>
      <w:fldChar w:fldCharType="begin"/>
    </w:r>
    <w:r>
      <w:instrText xml:space="preserve"> TITLE   \* MERGEFORMAT </w:instrText>
    </w:r>
    <w:r>
      <w:fldChar w:fldCharType="separate"/>
    </w:r>
    <w:r w:rsidR="00B5099C">
      <w:t>MSTGN5011 Work with international TCF supply chains</w:t>
    </w:r>
    <w:r w:rsidR="00B5099C">
      <w:fldChar w:fldCharType="end"/>
    </w:r>
    <w:r>
      <w:tab/>
      <w:t xml:space="preserve">Date this document was generated: </w:t>
    </w:r>
    <w:r>
      <w:fldChar w:fldCharType="begin"/>
    </w:r>
    <w:r>
      <w:instrText xml:space="preserve"> CREATEDATE  \@ "d MMMM yyyy"  \* MERGEFORMAT </w:instrText>
    </w:r>
    <w:r>
      <w:fldChar w:fldCharType="separate"/>
    </w:r>
    <w:r w:rsidR="00B5099C">
      <w:rPr>
        <w:noProof/>
      </w:rPr>
      <w:t>2 March 2025</w:t>
    </w:r>
    <w:r>
      <w:fldChar w:fldCharType="end"/>
    </w:r>
  </w:p>
  <w:p w:rsidR="00CB00C3" w:rsidP="00CB0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0D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0E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27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0C3"/>
    <w:pPr>
      <w:spacing w:before="360" w:after="60"/>
      <w:outlineLvl w:val="0"/>
    </w:pPr>
    <w:rPr>
      <w:sz w:val="32"/>
    </w:rPr>
  </w:style>
  <w:style w:type="paragraph" w:styleId="Heading2">
    <w:name w:val="heading 2"/>
    <w:basedOn w:val="HeadingBase"/>
    <w:next w:val="BodyText"/>
    <w:link w:val="Heading2Char"/>
    <w:qFormat/>
    <w:rsid w:val="00CB00C3"/>
    <w:pPr>
      <w:keepLines/>
      <w:spacing w:before="240" w:after="120"/>
      <w:outlineLvl w:val="1"/>
    </w:pPr>
    <w:rPr>
      <w:sz w:val="28"/>
      <w:szCs w:val="40"/>
    </w:rPr>
  </w:style>
  <w:style w:type="paragraph" w:styleId="Heading3">
    <w:name w:val="heading 3"/>
    <w:basedOn w:val="HeadingBase"/>
    <w:next w:val="BodyText"/>
    <w:link w:val="Heading3Char"/>
    <w:qFormat/>
    <w:rsid w:val="00CB00C3"/>
    <w:pPr>
      <w:spacing w:before="180" w:after="120"/>
      <w:outlineLvl w:val="2"/>
    </w:pPr>
    <w:rPr>
      <w:spacing w:val="-10"/>
      <w:kern w:val="32"/>
    </w:rPr>
  </w:style>
  <w:style w:type="paragraph" w:styleId="Heading4">
    <w:name w:val="heading 4"/>
    <w:basedOn w:val="HeadingBase"/>
    <w:next w:val="BodyText"/>
    <w:link w:val="Heading4Char"/>
    <w:qFormat/>
    <w:rsid w:val="00CB00C3"/>
    <w:pPr>
      <w:spacing w:before="160" w:after="120"/>
      <w:outlineLvl w:val="3"/>
    </w:pPr>
    <w:rPr>
      <w:sz w:val="22"/>
    </w:rPr>
  </w:style>
  <w:style w:type="paragraph" w:styleId="Heading5">
    <w:name w:val="heading 5"/>
    <w:basedOn w:val="HeadingBase"/>
    <w:next w:val="Normal"/>
    <w:link w:val="Heading5Char"/>
    <w:qFormat/>
    <w:rsid w:val="00CB00C3"/>
    <w:pPr>
      <w:spacing w:before="80"/>
      <w:outlineLvl w:val="4"/>
    </w:pPr>
    <w:rPr>
      <w:color w:val="918585"/>
      <w:sz w:val="20"/>
    </w:rPr>
  </w:style>
  <w:style w:type="paragraph" w:styleId="Heading6">
    <w:name w:val="heading 6"/>
    <w:basedOn w:val="HeadingBase"/>
    <w:next w:val="Normal"/>
    <w:link w:val="Heading6Char"/>
    <w:qFormat/>
    <w:rsid w:val="00CB00C3"/>
    <w:pPr>
      <w:spacing w:before="60"/>
      <w:outlineLvl w:val="5"/>
    </w:pPr>
    <w:rPr>
      <w:color w:val="918585"/>
      <w:sz w:val="20"/>
    </w:rPr>
  </w:style>
  <w:style w:type="paragraph" w:styleId="Heading7">
    <w:name w:val="heading 7"/>
    <w:basedOn w:val="Normal"/>
    <w:next w:val="Normal"/>
    <w:link w:val="Heading7Char"/>
    <w:qFormat/>
    <w:rsid w:val="00CB00C3"/>
    <w:pPr>
      <w:ind w:left="720"/>
      <w:outlineLvl w:val="6"/>
    </w:pPr>
    <w:rPr>
      <w:i/>
    </w:rPr>
  </w:style>
  <w:style w:type="paragraph" w:styleId="Heading8">
    <w:name w:val="heading 8"/>
    <w:basedOn w:val="Normal"/>
    <w:next w:val="Normal"/>
    <w:link w:val="Heading8Char"/>
    <w:qFormat/>
    <w:rsid w:val="00CB00C3"/>
    <w:pPr>
      <w:ind w:left="720"/>
      <w:outlineLvl w:val="7"/>
    </w:pPr>
    <w:rPr>
      <w:i/>
    </w:rPr>
  </w:style>
  <w:style w:type="paragraph" w:styleId="Heading9">
    <w:name w:val="heading 9"/>
    <w:basedOn w:val="Normal"/>
    <w:next w:val="Normal"/>
    <w:link w:val="Heading9Char"/>
    <w:qFormat/>
    <w:rsid w:val="00CB00C3"/>
    <w:pPr>
      <w:ind w:left="720"/>
      <w:outlineLvl w:val="8"/>
    </w:pPr>
    <w:rPr>
      <w:i/>
    </w:rPr>
  </w:style>
  <w:style w:type="character" w:default="1" w:styleId="DefaultParagraphFont">
    <w:name w:val="Default Paragraph Font"/>
    <w:uiPriority w:val="1"/>
    <w:unhideWhenUsed/>
    <w:rsid w:val="00CB0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0C3"/>
  </w:style>
  <w:style w:type="character" w:customStyle="1" w:styleId="Heading1Char">
    <w:name w:val="Heading 1 Char"/>
    <w:basedOn w:val="DefaultParagraphFont"/>
    <w:link w:val="Heading1"/>
    <w:rsid w:val="00CB00C3"/>
    <w:rPr>
      <w:rFonts w:ascii="Times New Roman" w:eastAsia="Times New Roman" w:hAnsi="Times New Roman" w:cs="Times New Roman"/>
      <w:b/>
      <w:sz w:val="32"/>
      <w:szCs w:val="20"/>
      <w:lang w:eastAsia="en-US"/>
    </w:rPr>
  </w:style>
  <w:style w:type="paragraph" w:styleId="BodyText">
    <w:name w:val="Body Text"/>
    <w:basedOn w:val="Normal"/>
    <w:link w:val="BodyTextChar"/>
    <w:rsid w:val="00CB0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0C3"/>
    <w:rPr>
      <w:rFonts w:ascii="Times New Roman" w:eastAsia="Times New Roman" w:hAnsi="Times New Roman" w:cs="Times New Roman"/>
      <w:sz w:val="24"/>
      <w:lang w:eastAsia="en-US"/>
    </w:rPr>
  </w:style>
  <w:style w:type="paragraph" w:styleId="ListBullet">
    <w:name w:val="List Bullet"/>
    <w:basedOn w:val="List"/>
    <w:rsid w:val="00CB00C3"/>
    <w:pPr>
      <w:numPr>
        <w:numId w:val="12"/>
      </w:numPr>
      <w:tabs>
        <w:tab w:val="clear" w:pos="340"/>
      </w:tabs>
      <w:spacing w:before="40" w:after="40"/>
    </w:pPr>
  </w:style>
  <w:style w:type="character" w:customStyle="1" w:styleId="SpecialBold">
    <w:name w:val="Special Bold"/>
    <w:basedOn w:val="DefaultParagraphFont"/>
    <w:rsid w:val="00CB00C3"/>
    <w:rPr>
      <w:b/>
      <w:spacing w:val="0"/>
    </w:rPr>
  </w:style>
  <w:style w:type="paragraph" w:styleId="ListBullet2">
    <w:name w:val="List Bullet 2"/>
    <w:basedOn w:val="List2"/>
    <w:rsid w:val="00CB00C3"/>
    <w:pPr>
      <w:numPr>
        <w:numId w:val="13"/>
      </w:numPr>
      <w:tabs>
        <w:tab w:val="clear" w:pos="680"/>
      </w:tabs>
    </w:pPr>
  </w:style>
  <w:style w:type="paragraph" w:customStyle="1" w:styleId="SuperHeading">
    <w:name w:val="SuperHeading"/>
    <w:basedOn w:val="Normal"/>
    <w:rsid w:val="00CB00C3"/>
    <w:pPr>
      <w:spacing w:before="240" w:after="120"/>
      <w:outlineLvl w:val="0"/>
    </w:pPr>
    <w:rPr>
      <w:rFonts w:ascii="Times New Roman" w:hAnsi="Times New Roman"/>
      <w:b/>
      <w:sz w:val="32"/>
    </w:rPr>
  </w:style>
  <w:style w:type="paragraph" w:customStyle="1" w:styleId="AllowPageBreak">
    <w:name w:val="AllowPageBreak"/>
    <w:rsid w:val="00CB0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0C3"/>
    <w:rPr>
      <w:rFonts w:ascii="Courier New" w:eastAsia="Times New Roman" w:hAnsi="Courier New" w:cs="Times New Roman"/>
      <w:i/>
      <w:szCs w:val="20"/>
      <w:lang w:eastAsia="en-US"/>
    </w:rPr>
  </w:style>
  <w:style w:type="paragraph" w:customStyle="1" w:styleId="HeadingBase">
    <w:name w:val="Heading Base"/>
    <w:rsid w:val="00CB0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0C3"/>
    <w:pPr>
      <w:tabs>
        <w:tab w:val="right" w:leader="dot" w:pos="9072"/>
      </w:tabs>
      <w:ind w:left="567"/>
    </w:pPr>
    <w:rPr>
      <w:szCs w:val="22"/>
    </w:rPr>
  </w:style>
  <w:style w:type="paragraph" w:customStyle="1" w:styleId="TOCBase">
    <w:name w:val="TOC Base"/>
    <w:rsid w:val="00CB0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0C3"/>
    <w:pPr>
      <w:tabs>
        <w:tab w:val="right" w:leader="dot" w:pos="9072"/>
      </w:tabs>
      <w:spacing w:before="40" w:after="40"/>
      <w:ind w:left="284"/>
    </w:pPr>
    <w:rPr>
      <w:rFonts w:ascii="Times New Roman" w:hAnsi="Times New Roman"/>
    </w:rPr>
  </w:style>
  <w:style w:type="paragraph" w:styleId="TOC1">
    <w:name w:val="toc 1"/>
    <w:basedOn w:val="TOCBase"/>
    <w:next w:val="Normal"/>
    <w:rsid w:val="00CB0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0C3"/>
    <w:rPr>
      <w:rFonts w:ascii="Times New Roman" w:eastAsia="Times New Roman" w:hAnsi="Times New Roman" w:cs="Times New Roman"/>
      <w:sz w:val="16"/>
      <w:lang w:eastAsia="en-US"/>
    </w:rPr>
  </w:style>
  <w:style w:type="paragraph" w:styleId="Title">
    <w:name w:val="Title"/>
    <w:basedOn w:val="HeadingBase"/>
    <w:link w:val="TitleChar"/>
    <w:qFormat/>
    <w:rsid w:val="00CB00C3"/>
    <w:pPr>
      <w:spacing w:before="5040"/>
      <w:jc w:val="center"/>
    </w:pPr>
    <w:rPr>
      <w:sz w:val="48"/>
      <w:szCs w:val="72"/>
      <w:lang w:val="en-US"/>
    </w:rPr>
  </w:style>
  <w:style w:type="character" w:customStyle="1" w:styleId="TitleChar">
    <w:name w:val="Title Char"/>
    <w:basedOn w:val="DefaultParagraphFont"/>
    <w:link w:val="Title"/>
    <w:rsid w:val="00CB0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0C3"/>
    <w:pPr>
      <w:tabs>
        <w:tab w:val="left" w:pos="3600"/>
        <w:tab w:val="left" w:pos="3958"/>
      </w:tabs>
    </w:pPr>
  </w:style>
  <w:style w:type="paragraph" w:styleId="List">
    <w:name w:val="List"/>
    <w:basedOn w:val="BodyText"/>
    <w:next w:val="BodyText"/>
    <w:rsid w:val="00CB00C3"/>
    <w:pPr>
      <w:tabs>
        <w:tab w:val="left" w:pos="340"/>
      </w:tabs>
      <w:spacing w:before="60" w:after="60"/>
      <w:ind w:left="340" w:hanging="340"/>
    </w:pPr>
  </w:style>
  <w:style w:type="paragraph" w:customStyle="1" w:styleId="Note">
    <w:name w:val="Note"/>
    <w:basedOn w:val="BodyText"/>
    <w:rsid w:val="00CB0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0C3"/>
    <w:pPr>
      <w:framePr w:wrap="auto" w:hAnchor="text" w:y="6049"/>
    </w:pPr>
    <w:rPr>
      <w:color w:val="000000"/>
      <w:sz w:val="40"/>
    </w:rPr>
  </w:style>
  <w:style w:type="paragraph" w:customStyle="1" w:styleId="TOCTitle">
    <w:name w:val="TOCTitle"/>
    <w:basedOn w:val="Heading1"/>
    <w:rsid w:val="00CB00C3"/>
    <w:pPr>
      <w:spacing w:after="240"/>
      <w:jc w:val="center"/>
      <w:outlineLvl w:val="9"/>
    </w:pPr>
    <w:rPr>
      <w:caps/>
    </w:rPr>
  </w:style>
  <w:style w:type="paragraph" w:customStyle="1" w:styleId="Version">
    <w:name w:val="Version"/>
    <w:rsid w:val="00CB0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0C3"/>
    <w:pPr>
      <w:keepNext w:val="0"/>
      <w:tabs>
        <w:tab w:val="right" w:pos="4176"/>
      </w:tabs>
      <w:ind w:left="198" w:hanging="198"/>
    </w:pPr>
    <w:rPr>
      <w:rFonts w:ascii="Garamond" w:hAnsi="Garamond"/>
    </w:rPr>
  </w:style>
  <w:style w:type="paragraph" w:styleId="IndexHeading">
    <w:name w:val="index heading"/>
    <w:basedOn w:val="Normal"/>
    <w:next w:val="Index1"/>
    <w:semiHidden/>
    <w:rsid w:val="00CB00C3"/>
    <w:pPr>
      <w:spacing w:before="120" w:after="120"/>
    </w:pPr>
    <w:rPr>
      <w:rFonts w:ascii="Arial" w:hAnsi="Arial"/>
      <w:b/>
      <w:color w:val="918585"/>
      <w:sz w:val="24"/>
    </w:rPr>
  </w:style>
  <w:style w:type="paragraph" w:styleId="Header">
    <w:name w:val="header"/>
    <w:basedOn w:val="Normal"/>
    <w:link w:val="HeaderChar"/>
    <w:rsid w:val="00CB0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0C3"/>
    <w:rPr>
      <w:rFonts w:ascii="Times New Roman" w:eastAsia="Times New Roman" w:hAnsi="Times New Roman" w:cs="Times New Roman"/>
      <w:sz w:val="16"/>
      <w:szCs w:val="20"/>
      <w:lang w:val="en-GB" w:eastAsia="en-US"/>
    </w:rPr>
  </w:style>
  <w:style w:type="paragraph" w:customStyle="1" w:styleId="Chapter">
    <w:name w:val="Chapter"/>
    <w:basedOn w:val="Normal"/>
    <w:rsid w:val="00CB00C3"/>
    <w:pPr>
      <w:spacing w:before="240"/>
    </w:pPr>
    <w:rPr>
      <w:rFonts w:ascii="Times New Roman" w:hAnsi="Times New Roman"/>
      <w:smallCaps/>
      <w:spacing w:val="80"/>
      <w:sz w:val="28"/>
    </w:rPr>
  </w:style>
  <w:style w:type="paragraph" w:customStyle="1" w:styleId="InChapter">
    <w:name w:val="InChapter"/>
    <w:basedOn w:val="Heading3"/>
    <w:rsid w:val="00CB00C3"/>
    <w:pPr>
      <w:spacing w:after="240"/>
      <w:outlineLvl w:val="9"/>
    </w:pPr>
    <w:rPr>
      <w:noProof/>
    </w:rPr>
  </w:style>
  <w:style w:type="paragraph" w:styleId="Index2">
    <w:name w:val="index 2"/>
    <w:basedOn w:val="Normal"/>
    <w:next w:val="Normal"/>
    <w:semiHidden/>
    <w:rsid w:val="00CB00C3"/>
    <w:pPr>
      <w:tabs>
        <w:tab w:val="right" w:pos="4176"/>
      </w:tabs>
      <w:ind w:left="568" w:hanging="284"/>
    </w:pPr>
    <w:rPr>
      <w:rFonts w:ascii="Garamond" w:hAnsi="Garamond"/>
    </w:rPr>
  </w:style>
  <w:style w:type="paragraph" w:customStyle="1" w:styleId="Byline">
    <w:name w:val="Byline"/>
    <w:rsid w:val="00CB0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0C3"/>
    <w:pPr>
      <w:tabs>
        <w:tab w:val="clear" w:pos="3600"/>
        <w:tab w:val="clear" w:pos="3958"/>
      </w:tabs>
      <w:jc w:val="right"/>
    </w:pPr>
  </w:style>
  <w:style w:type="character" w:styleId="Emphasis">
    <w:name w:val="Emphasis"/>
    <w:basedOn w:val="DefaultParagraphFont"/>
    <w:qFormat/>
    <w:rsid w:val="00CB00C3"/>
    <w:rPr>
      <w:i/>
    </w:rPr>
  </w:style>
  <w:style w:type="paragraph" w:styleId="Caption">
    <w:name w:val="caption"/>
    <w:basedOn w:val="BodyText"/>
    <w:next w:val="Normal"/>
    <w:qFormat/>
    <w:rsid w:val="00CB00C3"/>
    <w:pPr>
      <w:framePr w:w="2268" w:hSpace="181" w:vSpace="181" w:wrap="around" w:vAnchor="text" w:hAnchor="page" w:x="1135" w:y="285" w:anchorLock="1"/>
    </w:pPr>
    <w:rPr>
      <w:i/>
    </w:rPr>
  </w:style>
  <w:style w:type="paragraph" w:customStyle="1" w:styleId="MiniTOCTitle">
    <w:name w:val="MiniTOCTitle"/>
    <w:basedOn w:val="Heading4"/>
    <w:rsid w:val="00CB00C3"/>
    <w:pPr>
      <w:spacing w:before="240"/>
      <w:outlineLvl w:val="9"/>
    </w:pPr>
    <w:rPr>
      <w:noProof/>
      <w:sz w:val="24"/>
    </w:rPr>
  </w:style>
  <w:style w:type="paragraph" w:customStyle="1" w:styleId="MiniTOCItem">
    <w:name w:val="MiniTOCItem"/>
    <w:basedOn w:val="ListBullet"/>
    <w:rsid w:val="00CB00C3"/>
    <w:pPr>
      <w:numPr>
        <w:numId w:val="0"/>
      </w:numPr>
      <w:tabs>
        <w:tab w:val="right" w:leader="dot" w:pos="6521"/>
      </w:tabs>
      <w:spacing w:before="0" w:after="0"/>
    </w:pPr>
  </w:style>
  <w:style w:type="paragraph" w:customStyle="1" w:styleId="TOFTitle">
    <w:name w:val="TOFTitle"/>
    <w:basedOn w:val="TOCTitle"/>
    <w:rsid w:val="00CB00C3"/>
  </w:style>
  <w:style w:type="paragraph" w:styleId="TableofFigures">
    <w:name w:val="table of figures"/>
    <w:basedOn w:val="Normal"/>
    <w:next w:val="Normal"/>
    <w:semiHidden/>
    <w:rsid w:val="00CB00C3"/>
    <w:pPr>
      <w:tabs>
        <w:tab w:val="right" w:leader="dot" w:pos="9072"/>
      </w:tabs>
      <w:ind w:left="970" w:hanging="403"/>
    </w:pPr>
    <w:rPr>
      <w:rFonts w:ascii="Times New Roman" w:hAnsi="Times New Roman"/>
      <w:b/>
    </w:rPr>
  </w:style>
  <w:style w:type="paragraph" w:styleId="ListNumber">
    <w:name w:val="List Number"/>
    <w:basedOn w:val="List"/>
    <w:rsid w:val="00CB00C3"/>
    <w:pPr>
      <w:numPr>
        <w:numId w:val="15"/>
      </w:numPr>
      <w:tabs>
        <w:tab w:val="clear" w:pos="340"/>
      </w:tabs>
    </w:pPr>
  </w:style>
  <w:style w:type="character" w:customStyle="1" w:styleId="WingdingSymbols">
    <w:name w:val="Wingding Symbols"/>
    <w:rsid w:val="00CB00C3"/>
    <w:rPr>
      <w:rFonts w:ascii="Wingdings" w:hAnsi="Wingdings"/>
    </w:rPr>
  </w:style>
  <w:style w:type="paragraph" w:customStyle="1" w:styleId="TableHeading">
    <w:name w:val="Table Heading"/>
    <w:basedOn w:val="HeadingBase"/>
    <w:rsid w:val="00CB00C3"/>
    <w:pPr>
      <w:keepLines/>
      <w:pBdr>
        <w:bottom w:val="single" w:sz="6" w:space="1" w:color="918585"/>
      </w:pBdr>
      <w:spacing w:before="240"/>
    </w:pPr>
  </w:style>
  <w:style w:type="character" w:customStyle="1" w:styleId="HotSpot">
    <w:name w:val="HotSpot"/>
    <w:rsid w:val="00CB00C3"/>
    <w:rPr>
      <w:color w:val="0033CC"/>
      <w:u w:val="none"/>
    </w:rPr>
  </w:style>
  <w:style w:type="paragraph" w:customStyle="1" w:styleId="BodyTextRight">
    <w:name w:val="Body Text Right"/>
    <w:basedOn w:val="BodyText"/>
    <w:rsid w:val="00CB00C3"/>
    <w:pPr>
      <w:spacing w:before="0" w:after="0"/>
      <w:jc w:val="right"/>
    </w:pPr>
  </w:style>
  <w:style w:type="paragraph" w:styleId="Index3">
    <w:name w:val="index 3"/>
    <w:basedOn w:val="ListNumber2"/>
    <w:next w:val="Normal"/>
    <w:semiHidden/>
    <w:rsid w:val="00CB00C3"/>
    <w:pPr>
      <w:numPr>
        <w:numId w:val="0"/>
      </w:numPr>
      <w:tabs>
        <w:tab w:val="right" w:leader="dot" w:pos="4176"/>
      </w:tabs>
    </w:pPr>
  </w:style>
  <w:style w:type="paragraph" w:styleId="ListNumber2">
    <w:name w:val="List Number 2"/>
    <w:basedOn w:val="List2"/>
    <w:rsid w:val="00CB00C3"/>
    <w:pPr>
      <w:numPr>
        <w:numId w:val="10"/>
      </w:numPr>
      <w:tabs>
        <w:tab w:val="clear" w:pos="1060"/>
      </w:tabs>
    </w:pPr>
  </w:style>
  <w:style w:type="paragraph" w:customStyle="1" w:styleId="MarginNote">
    <w:name w:val="Margin Note"/>
    <w:basedOn w:val="BodyText"/>
    <w:rsid w:val="00CB0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0C3"/>
    <w:rPr>
      <w:sz w:val="32"/>
    </w:rPr>
  </w:style>
  <w:style w:type="paragraph" w:customStyle="1" w:styleId="HeadingProcedure">
    <w:name w:val="Heading Procedure"/>
    <w:basedOn w:val="HeadingBase"/>
    <w:next w:val="Normal"/>
    <w:rsid w:val="00CB00C3"/>
    <w:pPr>
      <w:tabs>
        <w:tab w:val="left" w:pos="0"/>
      </w:tabs>
      <w:spacing w:before="120" w:after="60"/>
    </w:pPr>
    <w:rPr>
      <w:i/>
      <w:color w:val="918585"/>
      <w:sz w:val="22"/>
    </w:rPr>
  </w:style>
  <w:style w:type="paragraph" w:customStyle="1" w:styleId="TableBodyText">
    <w:name w:val="Table Body Text"/>
    <w:basedOn w:val="BodyText"/>
    <w:rsid w:val="00CB00C3"/>
    <w:pPr>
      <w:spacing w:before="60" w:after="60"/>
    </w:pPr>
  </w:style>
  <w:style w:type="paragraph" w:styleId="ListContinue">
    <w:name w:val="List Continue"/>
    <w:basedOn w:val="List"/>
    <w:rsid w:val="00CB00C3"/>
    <w:pPr>
      <w:ind w:firstLine="0"/>
    </w:pPr>
  </w:style>
  <w:style w:type="paragraph" w:customStyle="1" w:styleId="ListNote">
    <w:name w:val="List Note"/>
    <w:basedOn w:val="List"/>
    <w:rsid w:val="00CB00C3"/>
    <w:pPr>
      <w:pBdr>
        <w:top w:val="single" w:sz="6" w:space="2" w:color="918585"/>
        <w:bottom w:val="single" w:sz="6" w:space="2" w:color="918585"/>
      </w:pBdr>
      <w:tabs>
        <w:tab w:val="left" w:pos="1021"/>
      </w:tabs>
      <w:ind w:firstLine="0"/>
    </w:pPr>
  </w:style>
  <w:style w:type="paragraph" w:customStyle="1" w:styleId="Warning">
    <w:name w:val="Warning"/>
    <w:basedOn w:val="BodyText"/>
    <w:rsid w:val="00CB00C3"/>
    <w:pPr>
      <w:shd w:val="clear" w:color="auto" w:fill="D9D9D9"/>
      <w:tabs>
        <w:tab w:val="left" w:pos="992"/>
      </w:tabs>
      <w:ind w:left="119" w:right="119"/>
    </w:pPr>
    <w:rPr>
      <w:sz w:val="20"/>
    </w:rPr>
  </w:style>
  <w:style w:type="paragraph" w:customStyle="1" w:styleId="MarginIcons">
    <w:name w:val="Margin Icons"/>
    <w:basedOn w:val="BodyText"/>
    <w:rsid w:val="00CB0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0C3"/>
    <w:rPr>
      <w:rFonts w:ascii="Courier New" w:hAnsi="Courier New"/>
    </w:rPr>
  </w:style>
  <w:style w:type="paragraph" w:customStyle="1" w:styleId="NoteBullet">
    <w:name w:val="Note Bullet"/>
    <w:basedOn w:val="Note"/>
    <w:rsid w:val="00CB00C3"/>
    <w:pPr>
      <w:tabs>
        <w:tab w:val="clear" w:pos="680"/>
      </w:tabs>
      <w:spacing w:before="60" w:after="60"/>
    </w:pPr>
  </w:style>
  <w:style w:type="paragraph" w:customStyle="1" w:styleId="SubHeading2">
    <w:name w:val="SubHeading2"/>
    <w:basedOn w:val="HeadingBase"/>
    <w:rsid w:val="00CB00C3"/>
    <w:pPr>
      <w:spacing w:before="240" w:after="60"/>
    </w:pPr>
    <w:rPr>
      <w:sz w:val="20"/>
    </w:rPr>
  </w:style>
  <w:style w:type="paragraph" w:customStyle="1" w:styleId="SubHeading1">
    <w:name w:val="SubHeading1"/>
    <w:basedOn w:val="HeadingBase"/>
    <w:rsid w:val="00CB00C3"/>
    <w:pPr>
      <w:spacing w:before="240" w:after="60"/>
    </w:pPr>
    <w:rPr>
      <w:color w:val="918585"/>
      <w:sz w:val="22"/>
    </w:rPr>
  </w:style>
  <w:style w:type="paragraph" w:customStyle="1" w:styleId="SideHeading">
    <w:name w:val="Side Heading"/>
    <w:basedOn w:val="HeadingBase"/>
    <w:rsid w:val="00CB0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0C3"/>
    <w:pPr>
      <w:tabs>
        <w:tab w:val="num" w:pos="360"/>
      </w:tabs>
    </w:pPr>
  </w:style>
  <w:style w:type="paragraph" w:styleId="PlainText">
    <w:name w:val="Plain Text"/>
    <w:basedOn w:val="Normal"/>
    <w:link w:val="PlainTextChar"/>
    <w:rsid w:val="00CB00C3"/>
    <w:rPr>
      <w:sz w:val="20"/>
    </w:rPr>
  </w:style>
  <w:style w:type="character" w:customStyle="1" w:styleId="PlainTextChar">
    <w:name w:val="Plain Text Char"/>
    <w:basedOn w:val="DefaultParagraphFont"/>
    <w:link w:val="PlainText"/>
    <w:rsid w:val="00CB00C3"/>
    <w:rPr>
      <w:rFonts w:ascii="Courier New" w:eastAsia="Times New Roman" w:hAnsi="Courier New" w:cs="Times New Roman"/>
      <w:sz w:val="20"/>
      <w:szCs w:val="20"/>
      <w:lang w:eastAsia="en-US"/>
    </w:rPr>
  </w:style>
  <w:style w:type="character" w:customStyle="1" w:styleId="MenuOption">
    <w:name w:val="Menu Option"/>
    <w:basedOn w:val="DefaultParagraphFont"/>
    <w:rsid w:val="00CB00C3"/>
    <w:rPr>
      <w:b/>
      <w:smallCaps/>
    </w:rPr>
  </w:style>
  <w:style w:type="paragraph" w:customStyle="1" w:styleId="TableListNumber">
    <w:name w:val="Table List Number"/>
    <w:basedOn w:val="ListNumber"/>
    <w:rsid w:val="00CB00C3"/>
    <w:pPr>
      <w:numPr>
        <w:numId w:val="0"/>
      </w:numPr>
    </w:pPr>
  </w:style>
  <w:style w:type="paragraph" w:styleId="TOC4">
    <w:name w:val="toc 4"/>
    <w:basedOn w:val="TOCBase"/>
    <w:next w:val="Normal"/>
    <w:semiHidden/>
    <w:rsid w:val="00CB00C3"/>
    <w:pPr>
      <w:tabs>
        <w:tab w:val="right" w:leader="dot" w:pos="9071"/>
      </w:tabs>
      <w:ind w:left="1701"/>
    </w:pPr>
  </w:style>
  <w:style w:type="paragraph" w:customStyle="1" w:styleId="ListAlpha">
    <w:name w:val="List Alpha"/>
    <w:basedOn w:val="List"/>
    <w:rsid w:val="00CB00C3"/>
    <w:pPr>
      <w:numPr>
        <w:numId w:val="9"/>
      </w:numPr>
    </w:pPr>
  </w:style>
  <w:style w:type="paragraph" w:customStyle="1" w:styleId="ListAlpha2">
    <w:name w:val="List Alpha 2"/>
    <w:basedOn w:val="List2"/>
    <w:rsid w:val="00CB00C3"/>
    <w:pPr>
      <w:numPr>
        <w:numId w:val="8"/>
      </w:numPr>
    </w:pPr>
  </w:style>
  <w:style w:type="paragraph" w:styleId="List2">
    <w:name w:val="List 2"/>
    <w:basedOn w:val="BodyText"/>
    <w:rsid w:val="00CB00C3"/>
    <w:pPr>
      <w:tabs>
        <w:tab w:val="left" w:pos="680"/>
      </w:tabs>
      <w:spacing w:before="60" w:after="60"/>
      <w:ind w:left="680" w:hanging="340"/>
    </w:pPr>
  </w:style>
  <w:style w:type="paragraph" w:styleId="List3">
    <w:name w:val="List 3"/>
    <w:basedOn w:val="BodyText"/>
    <w:rsid w:val="00CB00C3"/>
    <w:pPr>
      <w:tabs>
        <w:tab w:val="left" w:pos="1021"/>
      </w:tabs>
      <w:spacing w:before="60" w:after="60"/>
      <w:ind w:left="1020" w:hanging="340"/>
    </w:pPr>
  </w:style>
  <w:style w:type="paragraph" w:styleId="List4">
    <w:name w:val="List 4"/>
    <w:basedOn w:val="BodyText"/>
    <w:rsid w:val="00CB00C3"/>
    <w:pPr>
      <w:tabs>
        <w:tab w:val="left" w:pos="1361"/>
      </w:tabs>
      <w:spacing w:before="60" w:after="60"/>
      <w:ind w:left="1361" w:hanging="340"/>
    </w:pPr>
  </w:style>
  <w:style w:type="paragraph" w:styleId="List5">
    <w:name w:val="List 5"/>
    <w:basedOn w:val="BodyText"/>
    <w:rsid w:val="00CB00C3"/>
    <w:pPr>
      <w:tabs>
        <w:tab w:val="left" w:pos="1701"/>
      </w:tabs>
      <w:spacing w:before="60" w:after="60"/>
      <w:ind w:left="1701" w:hanging="340"/>
    </w:pPr>
  </w:style>
  <w:style w:type="paragraph" w:styleId="ListBullet3">
    <w:name w:val="List Bullet 3"/>
    <w:basedOn w:val="List3"/>
    <w:rsid w:val="00CB00C3"/>
    <w:pPr>
      <w:numPr>
        <w:numId w:val="14"/>
      </w:numPr>
      <w:tabs>
        <w:tab w:val="clear" w:pos="1021"/>
      </w:tabs>
      <w:ind w:left="1037" w:hanging="357"/>
    </w:pPr>
  </w:style>
  <w:style w:type="paragraph" w:styleId="ListBullet4">
    <w:name w:val="List Bullet 4"/>
    <w:basedOn w:val="List4"/>
    <w:rsid w:val="00CB00C3"/>
    <w:pPr>
      <w:numPr>
        <w:numId w:val="3"/>
      </w:numPr>
      <w:tabs>
        <w:tab w:val="clear" w:pos="1361"/>
      </w:tabs>
    </w:pPr>
  </w:style>
  <w:style w:type="paragraph" w:styleId="ListBullet5">
    <w:name w:val="List Bullet 5"/>
    <w:basedOn w:val="List5"/>
    <w:rsid w:val="00CB00C3"/>
    <w:pPr>
      <w:numPr>
        <w:numId w:val="4"/>
      </w:numPr>
    </w:pPr>
  </w:style>
  <w:style w:type="paragraph" w:styleId="ListContinue2">
    <w:name w:val="List Continue 2"/>
    <w:basedOn w:val="List2"/>
    <w:rsid w:val="00CB00C3"/>
    <w:pPr>
      <w:ind w:firstLine="0"/>
    </w:pPr>
  </w:style>
  <w:style w:type="paragraph" w:styleId="ListContinue3">
    <w:name w:val="List Continue 3"/>
    <w:basedOn w:val="List3"/>
    <w:rsid w:val="00CB00C3"/>
    <w:pPr>
      <w:ind w:left="1021" w:firstLine="0"/>
    </w:pPr>
  </w:style>
  <w:style w:type="paragraph" w:styleId="ListContinue4">
    <w:name w:val="List Continue 4"/>
    <w:basedOn w:val="List4"/>
    <w:rsid w:val="00CB00C3"/>
    <w:pPr>
      <w:ind w:firstLine="0"/>
    </w:pPr>
  </w:style>
  <w:style w:type="paragraph" w:styleId="ListContinue5">
    <w:name w:val="List Continue 5"/>
    <w:basedOn w:val="List5"/>
    <w:rsid w:val="00CB00C3"/>
    <w:pPr>
      <w:ind w:firstLine="0"/>
    </w:pPr>
  </w:style>
  <w:style w:type="paragraph" w:styleId="ListNumber3">
    <w:name w:val="List Number 3"/>
    <w:basedOn w:val="List3"/>
    <w:rsid w:val="00CB00C3"/>
    <w:pPr>
      <w:numPr>
        <w:numId w:val="5"/>
      </w:numPr>
    </w:pPr>
  </w:style>
  <w:style w:type="paragraph" w:styleId="ListNumber4">
    <w:name w:val="List Number 4"/>
    <w:basedOn w:val="List4"/>
    <w:rsid w:val="00CB00C3"/>
    <w:pPr>
      <w:numPr>
        <w:numId w:val="6"/>
      </w:numPr>
    </w:pPr>
  </w:style>
  <w:style w:type="paragraph" w:styleId="ListNumber5">
    <w:name w:val="List Number 5"/>
    <w:basedOn w:val="List5"/>
    <w:rsid w:val="00CB00C3"/>
    <w:pPr>
      <w:numPr>
        <w:numId w:val="7"/>
      </w:numPr>
    </w:pPr>
  </w:style>
  <w:style w:type="paragraph" w:styleId="BlockText">
    <w:name w:val="Block Text"/>
    <w:basedOn w:val="Normal"/>
    <w:rsid w:val="00CB00C3"/>
    <w:pPr>
      <w:spacing w:after="120"/>
      <w:ind w:left="1440" w:right="1440"/>
    </w:pPr>
  </w:style>
  <w:style w:type="character" w:customStyle="1" w:styleId="Subscript">
    <w:name w:val="Subscript"/>
    <w:basedOn w:val="DefaultParagraphFont"/>
    <w:rsid w:val="00CB00C3"/>
    <w:rPr>
      <w:sz w:val="16"/>
      <w:vertAlign w:val="subscript"/>
    </w:rPr>
  </w:style>
  <w:style w:type="character" w:customStyle="1" w:styleId="Superscript">
    <w:name w:val="Superscript"/>
    <w:basedOn w:val="DefaultParagraphFont"/>
    <w:rsid w:val="00CB00C3"/>
    <w:rPr>
      <w:sz w:val="16"/>
      <w:vertAlign w:val="superscript"/>
    </w:rPr>
  </w:style>
  <w:style w:type="character" w:customStyle="1" w:styleId="Symbols">
    <w:name w:val="Symbols"/>
    <w:basedOn w:val="DefaultParagraphFont"/>
    <w:rsid w:val="00CB00C3"/>
    <w:rPr>
      <w:rFonts w:ascii="Symbol" w:hAnsi="Symbol"/>
    </w:rPr>
  </w:style>
  <w:style w:type="character" w:customStyle="1" w:styleId="MenuOptions">
    <w:name w:val="Menu Options"/>
    <w:basedOn w:val="DefaultParagraphFont"/>
    <w:rsid w:val="00CB00C3"/>
    <w:rPr>
      <w:rFonts w:ascii="Arial Narrow" w:hAnsi="Arial Narrow"/>
      <w:smallCaps/>
    </w:rPr>
  </w:style>
  <w:style w:type="character" w:customStyle="1" w:styleId="Buttons">
    <w:name w:val="Buttons"/>
    <w:basedOn w:val="DefaultParagraphFont"/>
    <w:rsid w:val="00CB00C3"/>
    <w:rPr>
      <w:b/>
    </w:rPr>
  </w:style>
  <w:style w:type="character" w:customStyle="1" w:styleId="Underlined">
    <w:name w:val="Underlined"/>
    <w:basedOn w:val="DefaultParagraphFont"/>
    <w:rsid w:val="00CB00C3"/>
    <w:rPr>
      <w:u w:val="single"/>
    </w:rPr>
  </w:style>
  <w:style w:type="paragraph" w:customStyle="1" w:styleId="TableBodyTextRight">
    <w:name w:val="Table Body Text Right"/>
    <w:basedOn w:val="TableBodyText"/>
    <w:rsid w:val="00CB00C3"/>
    <w:pPr>
      <w:widowControl w:val="0"/>
      <w:autoSpaceDE w:val="0"/>
      <w:autoSpaceDN w:val="0"/>
      <w:adjustRightInd w:val="0"/>
      <w:jc w:val="right"/>
    </w:pPr>
    <w:rPr>
      <w:rFonts w:cs="Arial"/>
      <w:szCs w:val="18"/>
    </w:rPr>
  </w:style>
  <w:style w:type="paragraph" w:customStyle="1" w:styleId="CopyrightText">
    <w:name w:val="Copyright Text"/>
    <w:basedOn w:val="BodyText"/>
    <w:rsid w:val="00CB00C3"/>
    <w:rPr>
      <w:sz w:val="18"/>
    </w:rPr>
  </w:style>
  <w:style w:type="paragraph" w:customStyle="1" w:styleId="BodySmallRight">
    <w:name w:val="Body Small Right"/>
    <w:basedOn w:val="BodyTextRight"/>
    <w:rsid w:val="00CB00C3"/>
    <w:rPr>
      <w:sz w:val="18"/>
      <w:szCs w:val="18"/>
    </w:rPr>
  </w:style>
  <w:style w:type="paragraph" w:customStyle="1" w:styleId="MarginEdition">
    <w:name w:val="Margin Edition"/>
    <w:basedOn w:val="MarginNote"/>
    <w:rsid w:val="00CB00C3"/>
    <w:pPr>
      <w:spacing w:before="0" w:after="0"/>
    </w:pPr>
    <w:rPr>
      <w:rFonts w:ascii="Times New Roman" w:hAnsi="Times New Roman"/>
      <w:color w:val="999999"/>
    </w:rPr>
  </w:style>
  <w:style w:type="paragraph" w:customStyle="1" w:styleId="Spacer">
    <w:name w:val="Spacer"/>
    <w:basedOn w:val="Normal"/>
    <w:rsid w:val="00CB00C3"/>
    <w:rPr>
      <w:sz w:val="2"/>
      <w:szCs w:val="2"/>
    </w:rPr>
  </w:style>
  <w:style w:type="character" w:customStyle="1" w:styleId="Small">
    <w:name w:val="Small"/>
    <w:basedOn w:val="DefaultParagraphFont"/>
    <w:rsid w:val="00CB00C3"/>
    <w:rPr>
      <w:sz w:val="16"/>
    </w:rPr>
  </w:style>
  <w:style w:type="paragraph" w:customStyle="1" w:styleId="WideTable">
    <w:name w:val="Wide Table"/>
    <w:basedOn w:val="Normal"/>
    <w:rsid w:val="00CB00C3"/>
    <w:pPr>
      <w:ind w:left="-1418"/>
    </w:pPr>
    <w:rPr>
      <w:sz w:val="2"/>
      <w:szCs w:val="2"/>
    </w:rPr>
  </w:style>
  <w:style w:type="character" w:styleId="PageNumber">
    <w:name w:val="page number"/>
    <w:basedOn w:val="DefaultParagraphFont"/>
    <w:rsid w:val="00CB00C3"/>
  </w:style>
  <w:style w:type="paragraph" w:styleId="Quote">
    <w:name w:val="Quote"/>
    <w:basedOn w:val="Heading1"/>
    <w:link w:val="QuoteChar"/>
    <w:qFormat/>
    <w:rsid w:val="00CB00C3"/>
    <w:rPr>
      <w:b w:val="0"/>
      <w:sz w:val="72"/>
      <w:szCs w:val="72"/>
      <w:lang w:val="en-NZ"/>
    </w:rPr>
  </w:style>
  <w:style w:type="character" w:customStyle="1" w:styleId="QuoteChar">
    <w:name w:val="Quote Char"/>
    <w:basedOn w:val="DefaultParagraphFont"/>
    <w:link w:val="Quote"/>
    <w:rsid w:val="00CB0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0C3"/>
    <w:pPr>
      <w:pageBreakBefore/>
    </w:pPr>
  </w:style>
  <w:style w:type="paragraph" w:customStyle="1" w:styleId="Border">
    <w:name w:val="Border"/>
    <w:basedOn w:val="Normal"/>
    <w:qFormat/>
    <w:rsid w:val="00CB0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0C3"/>
    <w:rPr>
      <w:b/>
      <w:bCs/>
      <w:i/>
      <w:iCs/>
      <w:color w:val="auto"/>
    </w:rPr>
  </w:style>
  <w:style w:type="paragraph" w:styleId="IntenseQuote">
    <w:name w:val="Intense Quote"/>
    <w:basedOn w:val="Normal"/>
    <w:next w:val="Normal"/>
    <w:link w:val="IntenseQuoteChar"/>
    <w:uiPriority w:val="30"/>
    <w:qFormat/>
    <w:rsid w:val="00CB0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0C3"/>
    <w:rPr>
      <w:smallCaps/>
      <w:color w:val="auto"/>
      <w:u w:val="single"/>
    </w:rPr>
  </w:style>
  <w:style w:type="character" w:styleId="IntenseReference">
    <w:name w:val="Intense Reference"/>
    <w:basedOn w:val="DefaultParagraphFont"/>
    <w:uiPriority w:val="32"/>
    <w:qFormat/>
    <w:rsid w:val="00CB00C3"/>
    <w:rPr>
      <w:b/>
      <w:bCs/>
      <w:smallCaps/>
      <w:color w:val="auto"/>
      <w:spacing w:val="5"/>
      <w:u w:val="single"/>
    </w:rPr>
  </w:style>
  <w:style w:type="paragraph" w:customStyle="1" w:styleId="2ColumnHeading">
    <w:name w:val="2Column Heading"/>
    <w:basedOn w:val="BodyText"/>
    <w:qFormat/>
    <w:rsid w:val="00CB00C3"/>
    <w:pPr>
      <w:spacing w:after="60"/>
      <w:ind w:left="-2268"/>
    </w:pPr>
    <w:rPr>
      <w:b/>
    </w:rPr>
  </w:style>
  <w:style w:type="paragraph" w:customStyle="1" w:styleId="Heading1TOC">
    <w:name w:val="Heading1 TOC"/>
    <w:basedOn w:val="Normal"/>
    <w:qFormat/>
    <w:rsid w:val="00CB00C3"/>
    <w:pPr>
      <w:spacing w:before="240" w:after="120"/>
    </w:pPr>
    <w:rPr>
      <w:rFonts w:ascii="Times New Roman" w:hAnsi="Times New Roman"/>
      <w:b/>
      <w:sz w:val="32"/>
    </w:rPr>
  </w:style>
  <w:style w:type="paragraph" w:customStyle="1" w:styleId="Heading2TOC">
    <w:name w:val="Heading2 TOC"/>
    <w:basedOn w:val="Normal"/>
    <w:qFormat/>
    <w:rsid w:val="00CB00C3"/>
    <w:pPr>
      <w:spacing w:before="240" w:after="60"/>
    </w:pPr>
    <w:rPr>
      <w:rFonts w:ascii="Times New Roman" w:hAnsi="Times New Roman"/>
      <w:b/>
      <w:sz w:val="28"/>
    </w:rPr>
  </w:style>
  <w:style w:type="character" w:customStyle="1" w:styleId="Underline">
    <w:name w:val="Underline"/>
    <w:basedOn w:val="DefaultParagraphFont"/>
    <w:qFormat/>
    <w:rsid w:val="00CB00C3"/>
    <w:rPr>
      <w:u w:val="single"/>
    </w:rPr>
  </w:style>
  <w:style w:type="character" w:customStyle="1" w:styleId="BoldandItalics">
    <w:name w:val="Bold and Italics"/>
    <w:qFormat/>
    <w:rsid w:val="00CB00C3"/>
    <w:rPr>
      <w:b/>
      <w:i/>
      <w:u w:val="none"/>
    </w:rPr>
  </w:style>
  <w:style w:type="paragraph" w:styleId="BalloonText">
    <w:name w:val="Balloon Text"/>
    <w:basedOn w:val="Normal"/>
    <w:link w:val="BalloonTextChar"/>
    <w:rsid w:val="00CB00C3"/>
    <w:rPr>
      <w:rFonts w:ascii="Tahoma" w:hAnsi="Tahoma" w:cs="Tahoma"/>
      <w:sz w:val="16"/>
      <w:szCs w:val="16"/>
    </w:rPr>
  </w:style>
  <w:style w:type="character" w:customStyle="1" w:styleId="BalloonTextChar">
    <w:name w:val="Balloon Text Char"/>
    <w:basedOn w:val="DefaultParagraphFont"/>
    <w:link w:val="BalloonText"/>
    <w:rsid w:val="00CB0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0C3"/>
    <w:rPr>
      <w:b/>
      <w:color w:val="660033"/>
      <w:spacing w:val="0"/>
    </w:rPr>
  </w:style>
  <w:style w:type="paragraph" w:customStyle="1" w:styleId="Nameditemlist">
    <w:name w:val="Named item list"/>
    <w:basedOn w:val="BodyText"/>
    <w:qFormat/>
    <w:rsid w:val="00CB00C3"/>
    <w:pPr>
      <w:tabs>
        <w:tab w:val="left" w:pos="2835"/>
      </w:tabs>
      <w:ind w:left="2835" w:hanging="2835"/>
    </w:pPr>
  </w:style>
  <w:style w:type="paragraph" w:customStyle="1" w:styleId="BodyTextnopadding">
    <w:name w:val="Body Text no padding"/>
    <w:basedOn w:val="BodyText"/>
    <w:qFormat/>
    <w:rsid w:val="00CB00C3"/>
    <w:pPr>
      <w:spacing w:before="0" w:after="0"/>
    </w:pPr>
  </w:style>
  <w:style w:type="paragraph" w:customStyle="1" w:styleId="BodyTextBold">
    <w:name w:val="Body Text Bold"/>
    <w:basedOn w:val="BodyText"/>
    <w:qFormat/>
    <w:rsid w:val="00CB00C3"/>
    <w:rPr>
      <w:b/>
    </w:rPr>
  </w:style>
  <w:style w:type="character" w:styleId="Hyperlink">
    <w:name w:val="Hyperlink"/>
    <w:basedOn w:val="DefaultParagraphFont"/>
    <w:uiPriority w:val="99"/>
    <w:unhideWhenUsed/>
    <w:rsid w:val="00B50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7045</Characters>
  <Application>Microsoft Office Word</Application>
  <DocSecurity>0</DocSecurity>
  <Lines>234</Lines>
  <Paragraphs>141</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MSTGN5011 Work with international TCF supply chains</dc:title>
  <dc:subject>Approved</dc:subject>
  <dc:creator>Skills Insight</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