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E7D" w:rsidP="008A2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MSTGN5009 Develop and test TCF products or processes</w:t>
      </w:r>
      <w:r>
        <w:fldChar w:fldCharType="end"/>
      </w:r>
    </w:p>
    <w:p w:rsidR="008A2E7D" w:rsidP="008A2E7D">
      <w:pPr>
        <w:pStyle w:val="Version"/>
        <w:sectPr w:rsidSect="00471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EC2" w:rsidP="00471EC2">
      <w:pPr>
        <w:pStyle w:val="SuperHeading"/>
      </w:pPr>
      <w:r w:rsidRPr="00471EC2">
        <w:t>Assessment Requirements for MSTGN5009 Develop and test TCF products or processes</w:t>
      </w:r>
    </w:p>
    <w:p w:rsidR="00000000" w:rsidRPr="00471EC2" w:rsidP="00471EC2">
      <w:pPr>
        <w:pStyle w:val="Heading1"/>
      </w:pPr>
      <w:bookmarkStart w:id="1" w:name="O_931872"/>
      <w:bookmarkEnd w:id="1"/>
      <w:r w:rsidRPr="00471EC2">
        <w:t>Modification History</w:t>
      </w:r>
    </w:p>
    <w:p w:rsidR="00000000" w:rsidRPr="00471EC2" w:rsidP="008A2E7D">
      <w:pPr>
        <w:pStyle w:val="BodyText"/>
      </w:pPr>
      <w:r w:rsidRPr="00471EC2">
        <w:t>Release 1. Supersedes and is equivalent to LMTGN5011A Develop and test textile, clothing and footwear products or processes</w:t>
      </w:r>
    </w:p>
    <w:p w:rsidR="00000000" w:rsidRPr="00471EC2" w:rsidP="00471EC2">
      <w:pPr>
        <w:pStyle w:val="Heading1"/>
      </w:pPr>
      <w:bookmarkStart w:id="2" w:name="O_931875"/>
      <w:bookmarkEnd w:id="2"/>
      <w:r w:rsidRPr="00471EC2">
        <w:t>Performance Evidence</w:t>
      </w:r>
    </w:p>
    <w:p w:rsidR="00000000" w:rsidRPr="00471EC2" w:rsidP="008A2E7D">
      <w:pPr>
        <w:pStyle w:val="BodyText"/>
      </w:pPr>
      <w:r w:rsidRPr="00471EC2">
        <w:t>Evidence required to demonstrate competence in this unit must be relevant to and satisfy the requirements of the elements and performance criteria, and include:</w:t>
      </w:r>
    </w:p>
    <w:p w:rsidR="00000000" w:rsidRPr="00471EC2" w:rsidP="00471EC2">
      <w:pPr>
        <w:pStyle w:val="ListBullet"/>
      </w:pPr>
      <w:r w:rsidRPr="00471EC2">
        <w:t>reading and following work instructions, standard operating proce</w:t>
      </w:r>
      <w:r w:rsidRPr="00471EC2">
        <w:t xml:space="preserve">dures (SOPs), safe work practices </w:t>
      </w:r>
    </w:p>
    <w:p w:rsidR="00000000" w:rsidRPr="00471EC2" w:rsidP="00471EC2">
      <w:pPr>
        <w:pStyle w:val="ListBullet"/>
      </w:pPr>
      <w:r w:rsidRPr="00471EC2">
        <w:t>applying relevant standards</w:t>
      </w:r>
    </w:p>
    <w:p w:rsidR="00000000" w:rsidRPr="00471EC2" w:rsidP="00471EC2">
      <w:pPr>
        <w:pStyle w:val="ListBullet"/>
      </w:pPr>
      <w:r w:rsidRPr="00471EC2">
        <w:t>interpreting design and quality specifications appropriate to at least one (1) TCF product or process from data sheets, production schedules process specifications or the client</w:t>
      </w:r>
    </w:p>
    <w:p w:rsidR="00000000" w:rsidRPr="00471EC2" w:rsidP="00471EC2">
      <w:pPr>
        <w:pStyle w:val="ListBullet"/>
      </w:pPr>
      <w:r w:rsidRPr="00471EC2">
        <w:t>conducting rese</w:t>
      </w:r>
      <w:r w:rsidRPr="00471EC2">
        <w:t xml:space="preserve">arch to identify development options, examining relevance for specific TCF application and developing preliminary design to explore options with key personnel </w:t>
      </w:r>
    </w:p>
    <w:p w:rsidR="00000000" w:rsidRPr="00471EC2" w:rsidP="00471EC2">
      <w:pPr>
        <w:pStyle w:val="ListBullet"/>
      </w:pPr>
      <w:r w:rsidRPr="00471EC2">
        <w:t xml:space="preserve">developing test procedures and specifications and undertaking test according to test procedures </w:t>
      </w:r>
      <w:r w:rsidRPr="00471EC2">
        <w:t>and work health and safety (WHS) practices</w:t>
      </w:r>
    </w:p>
    <w:p w:rsidR="00000000" w:rsidRPr="00471EC2" w:rsidP="00471EC2">
      <w:pPr>
        <w:pStyle w:val="ListBullet"/>
      </w:pPr>
      <w:r w:rsidRPr="00471EC2">
        <w:t xml:space="preserve">using information from development and testing of TCF product or process to modify and improve design specifications and adjust manufacturing process or identify suitable TCF materials </w:t>
      </w:r>
    </w:p>
    <w:p w:rsidR="00000000" w:rsidRPr="00471EC2" w:rsidP="00471EC2">
      <w:pPr>
        <w:pStyle w:val="ListBullet"/>
      </w:pPr>
      <w:r w:rsidRPr="00471EC2">
        <w:t>documenting improved design</w:t>
      </w:r>
      <w:r w:rsidRPr="00471EC2">
        <w:t xml:space="preserve"> and specifications.</w:t>
      </w:r>
    </w:p>
    <w:p w:rsidR="00000000" w:rsidRPr="00471EC2" w:rsidP="00471EC2">
      <w:pPr>
        <w:pStyle w:val="AllowPageBreak"/>
      </w:pPr>
    </w:p>
    <w:p w:rsidR="00000000" w:rsidRPr="00471EC2" w:rsidP="00471EC2">
      <w:pPr>
        <w:pStyle w:val="Heading1"/>
      </w:pPr>
      <w:bookmarkStart w:id="3" w:name="O_931874"/>
      <w:bookmarkEnd w:id="3"/>
      <w:r w:rsidRPr="00471EC2">
        <w:t>Knowledge Evidence</w:t>
      </w:r>
    </w:p>
    <w:p w:rsidR="00000000" w:rsidRPr="00471EC2" w:rsidP="008A2E7D">
      <w:pPr>
        <w:pStyle w:val="BodyText"/>
      </w:pPr>
      <w:r w:rsidRPr="00471EC2">
        <w:t>Evidence must be provided that demonstrates knowledge of:</w:t>
      </w:r>
    </w:p>
    <w:p w:rsidR="00000000" w:rsidRPr="00471EC2" w:rsidP="00471EC2">
      <w:pPr>
        <w:pStyle w:val="ListBullet"/>
      </w:pPr>
      <w:r w:rsidRPr="00471EC2">
        <w:t>safe work practices and procedures and use of personal protective equipment (PPE)</w:t>
      </w:r>
    </w:p>
    <w:p w:rsidR="00000000" w:rsidRPr="00471EC2" w:rsidP="00471EC2">
      <w:pPr>
        <w:pStyle w:val="ListBullet"/>
      </w:pPr>
      <w:r w:rsidRPr="00471EC2">
        <w:t>relevant Australian Standards</w:t>
      </w:r>
    </w:p>
    <w:p w:rsidR="00000000" w:rsidRPr="00471EC2" w:rsidP="00471EC2">
      <w:pPr>
        <w:pStyle w:val="ListBullet"/>
      </w:pPr>
      <w:r w:rsidRPr="00471EC2">
        <w:t>textile industry terminology</w:t>
      </w:r>
    </w:p>
    <w:p w:rsidR="00000000" w:rsidRPr="00471EC2" w:rsidP="00471EC2">
      <w:pPr>
        <w:pStyle w:val="ListBullet"/>
      </w:pPr>
      <w:r w:rsidRPr="00471EC2">
        <w:t>international and Australian specification Standards</w:t>
      </w:r>
    </w:p>
    <w:p w:rsidR="00000000" w:rsidRPr="00471EC2" w:rsidP="00471EC2">
      <w:pPr>
        <w:pStyle w:val="ListBullet"/>
      </w:pPr>
      <w:r w:rsidRPr="00471EC2">
        <w:t>TCF production processes, such as:</w:t>
      </w:r>
    </w:p>
    <w:p w:rsidR="00000000" w:rsidRPr="00471EC2" w:rsidP="00471EC2">
      <w:pPr>
        <w:pStyle w:val="ListBullet2"/>
      </w:pPr>
      <w:r w:rsidRPr="00471EC2">
        <w:t>design</w:t>
      </w:r>
    </w:p>
    <w:p w:rsidR="00000000" w:rsidRPr="00471EC2" w:rsidP="00471EC2">
      <w:pPr>
        <w:pStyle w:val="ListBullet2"/>
      </w:pPr>
      <w:r w:rsidRPr="00471EC2">
        <w:t>weaving</w:t>
      </w:r>
    </w:p>
    <w:p w:rsidR="00000000" w:rsidRPr="00471EC2" w:rsidP="00471EC2">
      <w:pPr>
        <w:pStyle w:val="ListBullet2"/>
      </w:pPr>
      <w:r w:rsidRPr="00471EC2">
        <w:t>knitting</w:t>
      </w:r>
    </w:p>
    <w:p w:rsidR="00000000" w:rsidRPr="00471EC2" w:rsidP="00471EC2">
      <w:pPr>
        <w:pStyle w:val="ListBullet2"/>
      </w:pPr>
      <w:r w:rsidRPr="00471EC2">
        <w:t>washing</w:t>
      </w:r>
    </w:p>
    <w:p w:rsidR="00000000" w:rsidRPr="00471EC2" w:rsidP="00471EC2">
      <w:pPr>
        <w:pStyle w:val="ListBullet2"/>
      </w:pPr>
      <w:r w:rsidRPr="00471EC2">
        <w:t>bleaching</w:t>
      </w:r>
    </w:p>
    <w:p w:rsidR="00000000" w:rsidRPr="00471EC2" w:rsidP="00471EC2">
      <w:pPr>
        <w:pStyle w:val="ListBullet2"/>
      </w:pPr>
      <w:r w:rsidRPr="00471EC2">
        <w:t>dyeing</w:t>
      </w:r>
    </w:p>
    <w:p w:rsidR="00000000" w:rsidRPr="00471EC2" w:rsidP="00471EC2">
      <w:pPr>
        <w:pStyle w:val="ListBullet2"/>
      </w:pPr>
      <w:r w:rsidRPr="00471EC2">
        <w:t>tufting</w:t>
      </w:r>
    </w:p>
    <w:p w:rsidR="00000000" w:rsidRPr="00471EC2" w:rsidP="00471EC2">
      <w:pPr>
        <w:pStyle w:val="ListBullet2"/>
      </w:pPr>
      <w:r w:rsidRPr="00471EC2">
        <w:t>assembly</w:t>
      </w:r>
    </w:p>
    <w:p w:rsidR="00000000" w:rsidRPr="00471EC2" w:rsidP="00471EC2">
      <w:pPr>
        <w:pStyle w:val="ListBullet2"/>
      </w:pPr>
      <w:r w:rsidRPr="00471EC2">
        <w:t>finishing</w:t>
      </w:r>
    </w:p>
    <w:p w:rsidR="00000000" w:rsidRPr="00471EC2" w:rsidP="00471EC2">
      <w:pPr>
        <w:pStyle w:val="ListBullet2"/>
      </w:pPr>
      <w:r w:rsidRPr="00471EC2">
        <w:t>printing</w:t>
      </w:r>
    </w:p>
    <w:p w:rsidR="00000000" w:rsidRPr="00471EC2" w:rsidP="00471EC2">
      <w:pPr>
        <w:pStyle w:val="ListBullet"/>
      </w:pPr>
      <w:r w:rsidRPr="00471EC2">
        <w:t xml:space="preserve">TCF materials </w:t>
      </w:r>
    </w:p>
    <w:p w:rsidR="00000000" w:rsidRPr="00471EC2" w:rsidP="00471EC2">
      <w:pPr>
        <w:pStyle w:val="ListBullet2"/>
      </w:pPr>
      <w:r w:rsidRPr="00471EC2">
        <w:t>fibres</w:t>
      </w:r>
    </w:p>
    <w:p w:rsidR="00000000" w:rsidRPr="00471EC2" w:rsidP="00471EC2">
      <w:pPr>
        <w:pStyle w:val="ListBullet2"/>
      </w:pPr>
      <w:r w:rsidRPr="00471EC2">
        <w:t>yarns</w:t>
      </w:r>
    </w:p>
    <w:p w:rsidR="00000000" w:rsidRPr="00471EC2" w:rsidP="00471EC2">
      <w:pPr>
        <w:pStyle w:val="ListBullet2"/>
      </w:pPr>
      <w:r w:rsidRPr="00471EC2">
        <w:t>fabrics</w:t>
      </w:r>
    </w:p>
    <w:p w:rsidR="00000000" w:rsidRPr="00471EC2" w:rsidP="00471EC2">
      <w:pPr>
        <w:pStyle w:val="ListBullet2"/>
      </w:pPr>
      <w:r w:rsidRPr="00471EC2">
        <w:t>dyes and chemicals</w:t>
      </w:r>
    </w:p>
    <w:p w:rsidR="00000000" w:rsidRPr="00471EC2" w:rsidP="00471EC2">
      <w:pPr>
        <w:pStyle w:val="ListBullet2"/>
      </w:pPr>
      <w:r w:rsidRPr="00471EC2">
        <w:t>leather</w:t>
      </w:r>
    </w:p>
    <w:p w:rsidR="00000000" w:rsidRPr="00471EC2" w:rsidP="00471EC2">
      <w:pPr>
        <w:pStyle w:val="ListBullet2"/>
      </w:pPr>
      <w:r w:rsidRPr="00471EC2">
        <w:t>technical textiles</w:t>
      </w:r>
    </w:p>
    <w:p w:rsidR="00000000" w:rsidRPr="00471EC2" w:rsidP="00471EC2">
      <w:pPr>
        <w:pStyle w:val="ListBullet"/>
      </w:pPr>
      <w:r w:rsidRPr="00471EC2">
        <w:t>TCF products</w:t>
      </w:r>
    </w:p>
    <w:p w:rsidR="00000000" w:rsidRPr="00471EC2" w:rsidP="00471EC2">
      <w:pPr>
        <w:pStyle w:val="ListBullet"/>
      </w:pPr>
      <w:r w:rsidRPr="00471EC2">
        <w:t>systems and formula used in textile calculations</w:t>
      </w:r>
    </w:p>
    <w:p w:rsidR="00000000" w:rsidRPr="00471EC2" w:rsidP="00471EC2">
      <w:pPr>
        <w:pStyle w:val="ListBullet"/>
      </w:pPr>
      <w:r w:rsidRPr="00471EC2">
        <w:t>routine and non-routine TCF tests</w:t>
      </w:r>
    </w:p>
    <w:p w:rsidR="00000000" w:rsidRPr="00471EC2" w:rsidP="00471EC2">
      <w:pPr>
        <w:pStyle w:val="ListBullet"/>
      </w:pPr>
      <w:r w:rsidRPr="00471EC2">
        <w:t>TCF test equipment and tools</w:t>
      </w:r>
    </w:p>
    <w:p w:rsidR="00000000" w:rsidRPr="00471EC2" w:rsidP="00471EC2">
      <w:pPr>
        <w:pStyle w:val="ListBullet"/>
      </w:pPr>
      <w:r w:rsidRPr="00471EC2">
        <w:t>test materials</w:t>
      </w:r>
    </w:p>
    <w:p w:rsidR="00000000" w:rsidRPr="00471EC2" w:rsidP="00471EC2">
      <w:pPr>
        <w:pStyle w:val="ListBullet"/>
      </w:pPr>
      <w:r w:rsidRPr="00471EC2">
        <w:t>quality practices</w:t>
      </w:r>
    </w:p>
    <w:p w:rsidR="00000000" w:rsidRPr="00471EC2" w:rsidP="00471EC2">
      <w:pPr>
        <w:pStyle w:val="ListBullet"/>
      </w:pPr>
      <w:r w:rsidRPr="00471EC2">
        <w:t>workplace procedures</w:t>
      </w:r>
    </w:p>
    <w:p w:rsidR="00000000" w:rsidRPr="00471EC2" w:rsidP="00471EC2">
      <w:pPr>
        <w:pStyle w:val="ListBullet"/>
      </w:pPr>
      <w:r w:rsidRPr="00471EC2">
        <w:t>practices for recording and reporting</w:t>
      </w:r>
    </w:p>
    <w:p w:rsidR="00000000" w:rsidRPr="00471EC2" w:rsidP="00471EC2">
      <w:pPr>
        <w:pStyle w:val="ListBullet"/>
      </w:pPr>
      <w:r w:rsidRPr="00471EC2">
        <w:t>WHS practices and p</w:t>
      </w:r>
      <w:r w:rsidRPr="00471EC2">
        <w:t>rocedures.</w:t>
      </w:r>
    </w:p>
    <w:p w:rsidR="00000000" w:rsidRPr="00471EC2" w:rsidP="00471EC2">
      <w:pPr>
        <w:pStyle w:val="AllowPageBreak"/>
      </w:pPr>
    </w:p>
    <w:p w:rsidR="00000000" w:rsidRPr="00471EC2" w:rsidP="00471EC2">
      <w:pPr>
        <w:pStyle w:val="Heading1"/>
      </w:pPr>
      <w:bookmarkStart w:id="4" w:name="O_931873"/>
      <w:bookmarkEnd w:id="4"/>
      <w:r w:rsidRPr="00471EC2">
        <w:t>Assessment Conditions</w:t>
      </w:r>
    </w:p>
    <w:p w:rsidR="00000000" w:rsidRPr="00471EC2" w:rsidP="00471EC2">
      <w:pPr>
        <w:pStyle w:val="ListBullet"/>
      </w:pPr>
      <w:r w:rsidRPr="00471EC2">
        <w:t>Assessors must:</w:t>
      </w:r>
    </w:p>
    <w:p w:rsidR="00000000" w:rsidRPr="00471EC2" w:rsidP="00471EC2">
      <w:pPr>
        <w:pStyle w:val="ListBullet2"/>
      </w:pPr>
      <w:r w:rsidRPr="00471EC2">
        <w:t>satisfy the assessor competency requirements that are in place at the time of the assessment, as set by the VET regulator</w:t>
      </w:r>
    </w:p>
    <w:p w:rsidR="00000000" w:rsidRPr="00471EC2" w:rsidP="00471EC2">
      <w:pPr>
        <w:pStyle w:val="ListBullet2"/>
      </w:pPr>
      <w:r w:rsidRPr="00471EC2">
        <w:t>have vocational competency in developing and testing  textile, clothing and footwear products or processes, at least to the level being assessed, with relevant industry knowledge and experience.</w:t>
      </w:r>
    </w:p>
    <w:p w:rsidR="00000000" w:rsidRPr="00471EC2" w:rsidP="00471EC2">
      <w:pPr>
        <w:pStyle w:val="ListBullet"/>
      </w:pPr>
      <w:r w:rsidRPr="00471EC2">
        <w:t>Assessment should occur in operational workplace situations.</w:t>
      </w:r>
      <w:r w:rsidRPr="00471EC2">
        <w:t xml:space="preserve"> Where this is not possible, or where personal safety or environmental damage are limiting factors, assessment must occur in a sufficiently rigorous simulated environment reflecting realistic operational workplace conditions. This must cover all aspects of</w:t>
      </w:r>
      <w:r w:rsidRPr="00471EC2">
        <w:t xml:space="preserve"> workplace performance, including environment, task skills, task management skills, contingency management skills and job role environment skills.</w:t>
      </w:r>
    </w:p>
    <w:p w:rsidR="00000000" w:rsidRPr="00471EC2" w:rsidP="00471EC2">
      <w:pPr>
        <w:pStyle w:val="ListBullet"/>
      </w:pPr>
      <w:r w:rsidRPr="00471EC2">
        <w:t>Assessment processes and techniques must be appropriate to the language, literacy and numeracy requirements o</w:t>
      </w:r>
      <w:r w:rsidRPr="00471EC2">
        <w:t>f the work being performed and the needs of the candidate.</w:t>
      </w:r>
    </w:p>
    <w:p w:rsidR="00000000" w:rsidRPr="00471EC2" w:rsidP="00471EC2">
      <w:pPr>
        <w:pStyle w:val="ListBullet"/>
      </w:pPr>
      <w:r w:rsidRPr="00471EC2">
        <w:t>Conditions for assessment must include access to all tools, equipment, materials and documentation required, including relevant workplace procedures, product and manufacturing specifications associ</w:t>
      </w:r>
      <w:r w:rsidRPr="00471EC2">
        <w:t>ated with this unit.</w:t>
      </w:r>
    </w:p>
    <w:p w:rsidR="00000000" w:rsidRPr="00471EC2" w:rsidP="00471EC2">
      <w:pPr>
        <w:pStyle w:val="ListBullet"/>
      </w:pPr>
      <w:r w:rsidRPr="00471EC2">
        <w:t>The unit is applicable to all TCF sectors and assessment must ensure it is delivered to suit the industry it is being applied to.</w:t>
      </w:r>
    </w:p>
    <w:p w:rsidR="00000000" w:rsidRPr="00471EC2" w:rsidP="00471EC2">
      <w:pPr>
        <w:pStyle w:val="AllowPageBreak"/>
      </w:pPr>
    </w:p>
    <w:p w:rsidR="00000000" w:rsidRPr="00471EC2" w:rsidP="00471EC2">
      <w:pPr>
        <w:pStyle w:val="Heading1"/>
      </w:pPr>
      <w:bookmarkStart w:id="5" w:name="O_931871"/>
      <w:bookmarkEnd w:id="5"/>
      <w:r w:rsidRPr="00471EC2">
        <w:t>Links</w:t>
      </w:r>
    </w:p>
    <w:p w:rsidR="00000000" w:rsidRPr="00471EC2" w:rsidP="008A2E7D">
      <w:pPr>
        <w:pStyle w:val="BodyText"/>
      </w:pPr>
      <w:r w:rsidRPr="00471E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9062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71EC2" w:rsidP="00471EC2"/>
    <w:sectPr w:rsidSect="00471E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C2" w:rsidRPr="008A2E7D" w:rsidP="008A2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E7D" w:rsidP="00471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E7D" w:rsidP="00471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2E7D" w:rsidP="00471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EC2" w:rsidRPr="008A2E7D" w:rsidP="008A2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E7D" w:rsidRPr="002D2AF8" w:rsidP="00471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MSTGN5009 Develop and test TCF products 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A2E7D" w:rsidP="00471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0E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C61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48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EC2"/>
  </w:style>
  <w:style w:type="character" w:customStyle="1" w:styleId="Heading1Char">
    <w:name w:val="Heading 1 Char"/>
    <w:basedOn w:val="DefaultParagraphFont"/>
    <w:link w:val="Heading1"/>
    <w:rsid w:val="00471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E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1E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1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EC2"/>
    <w:rPr>
      <w:b/>
      <w:spacing w:val="0"/>
    </w:rPr>
  </w:style>
  <w:style w:type="paragraph" w:customStyle="1" w:styleId="SuperTitle">
    <w:name w:val="SuperTitle"/>
    <w:basedOn w:val="Title"/>
    <w:rsid w:val="00471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E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EC2"/>
    <w:rPr>
      <w:i/>
    </w:rPr>
  </w:style>
  <w:style w:type="paragraph" w:styleId="Caption">
    <w:name w:val="caption"/>
    <w:basedOn w:val="BodyText"/>
    <w:next w:val="Normal"/>
    <w:qFormat/>
    <w:rsid w:val="00471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EC2"/>
  </w:style>
  <w:style w:type="paragraph" w:styleId="TableofFigures">
    <w:name w:val="table of figures"/>
    <w:basedOn w:val="Normal"/>
    <w:next w:val="Normal"/>
    <w:semiHidden/>
    <w:rsid w:val="00471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E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EC2"/>
    <w:rPr>
      <w:rFonts w:ascii="Wingdings" w:hAnsi="Wingdings"/>
    </w:rPr>
  </w:style>
  <w:style w:type="paragraph" w:customStyle="1" w:styleId="TableHeading">
    <w:name w:val="Table Heading"/>
    <w:basedOn w:val="HeadingBase"/>
    <w:rsid w:val="00471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EC2"/>
    <w:rPr>
      <w:color w:val="0033CC"/>
      <w:u w:val="none"/>
    </w:rPr>
  </w:style>
  <w:style w:type="paragraph" w:customStyle="1" w:styleId="BodyTextRight">
    <w:name w:val="Body Text Right"/>
    <w:basedOn w:val="BodyText"/>
    <w:rsid w:val="00471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E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EC2"/>
    <w:rPr>
      <w:sz w:val="32"/>
    </w:rPr>
  </w:style>
  <w:style w:type="paragraph" w:customStyle="1" w:styleId="HeadingProcedure">
    <w:name w:val="Heading Procedure"/>
    <w:basedOn w:val="HeadingBase"/>
    <w:next w:val="Normal"/>
    <w:rsid w:val="00471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EC2"/>
    <w:pPr>
      <w:spacing w:before="60" w:after="60"/>
    </w:pPr>
  </w:style>
  <w:style w:type="paragraph" w:styleId="ListContinue">
    <w:name w:val="List Continue"/>
    <w:basedOn w:val="List"/>
    <w:rsid w:val="00471EC2"/>
    <w:pPr>
      <w:ind w:firstLine="0"/>
    </w:pPr>
  </w:style>
  <w:style w:type="paragraph" w:customStyle="1" w:styleId="ListNote">
    <w:name w:val="List Note"/>
    <w:basedOn w:val="List"/>
    <w:rsid w:val="00471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EC2"/>
    <w:rPr>
      <w:rFonts w:ascii="Courier New" w:hAnsi="Courier New"/>
    </w:rPr>
  </w:style>
  <w:style w:type="paragraph" w:customStyle="1" w:styleId="NoteBullet">
    <w:name w:val="Note Bullet"/>
    <w:basedOn w:val="Note"/>
    <w:rsid w:val="00471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E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EC2"/>
    <w:rPr>
      <w:b/>
      <w:smallCaps/>
    </w:rPr>
  </w:style>
  <w:style w:type="paragraph" w:customStyle="1" w:styleId="TableListNumber">
    <w:name w:val="Table List Number"/>
    <w:basedOn w:val="ListNumber"/>
    <w:rsid w:val="00471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EC2"/>
    <w:pPr>
      <w:numPr>
        <w:numId w:val="9"/>
      </w:numPr>
    </w:pPr>
  </w:style>
  <w:style w:type="paragraph" w:customStyle="1" w:styleId="ListAlpha2">
    <w:name w:val="List Alpha 2"/>
    <w:basedOn w:val="List2"/>
    <w:rsid w:val="00471EC2"/>
    <w:pPr>
      <w:numPr>
        <w:numId w:val="8"/>
      </w:numPr>
    </w:pPr>
  </w:style>
  <w:style w:type="paragraph" w:styleId="List2">
    <w:name w:val="List 2"/>
    <w:basedOn w:val="BodyText"/>
    <w:rsid w:val="00471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E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E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EC2"/>
    <w:pPr>
      <w:numPr>
        <w:numId w:val="4"/>
      </w:numPr>
    </w:pPr>
  </w:style>
  <w:style w:type="paragraph" w:styleId="ListContinue2">
    <w:name w:val="List Continue 2"/>
    <w:basedOn w:val="List2"/>
    <w:rsid w:val="00471EC2"/>
    <w:pPr>
      <w:ind w:firstLine="0"/>
    </w:pPr>
  </w:style>
  <w:style w:type="paragraph" w:styleId="ListContinue3">
    <w:name w:val="List Continue 3"/>
    <w:basedOn w:val="List3"/>
    <w:rsid w:val="00471EC2"/>
    <w:pPr>
      <w:ind w:left="1021" w:firstLine="0"/>
    </w:pPr>
  </w:style>
  <w:style w:type="paragraph" w:styleId="ListContinue4">
    <w:name w:val="List Continue 4"/>
    <w:basedOn w:val="List4"/>
    <w:rsid w:val="00471EC2"/>
    <w:pPr>
      <w:ind w:firstLine="0"/>
    </w:pPr>
  </w:style>
  <w:style w:type="paragraph" w:styleId="ListContinue5">
    <w:name w:val="List Continue 5"/>
    <w:basedOn w:val="List5"/>
    <w:rsid w:val="00471EC2"/>
    <w:pPr>
      <w:ind w:firstLine="0"/>
    </w:pPr>
  </w:style>
  <w:style w:type="paragraph" w:styleId="ListNumber3">
    <w:name w:val="List Number 3"/>
    <w:basedOn w:val="List3"/>
    <w:rsid w:val="00471EC2"/>
    <w:pPr>
      <w:numPr>
        <w:numId w:val="5"/>
      </w:numPr>
    </w:pPr>
  </w:style>
  <w:style w:type="paragraph" w:styleId="ListNumber4">
    <w:name w:val="List Number 4"/>
    <w:basedOn w:val="List4"/>
    <w:rsid w:val="00471EC2"/>
    <w:pPr>
      <w:numPr>
        <w:numId w:val="6"/>
      </w:numPr>
    </w:pPr>
  </w:style>
  <w:style w:type="paragraph" w:styleId="ListNumber5">
    <w:name w:val="List Number 5"/>
    <w:basedOn w:val="List5"/>
    <w:rsid w:val="00471EC2"/>
    <w:pPr>
      <w:numPr>
        <w:numId w:val="7"/>
      </w:numPr>
    </w:pPr>
  </w:style>
  <w:style w:type="paragraph" w:styleId="BlockText">
    <w:name w:val="Block Text"/>
    <w:basedOn w:val="Normal"/>
    <w:rsid w:val="00471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EC2"/>
    <w:rPr>
      <w:sz w:val="16"/>
      <w:vertAlign w:val="superscript"/>
    </w:rPr>
  </w:style>
  <w:style w:type="character" w:customStyle="1" w:styleId="Symbols">
    <w:name w:val="Symbols"/>
    <w:basedOn w:val="DefaultParagraphFont"/>
    <w:rsid w:val="00471EC2"/>
    <w:rPr>
      <w:rFonts w:ascii="Symbol" w:hAnsi="Symbol"/>
    </w:rPr>
  </w:style>
  <w:style w:type="character" w:customStyle="1" w:styleId="MenuOptions">
    <w:name w:val="Menu Options"/>
    <w:basedOn w:val="DefaultParagraphFont"/>
    <w:rsid w:val="00471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EC2"/>
    <w:rPr>
      <w:b/>
    </w:rPr>
  </w:style>
  <w:style w:type="character" w:customStyle="1" w:styleId="Underlined">
    <w:name w:val="Underlined"/>
    <w:basedOn w:val="DefaultParagraphFont"/>
    <w:rsid w:val="00471EC2"/>
    <w:rPr>
      <w:u w:val="single"/>
    </w:rPr>
  </w:style>
  <w:style w:type="paragraph" w:customStyle="1" w:styleId="TableBodyTextRight">
    <w:name w:val="Table Body Text Right"/>
    <w:basedOn w:val="TableBodyText"/>
    <w:rsid w:val="00471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EC2"/>
    <w:rPr>
      <w:sz w:val="18"/>
    </w:rPr>
  </w:style>
  <w:style w:type="paragraph" w:customStyle="1" w:styleId="BodySmallRight">
    <w:name w:val="Body Small Right"/>
    <w:basedOn w:val="BodyTextRight"/>
    <w:rsid w:val="00471EC2"/>
    <w:rPr>
      <w:sz w:val="18"/>
      <w:szCs w:val="18"/>
    </w:rPr>
  </w:style>
  <w:style w:type="paragraph" w:customStyle="1" w:styleId="MarginEdition">
    <w:name w:val="Margin Edition"/>
    <w:basedOn w:val="MarginNote"/>
    <w:rsid w:val="00471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EC2"/>
    <w:rPr>
      <w:sz w:val="2"/>
      <w:szCs w:val="2"/>
    </w:rPr>
  </w:style>
  <w:style w:type="character" w:customStyle="1" w:styleId="Small">
    <w:name w:val="Small"/>
    <w:basedOn w:val="DefaultParagraphFont"/>
    <w:rsid w:val="00471EC2"/>
    <w:rPr>
      <w:sz w:val="16"/>
    </w:rPr>
  </w:style>
  <w:style w:type="paragraph" w:customStyle="1" w:styleId="WideTable">
    <w:name w:val="Wide Table"/>
    <w:basedOn w:val="Normal"/>
    <w:rsid w:val="00471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EC2"/>
  </w:style>
  <w:style w:type="paragraph" w:styleId="Quote">
    <w:name w:val="Quote"/>
    <w:basedOn w:val="Heading1"/>
    <w:link w:val="QuoteChar"/>
    <w:qFormat/>
    <w:rsid w:val="00471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EC2"/>
    <w:pPr>
      <w:pageBreakBefore/>
    </w:pPr>
  </w:style>
  <w:style w:type="paragraph" w:customStyle="1" w:styleId="Border">
    <w:name w:val="Border"/>
    <w:basedOn w:val="Normal"/>
    <w:qFormat/>
    <w:rsid w:val="00471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EC2"/>
    <w:rPr>
      <w:u w:val="single"/>
    </w:rPr>
  </w:style>
  <w:style w:type="character" w:customStyle="1" w:styleId="BoldandItalics">
    <w:name w:val="Bold and Italics"/>
    <w:qFormat/>
    <w:rsid w:val="00471EC2"/>
    <w:rPr>
      <w:b/>
      <w:i/>
      <w:u w:val="none"/>
    </w:rPr>
  </w:style>
  <w:style w:type="paragraph" w:styleId="BalloonText">
    <w:name w:val="Balloon Text"/>
    <w:basedOn w:val="Normal"/>
    <w:link w:val="BalloonTextChar"/>
    <w:rsid w:val="00471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EC2"/>
    <w:pPr>
      <w:spacing w:before="0" w:after="0"/>
    </w:pPr>
  </w:style>
  <w:style w:type="paragraph" w:customStyle="1" w:styleId="BodyTextBold">
    <w:name w:val="Body Text Bold"/>
    <w:basedOn w:val="BodyText"/>
    <w:qFormat/>
    <w:rsid w:val="00471EC2"/>
    <w:rPr>
      <w:b/>
    </w:rPr>
  </w:style>
  <w:style w:type="character" w:styleId="Hyperlink">
    <w:name w:val="Hyperlink"/>
    <w:basedOn w:val="DefaultParagraphFont"/>
    <w:uiPriority w:val="99"/>
    <w:unhideWhenUsed/>
    <w:rsid w:val="008A2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3244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MSTGN5009 Develop and test TCF products or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2021-07-21T08:21:00Z</dcterms:created>
  <dcterms:modified xsi:type="dcterms:W3CDTF">2021-07-21T08:21:00Z</dcterms:modified>
</cp:coreProperties>
</file>