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D08" w:rsidP="002E0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MSTGN5007 Prepare procedures and specifications for TCF operations</w:t>
      </w:r>
      <w:r>
        <w:fldChar w:fldCharType="end"/>
      </w:r>
    </w:p>
    <w:p w:rsidR="002E0D08" w:rsidP="002E0D08">
      <w:pPr>
        <w:pStyle w:val="Version"/>
        <w:sectPr w:rsidSect="00763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D0C" w:rsidP="00763D0C">
      <w:pPr>
        <w:pStyle w:val="SuperHeading"/>
      </w:pPr>
      <w:r w:rsidRPr="00763D0C">
        <w:t>Assessment Requirements for MSTGN5007 Prepare procedures and specifications for TCF operations</w:t>
      </w:r>
    </w:p>
    <w:p w:rsidR="00000000" w:rsidRPr="00763D0C" w:rsidP="00763D0C">
      <w:pPr>
        <w:pStyle w:val="Heading1"/>
      </w:pPr>
      <w:bookmarkStart w:id="1" w:name="O_931834"/>
      <w:bookmarkEnd w:id="1"/>
      <w:r w:rsidRPr="00763D0C">
        <w:t>Modification History</w:t>
      </w:r>
    </w:p>
    <w:p w:rsidR="00000000" w:rsidRPr="00763D0C" w:rsidP="002E0D08">
      <w:pPr>
        <w:pStyle w:val="BodyText"/>
      </w:pPr>
      <w:r w:rsidRPr="00763D0C">
        <w:t>Release 1. Supersedes and is equivalent to LMTGN</w:t>
      </w:r>
      <w:r w:rsidRPr="00763D0C">
        <w:t>5007A Prepare procedures and specifications for textiles, clothing and footwear operations</w:t>
      </w:r>
    </w:p>
    <w:p w:rsidR="00000000" w:rsidRPr="00763D0C" w:rsidP="00763D0C">
      <w:pPr>
        <w:pStyle w:val="Heading1"/>
      </w:pPr>
      <w:bookmarkStart w:id="2" w:name="O_931837"/>
      <w:bookmarkEnd w:id="2"/>
      <w:r w:rsidRPr="00763D0C">
        <w:t>Performance Evidence</w:t>
      </w:r>
    </w:p>
    <w:p w:rsidR="00000000" w:rsidRPr="00763D0C" w:rsidP="002E0D08">
      <w:pPr>
        <w:pStyle w:val="BodyText"/>
      </w:pPr>
      <w:r w:rsidRPr="00763D0C">
        <w:t>Evidence required to demonstrate competence in this unit must be relevant to and satisfy the requirements of the elements and p</w:t>
      </w:r>
      <w:r w:rsidRPr="00763D0C">
        <w:t>erformance criteria, and include:</w:t>
      </w:r>
    </w:p>
    <w:p w:rsidR="00000000" w:rsidRPr="00763D0C" w:rsidP="00763D0C">
      <w:pPr>
        <w:pStyle w:val="ListBullet"/>
      </w:pPr>
      <w:r w:rsidRPr="00763D0C">
        <w:t xml:space="preserve">reading and following work instructions, standard operating procedures (SOPs), safe work practices </w:t>
      </w:r>
    </w:p>
    <w:p w:rsidR="00000000" w:rsidRPr="00763D0C" w:rsidP="00763D0C">
      <w:pPr>
        <w:pStyle w:val="ListBullet"/>
      </w:pPr>
      <w:r w:rsidRPr="00763D0C">
        <w:t>applying relevant standards</w:t>
      </w:r>
    </w:p>
    <w:p w:rsidR="00000000" w:rsidRPr="00763D0C" w:rsidP="00763D0C">
      <w:pPr>
        <w:pStyle w:val="ListBullet"/>
      </w:pPr>
      <w:r w:rsidRPr="00763D0C">
        <w:t>assembling information and specification requirements</w:t>
      </w:r>
    </w:p>
    <w:p w:rsidR="00000000" w:rsidRPr="00763D0C" w:rsidP="00763D0C">
      <w:pPr>
        <w:pStyle w:val="ListBullet"/>
      </w:pPr>
      <w:r w:rsidRPr="00763D0C">
        <w:t xml:space="preserve">interpreting and analysing information </w:t>
      </w:r>
      <w:r w:rsidRPr="00763D0C">
        <w:t>for use in procedures or manuals</w:t>
      </w:r>
    </w:p>
    <w:p w:rsidR="00000000" w:rsidRPr="00763D0C" w:rsidP="00763D0C">
      <w:pPr>
        <w:pStyle w:val="ListBullet"/>
      </w:pPr>
      <w:r w:rsidRPr="00763D0C">
        <w:t>writing procedures and specifications with respect to customer or workplace needs on at least two (2) occasions</w:t>
      </w:r>
    </w:p>
    <w:p w:rsidR="00000000" w:rsidRPr="00763D0C" w:rsidP="00763D0C">
      <w:pPr>
        <w:pStyle w:val="ListBullet"/>
      </w:pPr>
      <w:r w:rsidRPr="00763D0C">
        <w:t>confirming accuracy and appropriateness of prepared procedures or manuals</w:t>
      </w:r>
    </w:p>
    <w:p w:rsidR="00000000" w:rsidRPr="00763D0C" w:rsidP="00763D0C">
      <w:pPr>
        <w:pStyle w:val="ListBullet"/>
      </w:pPr>
      <w:r w:rsidRPr="00763D0C">
        <w:t>ensuring work health and safety (WHS)</w:t>
      </w:r>
      <w:r w:rsidRPr="00763D0C">
        <w:t xml:space="preserve"> policies and statutory regulations are appropriately addressed in procedures or manuals</w:t>
      </w:r>
    </w:p>
    <w:p w:rsidR="00000000" w:rsidRPr="00763D0C" w:rsidP="00763D0C">
      <w:pPr>
        <w:pStyle w:val="ListBullet"/>
      </w:pPr>
      <w:r w:rsidRPr="00763D0C">
        <w:t>delegating responsibility for maintaining document accuracy</w:t>
      </w:r>
    </w:p>
    <w:p w:rsidR="00000000" w:rsidRPr="00763D0C" w:rsidP="00763D0C">
      <w:pPr>
        <w:pStyle w:val="ListBullet"/>
      </w:pPr>
      <w:r w:rsidRPr="00763D0C">
        <w:t>reviewing effectiveness of procedures and specifications against standards</w:t>
      </w:r>
    </w:p>
    <w:p w:rsidR="00000000" w:rsidRPr="00763D0C" w:rsidP="00763D0C">
      <w:pPr>
        <w:pStyle w:val="ListBullet"/>
      </w:pPr>
      <w:r w:rsidRPr="00763D0C">
        <w:t>presenting reports on production</w:t>
      </w:r>
      <w:r w:rsidRPr="00763D0C">
        <w:t xml:space="preserve"> performance and developments to management, as required</w:t>
      </w:r>
    </w:p>
    <w:p w:rsidR="00000000" w:rsidRPr="00763D0C" w:rsidP="00763D0C">
      <w:pPr>
        <w:pStyle w:val="ListBullet"/>
      </w:pPr>
      <w:r w:rsidRPr="00763D0C">
        <w:t>maintaining accurate records.</w:t>
      </w:r>
    </w:p>
    <w:p w:rsidR="00000000" w:rsidRPr="00763D0C" w:rsidP="00763D0C">
      <w:pPr>
        <w:pStyle w:val="AllowPageBreak"/>
      </w:pPr>
    </w:p>
    <w:p w:rsidR="00000000" w:rsidRPr="00763D0C" w:rsidP="00763D0C">
      <w:pPr>
        <w:pStyle w:val="Heading1"/>
      </w:pPr>
      <w:bookmarkStart w:id="3" w:name="O_931836"/>
      <w:bookmarkEnd w:id="3"/>
      <w:r w:rsidRPr="00763D0C">
        <w:t>Knowledge Evidence</w:t>
      </w:r>
    </w:p>
    <w:p w:rsidR="00000000" w:rsidRPr="00763D0C" w:rsidP="002E0D08">
      <w:pPr>
        <w:pStyle w:val="BodyText"/>
      </w:pPr>
      <w:r w:rsidRPr="00763D0C">
        <w:t>Evidence must be provided that demonstrates knowledge of:</w:t>
      </w:r>
    </w:p>
    <w:p w:rsidR="00000000" w:rsidRPr="00763D0C" w:rsidP="00763D0C">
      <w:pPr>
        <w:pStyle w:val="ListBullet"/>
      </w:pPr>
      <w:r w:rsidRPr="00763D0C">
        <w:t>safe work practices and procedures and use of personal protective equipmen</w:t>
      </w:r>
      <w:r w:rsidRPr="00763D0C">
        <w:t>t (PPE)</w:t>
      </w:r>
    </w:p>
    <w:p w:rsidR="00000000" w:rsidRPr="00763D0C" w:rsidP="00763D0C">
      <w:pPr>
        <w:pStyle w:val="ListBullet"/>
      </w:pPr>
      <w:r w:rsidRPr="00763D0C">
        <w:t>relevant Australian Standards</w:t>
      </w:r>
    </w:p>
    <w:p w:rsidR="00000000" w:rsidRPr="00763D0C" w:rsidP="00763D0C">
      <w:pPr>
        <w:pStyle w:val="ListBullet"/>
      </w:pPr>
      <w:r w:rsidRPr="00763D0C">
        <w:t>specific TCF production operations, technology and skills</w:t>
      </w:r>
    </w:p>
    <w:p w:rsidR="00000000" w:rsidRPr="00763D0C" w:rsidP="00763D0C">
      <w:pPr>
        <w:pStyle w:val="ListBullet"/>
      </w:pPr>
      <w:r w:rsidRPr="00763D0C">
        <w:t>enterprise systems and requirements</w:t>
      </w:r>
    </w:p>
    <w:p w:rsidR="00000000" w:rsidRPr="00763D0C" w:rsidP="00763D0C">
      <w:pPr>
        <w:pStyle w:val="ListBullet"/>
      </w:pPr>
      <w:r w:rsidRPr="00763D0C">
        <w:t>industry standards, regulations and terminology</w:t>
      </w:r>
    </w:p>
    <w:p w:rsidR="00000000" w:rsidRPr="00763D0C" w:rsidP="00763D0C">
      <w:pPr>
        <w:pStyle w:val="ListBullet"/>
      </w:pPr>
      <w:r w:rsidRPr="00763D0C">
        <w:t>WHS and environmental aspects of production processes</w:t>
      </w:r>
    </w:p>
    <w:p w:rsidR="00000000" w:rsidRPr="00763D0C" w:rsidP="00763D0C">
      <w:pPr>
        <w:pStyle w:val="ListBullet"/>
      </w:pPr>
      <w:r w:rsidRPr="00763D0C">
        <w:t>standards for job instructions, specifications, SOPs, patterns, charts and tickets</w:t>
      </w:r>
    </w:p>
    <w:p w:rsidR="00000000" w:rsidRPr="00763D0C" w:rsidP="00763D0C">
      <w:pPr>
        <w:pStyle w:val="ListBullet"/>
      </w:pPr>
      <w:r w:rsidRPr="00763D0C">
        <w:t>order forms and other applicable reference material</w:t>
      </w:r>
    </w:p>
    <w:p w:rsidR="00000000" w:rsidRPr="00763D0C" w:rsidP="00763D0C">
      <w:pPr>
        <w:pStyle w:val="ListBullet"/>
      </w:pPr>
      <w:r w:rsidRPr="00763D0C">
        <w:t>workplace policies/procedures and reporting processes</w:t>
      </w:r>
    </w:p>
    <w:p w:rsidR="00000000" w:rsidRPr="00763D0C" w:rsidP="00763D0C">
      <w:pPr>
        <w:pStyle w:val="ListBullet"/>
      </w:pPr>
      <w:r w:rsidRPr="00763D0C">
        <w:t>relevant WHS legislation and codes of practice</w:t>
      </w:r>
    </w:p>
    <w:p w:rsidR="00000000" w:rsidRPr="00763D0C" w:rsidP="00763D0C">
      <w:pPr>
        <w:pStyle w:val="ListBullet"/>
      </w:pPr>
      <w:r w:rsidRPr="00763D0C">
        <w:t>reporting or recordi</w:t>
      </w:r>
      <w:r w:rsidRPr="00763D0C">
        <w:t>ng processes</w:t>
      </w:r>
    </w:p>
    <w:p w:rsidR="00000000" w:rsidRPr="00763D0C" w:rsidP="00763D0C">
      <w:pPr>
        <w:pStyle w:val="ListBullet"/>
      </w:pPr>
      <w:r w:rsidRPr="00763D0C">
        <w:t>relevant regulatory requirements and codes of practice</w:t>
      </w:r>
    </w:p>
    <w:p w:rsidR="00000000" w:rsidRPr="00763D0C" w:rsidP="00763D0C">
      <w:pPr>
        <w:pStyle w:val="ListBullet"/>
      </w:pPr>
      <w:r w:rsidRPr="00763D0C">
        <w:t>hazard identification and control measures associated with preparing procedures and specifications.</w:t>
      </w:r>
    </w:p>
    <w:p w:rsidR="00000000" w:rsidRPr="00763D0C" w:rsidP="00763D0C">
      <w:pPr>
        <w:pStyle w:val="AllowPageBreak"/>
      </w:pPr>
    </w:p>
    <w:p w:rsidR="00000000" w:rsidRPr="00763D0C" w:rsidP="00763D0C">
      <w:pPr>
        <w:pStyle w:val="Heading1"/>
      </w:pPr>
      <w:bookmarkStart w:id="4" w:name="O_931835"/>
      <w:bookmarkEnd w:id="4"/>
      <w:r w:rsidRPr="00763D0C">
        <w:t>Assessment Conditions</w:t>
      </w:r>
    </w:p>
    <w:p w:rsidR="00000000" w:rsidRPr="00763D0C" w:rsidP="00763D0C">
      <w:pPr>
        <w:pStyle w:val="ListBullet"/>
      </w:pPr>
      <w:r w:rsidRPr="00763D0C">
        <w:t>Assessors must:</w:t>
      </w:r>
    </w:p>
    <w:p w:rsidR="00000000" w:rsidRPr="00763D0C" w:rsidP="00763D0C">
      <w:pPr>
        <w:pStyle w:val="ListBullet2"/>
      </w:pPr>
      <w:r w:rsidRPr="00763D0C">
        <w:t>satisfy the assessor competency</w:t>
      </w:r>
      <w:r w:rsidRPr="00763D0C">
        <w:t xml:space="preserve"> requirements that are in place at the time of the assessment, as set by the VET regulator</w:t>
      </w:r>
    </w:p>
    <w:p w:rsidR="00000000" w:rsidRPr="00763D0C" w:rsidP="00763D0C">
      <w:pPr>
        <w:pStyle w:val="ListBullet2"/>
      </w:pPr>
      <w:r w:rsidRPr="00763D0C">
        <w:t>have vocational competency in preparing procedures and specifications for t</w:t>
      </w:r>
      <w:r w:rsidRPr="00763D0C">
        <w:t>extiles, clothing and footwear operations, at least to the level being assessed, with relevant industry knowledge and experience.</w:t>
      </w:r>
    </w:p>
    <w:p w:rsidR="00000000" w:rsidRPr="00763D0C" w:rsidP="00763D0C">
      <w:pPr>
        <w:pStyle w:val="ListBullet"/>
      </w:pPr>
      <w:r w:rsidRPr="00763D0C">
        <w:t>Assessment should occur in operational workplace situations. Where this is not possible, or where personal safety or environm</w:t>
      </w:r>
      <w:r w:rsidRPr="00763D0C">
        <w:t xml:space="preserve">ental damage are limiting factors, assessment must occur in a sufficiently rigorous simulated environment reflecting realistic operational workplace conditions. This must cover all aspects of workplace performance, including environment, task skills, task </w:t>
      </w:r>
      <w:r w:rsidRPr="00763D0C">
        <w:t>management skills, contingency management skills and job role environment skills.</w:t>
      </w:r>
    </w:p>
    <w:p w:rsidR="00000000" w:rsidRPr="00763D0C" w:rsidP="00763D0C">
      <w:pPr>
        <w:pStyle w:val="ListBullet"/>
      </w:pPr>
      <w:r w:rsidRPr="00763D0C">
        <w:t>Assessment processes and techniques must be appropriate to the language, literacy and numeracy requirements of the work being performed and the needs of the candidate.</w:t>
      </w:r>
    </w:p>
    <w:p w:rsidR="00000000" w:rsidRPr="00763D0C" w:rsidP="00763D0C">
      <w:pPr>
        <w:pStyle w:val="ListBullet"/>
      </w:pPr>
      <w:r w:rsidRPr="00763D0C">
        <w:t>Condit</w:t>
      </w:r>
      <w:r w:rsidRPr="00763D0C">
        <w:t>ions for assessment must include access to all tools, equipment, materials and documentation required including relevant workplace procedures, product and manufacturing specifications associated with this unit.</w:t>
      </w:r>
    </w:p>
    <w:p w:rsidR="00000000" w:rsidRPr="00763D0C" w:rsidP="00763D0C">
      <w:pPr>
        <w:pStyle w:val="ListBullet"/>
      </w:pPr>
      <w:r w:rsidRPr="00763D0C">
        <w:t>The unit is applicable to all TCF sectors and</w:t>
      </w:r>
      <w:r w:rsidRPr="00763D0C">
        <w:t xml:space="preserve"> assessment must ensure it is delivered to suit the industry it is being applied to.</w:t>
      </w:r>
    </w:p>
    <w:p w:rsidR="00000000" w:rsidRPr="00763D0C" w:rsidP="00763D0C">
      <w:pPr>
        <w:pStyle w:val="AllowPageBreak"/>
      </w:pPr>
    </w:p>
    <w:p w:rsidR="00000000" w:rsidRPr="00763D0C" w:rsidP="00763D0C">
      <w:pPr>
        <w:pStyle w:val="Heading1"/>
      </w:pPr>
      <w:bookmarkStart w:id="5" w:name="O_931833"/>
      <w:bookmarkEnd w:id="5"/>
      <w:r w:rsidRPr="00763D0C">
        <w:t>Links</w:t>
      </w:r>
    </w:p>
    <w:p w:rsidR="00000000" w:rsidRPr="00763D0C" w:rsidP="002E0D08">
      <w:pPr>
        <w:pStyle w:val="BodyText"/>
      </w:pPr>
      <w:r w:rsidRPr="00763D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F03E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63D0C" w:rsidP="00763D0C"/>
    <w:sectPr w:rsidSect="00763D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0C" w:rsidRPr="002E0D08" w:rsidP="002E0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08" w:rsidP="00763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0D08" w:rsidP="00763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0D08" w:rsidP="00763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D0C" w:rsidRPr="002E0D08" w:rsidP="002E0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08" w:rsidRPr="002D2AF8" w:rsidP="00763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MSTGN5007 Prepare procedures and specifications for TCF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E0D08" w:rsidP="00763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A82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729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2CD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D0C"/>
  </w:style>
  <w:style w:type="character" w:customStyle="1" w:styleId="Heading1Char">
    <w:name w:val="Heading 1 Char"/>
    <w:basedOn w:val="DefaultParagraphFont"/>
    <w:link w:val="Heading1"/>
    <w:rsid w:val="00763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D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3D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3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D0C"/>
    <w:rPr>
      <w:b/>
      <w:spacing w:val="0"/>
    </w:rPr>
  </w:style>
  <w:style w:type="paragraph" w:customStyle="1" w:styleId="SuperTitle">
    <w:name w:val="SuperTitle"/>
    <w:basedOn w:val="Title"/>
    <w:rsid w:val="00763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D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D0C"/>
    <w:rPr>
      <w:i/>
    </w:rPr>
  </w:style>
  <w:style w:type="paragraph" w:styleId="Caption">
    <w:name w:val="caption"/>
    <w:basedOn w:val="BodyText"/>
    <w:next w:val="Normal"/>
    <w:qFormat/>
    <w:rsid w:val="00763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D0C"/>
  </w:style>
  <w:style w:type="paragraph" w:styleId="TableofFigures">
    <w:name w:val="table of figures"/>
    <w:basedOn w:val="Normal"/>
    <w:next w:val="Normal"/>
    <w:semiHidden/>
    <w:rsid w:val="00763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D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3D0C"/>
    <w:rPr>
      <w:rFonts w:ascii="Wingdings" w:hAnsi="Wingdings"/>
    </w:rPr>
  </w:style>
  <w:style w:type="paragraph" w:customStyle="1" w:styleId="TableHeading">
    <w:name w:val="Table Heading"/>
    <w:basedOn w:val="HeadingBase"/>
    <w:rsid w:val="00763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D0C"/>
    <w:rPr>
      <w:color w:val="0033CC"/>
      <w:u w:val="none"/>
    </w:rPr>
  </w:style>
  <w:style w:type="paragraph" w:customStyle="1" w:styleId="BodyTextRight">
    <w:name w:val="Body Text Right"/>
    <w:basedOn w:val="BodyText"/>
    <w:rsid w:val="00763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D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D0C"/>
    <w:rPr>
      <w:sz w:val="32"/>
    </w:rPr>
  </w:style>
  <w:style w:type="paragraph" w:customStyle="1" w:styleId="HeadingProcedure">
    <w:name w:val="Heading Procedure"/>
    <w:basedOn w:val="HeadingBase"/>
    <w:next w:val="Normal"/>
    <w:rsid w:val="00763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D0C"/>
    <w:pPr>
      <w:spacing w:before="60" w:after="60"/>
    </w:pPr>
  </w:style>
  <w:style w:type="paragraph" w:styleId="ListContinue">
    <w:name w:val="List Continue"/>
    <w:basedOn w:val="List"/>
    <w:rsid w:val="00763D0C"/>
    <w:pPr>
      <w:ind w:firstLine="0"/>
    </w:pPr>
  </w:style>
  <w:style w:type="paragraph" w:customStyle="1" w:styleId="ListNote">
    <w:name w:val="List Note"/>
    <w:basedOn w:val="List"/>
    <w:rsid w:val="00763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D0C"/>
    <w:rPr>
      <w:rFonts w:ascii="Courier New" w:hAnsi="Courier New"/>
    </w:rPr>
  </w:style>
  <w:style w:type="paragraph" w:customStyle="1" w:styleId="NoteBullet">
    <w:name w:val="Note Bullet"/>
    <w:basedOn w:val="Note"/>
    <w:rsid w:val="00763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D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3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D0C"/>
    <w:rPr>
      <w:b/>
      <w:smallCaps/>
    </w:rPr>
  </w:style>
  <w:style w:type="paragraph" w:customStyle="1" w:styleId="TableListNumber">
    <w:name w:val="Table List Number"/>
    <w:basedOn w:val="ListNumber"/>
    <w:rsid w:val="00763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D0C"/>
    <w:pPr>
      <w:numPr>
        <w:numId w:val="9"/>
      </w:numPr>
    </w:pPr>
  </w:style>
  <w:style w:type="paragraph" w:customStyle="1" w:styleId="ListAlpha2">
    <w:name w:val="List Alpha 2"/>
    <w:basedOn w:val="List2"/>
    <w:rsid w:val="00763D0C"/>
    <w:pPr>
      <w:numPr>
        <w:numId w:val="8"/>
      </w:numPr>
    </w:pPr>
  </w:style>
  <w:style w:type="paragraph" w:styleId="List2">
    <w:name w:val="List 2"/>
    <w:basedOn w:val="BodyText"/>
    <w:rsid w:val="00763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D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D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D0C"/>
    <w:pPr>
      <w:numPr>
        <w:numId w:val="4"/>
      </w:numPr>
    </w:pPr>
  </w:style>
  <w:style w:type="paragraph" w:styleId="ListContinue2">
    <w:name w:val="List Continue 2"/>
    <w:basedOn w:val="List2"/>
    <w:rsid w:val="00763D0C"/>
    <w:pPr>
      <w:ind w:firstLine="0"/>
    </w:pPr>
  </w:style>
  <w:style w:type="paragraph" w:styleId="ListContinue3">
    <w:name w:val="List Continue 3"/>
    <w:basedOn w:val="List3"/>
    <w:rsid w:val="00763D0C"/>
    <w:pPr>
      <w:ind w:left="1021" w:firstLine="0"/>
    </w:pPr>
  </w:style>
  <w:style w:type="paragraph" w:styleId="ListContinue4">
    <w:name w:val="List Continue 4"/>
    <w:basedOn w:val="List4"/>
    <w:rsid w:val="00763D0C"/>
    <w:pPr>
      <w:ind w:firstLine="0"/>
    </w:pPr>
  </w:style>
  <w:style w:type="paragraph" w:styleId="ListContinue5">
    <w:name w:val="List Continue 5"/>
    <w:basedOn w:val="List5"/>
    <w:rsid w:val="00763D0C"/>
    <w:pPr>
      <w:ind w:firstLine="0"/>
    </w:pPr>
  </w:style>
  <w:style w:type="paragraph" w:styleId="ListNumber3">
    <w:name w:val="List Number 3"/>
    <w:basedOn w:val="List3"/>
    <w:rsid w:val="00763D0C"/>
    <w:pPr>
      <w:numPr>
        <w:numId w:val="5"/>
      </w:numPr>
    </w:pPr>
  </w:style>
  <w:style w:type="paragraph" w:styleId="ListNumber4">
    <w:name w:val="List Number 4"/>
    <w:basedOn w:val="List4"/>
    <w:rsid w:val="00763D0C"/>
    <w:pPr>
      <w:numPr>
        <w:numId w:val="6"/>
      </w:numPr>
    </w:pPr>
  </w:style>
  <w:style w:type="paragraph" w:styleId="ListNumber5">
    <w:name w:val="List Number 5"/>
    <w:basedOn w:val="List5"/>
    <w:rsid w:val="00763D0C"/>
    <w:pPr>
      <w:numPr>
        <w:numId w:val="7"/>
      </w:numPr>
    </w:pPr>
  </w:style>
  <w:style w:type="paragraph" w:styleId="BlockText">
    <w:name w:val="Block Text"/>
    <w:basedOn w:val="Normal"/>
    <w:rsid w:val="00763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D0C"/>
    <w:rPr>
      <w:sz w:val="16"/>
      <w:vertAlign w:val="superscript"/>
    </w:rPr>
  </w:style>
  <w:style w:type="character" w:customStyle="1" w:styleId="Symbols">
    <w:name w:val="Symbols"/>
    <w:basedOn w:val="DefaultParagraphFont"/>
    <w:rsid w:val="00763D0C"/>
    <w:rPr>
      <w:rFonts w:ascii="Symbol" w:hAnsi="Symbol"/>
    </w:rPr>
  </w:style>
  <w:style w:type="character" w:customStyle="1" w:styleId="MenuOptions">
    <w:name w:val="Menu Options"/>
    <w:basedOn w:val="DefaultParagraphFont"/>
    <w:rsid w:val="00763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D0C"/>
    <w:rPr>
      <w:b/>
    </w:rPr>
  </w:style>
  <w:style w:type="character" w:customStyle="1" w:styleId="Underlined">
    <w:name w:val="Underlined"/>
    <w:basedOn w:val="DefaultParagraphFont"/>
    <w:rsid w:val="00763D0C"/>
    <w:rPr>
      <w:u w:val="single"/>
    </w:rPr>
  </w:style>
  <w:style w:type="paragraph" w:customStyle="1" w:styleId="TableBodyTextRight">
    <w:name w:val="Table Body Text Right"/>
    <w:basedOn w:val="TableBodyText"/>
    <w:rsid w:val="00763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D0C"/>
    <w:rPr>
      <w:sz w:val="18"/>
    </w:rPr>
  </w:style>
  <w:style w:type="paragraph" w:customStyle="1" w:styleId="BodySmallRight">
    <w:name w:val="Body Small Right"/>
    <w:basedOn w:val="BodyTextRight"/>
    <w:rsid w:val="00763D0C"/>
    <w:rPr>
      <w:sz w:val="18"/>
      <w:szCs w:val="18"/>
    </w:rPr>
  </w:style>
  <w:style w:type="paragraph" w:customStyle="1" w:styleId="MarginEdition">
    <w:name w:val="Margin Edition"/>
    <w:basedOn w:val="MarginNote"/>
    <w:rsid w:val="00763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D0C"/>
    <w:rPr>
      <w:sz w:val="2"/>
      <w:szCs w:val="2"/>
    </w:rPr>
  </w:style>
  <w:style w:type="character" w:customStyle="1" w:styleId="Small">
    <w:name w:val="Small"/>
    <w:basedOn w:val="DefaultParagraphFont"/>
    <w:rsid w:val="00763D0C"/>
    <w:rPr>
      <w:sz w:val="16"/>
    </w:rPr>
  </w:style>
  <w:style w:type="paragraph" w:customStyle="1" w:styleId="WideTable">
    <w:name w:val="Wide Table"/>
    <w:basedOn w:val="Normal"/>
    <w:rsid w:val="00763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D0C"/>
  </w:style>
  <w:style w:type="paragraph" w:styleId="Quote">
    <w:name w:val="Quote"/>
    <w:basedOn w:val="Heading1"/>
    <w:link w:val="QuoteChar"/>
    <w:qFormat/>
    <w:rsid w:val="00763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D0C"/>
    <w:pPr>
      <w:pageBreakBefore/>
    </w:pPr>
  </w:style>
  <w:style w:type="paragraph" w:customStyle="1" w:styleId="Border">
    <w:name w:val="Border"/>
    <w:basedOn w:val="Normal"/>
    <w:qFormat/>
    <w:rsid w:val="00763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D0C"/>
    <w:rPr>
      <w:u w:val="single"/>
    </w:rPr>
  </w:style>
  <w:style w:type="character" w:customStyle="1" w:styleId="BoldandItalics">
    <w:name w:val="Bold and Italics"/>
    <w:qFormat/>
    <w:rsid w:val="00763D0C"/>
    <w:rPr>
      <w:b/>
      <w:i/>
      <w:u w:val="none"/>
    </w:rPr>
  </w:style>
  <w:style w:type="paragraph" w:styleId="BalloonText">
    <w:name w:val="Balloon Text"/>
    <w:basedOn w:val="Normal"/>
    <w:link w:val="BalloonTextChar"/>
    <w:rsid w:val="00763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D0C"/>
    <w:pPr>
      <w:spacing w:before="0" w:after="0"/>
    </w:pPr>
  </w:style>
  <w:style w:type="paragraph" w:customStyle="1" w:styleId="BodyTextBold">
    <w:name w:val="Body Text Bold"/>
    <w:basedOn w:val="BodyText"/>
    <w:qFormat/>
    <w:rsid w:val="00763D0C"/>
    <w:rPr>
      <w:b/>
    </w:rPr>
  </w:style>
  <w:style w:type="character" w:styleId="Hyperlink">
    <w:name w:val="Hyperlink"/>
    <w:basedOn w:val="DefaultParagraphFont"/>
    <w:uiPriority w:val="99"/>
    <w:unhideWhenUsed/>
    <w:rsid w:val="002E0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3356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MSTGN5007 Prepare procedures and specifications for TCF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2021-07-21T08:29:00Z</dcterms:created>
  <dcterms:modified xsi:type="dcterms:W3CDTF">2021-07-21T08:29:00Z</dcterms:modified>
</cp:coreProperties>
</file>