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6F3" w:rsidP="00420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MSTGN5006 Plan and organise non-routine testing</w:t>
      </w:r>
      <w:r>
        <w:fldChar w:fldCharType="end"/>
      </w:r>
    </w:p>
    <w:p w:rsidR="004206F3" w:rsidP="004206F3">
      <w:pPr>
        <w:pStyle w:val="Version"/>
        <w:sectPr w:rsidSect="007F74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4AD" w:rsidP="007F74AD">
      <w:pPr>
        <w:pStyle w:val="SuperHeading"/>
      </w:pPr>
      <w:r w:rsidRPr="007F74AD">
        <w:t>MSTGN5006 Plan and organise non-routine testing</w:t>
      </w:r>
    </w:p>
    <w:p w:rsidR="00000000" w:rsidRPr="007F74AD" w:rsidP="007F74AD">
      <w:pPr>
        <w:pStyle w:val="Heading1"/>
      </w:pPr>
      <w:bookmarkStart w:id="1" w:name="O_931819"/>
      <w:bookmarkEnd w:id="1"/>
      <w:r w:rsidRPr="007F74AD">
        <w:t>Modification History</w:t>
      </w:r>
    </w:p>
    <w:p w:rsidR="00000000" w:rsidRPr="007F74AD" w:rsidP="004206F3">
      <w:pPr>
        <w:pStyle w:val="BodyText"/>
      </w:pPr>
      <w:r w:rsidRPr="007F74AD">
        <w:t>Release 1. Supersedes and is equivalent to LMTGN5010A Plan and organise non-routine testing</w:t>
      </w:r>
    </w:p>
    <w:p w:rsidR="00000000" w:rsidRPr="007F74AD" w:rsidP="007F74AD">
      <w:pPr>
        <w:pStyle w:val="Heading1"/>
      </w:pPr>
      <w:bookmarkStart w:id="2" w:name="O_931827"/>
      <w:bookmarkEnd w:id="2"/>
      <w:r w:rsidRPr="007F74AD">
        <w:t>Application</w:t>
      </w:r>
    </w:p>
    <w:p w:rsidR="00000000" w:rsidRPr="007F74AD" w:rsidP="004206F3">
      <w:pPr>
        <w:pStyle w:val="BodyText"/>
      </w:pPr>
      <w:r w:rsidRPr="007F74AD">
        <w:t xml:space="preserve">This unit of competency covers the skills and knowledge required to plan and organise non-routine testing </w:t>
      </w:r>
      <w:r w:rsidRPr="007F74AD">
        <w:t>within the enterprise.</w:t>
      </w:r>
    </w:p>
    <w:p w:rsidR="00000000" w:rsidRPr="007F74AD" w:rsidP="004206F3">
      <w:pPr>
        <w:pStyle w:val="BodyText"/>
      </w:pPr>
      <w:r w:rsidRPr="007F74AD">
        <w:t xml:space="preserve">The unit of competency applies to non-routine testing associated with the product and process development for textile production.  </w:t>
      </w:r>
    </w:p>
    <w:p w:rsidR="00000000" w:rsidRPr="007F74AD" w:rsidP="004206F3">
      <w:pPr>
        <w:pStyle w:val="BodyText"/>
      </w:pPr>
      <w:r w:rsidRPr="007F74AD">
        <w:t>This unit of competency is applicable to all sectors of the textiles, clothing and footwear (TCF) i</w:t>
      </w:r>
      <w:r w:rsidRPr="007F74AD">
        <w:t>ndustry.</w:t>
      </w:r>
    </w:p>
    <w:p w:rsidR="00000000" w:rsidRPr="007F74AD" w:rsidP="004206F3">
      <w:pPr>
        <w:pStyle w:val="BodyText"/>
      </w:pPr>
      <w:r w:rsidRPr="007F74AD">
        <w:t>Work may be conducted in small to large scale enterprises and may involve individual and team activities and can include liaison with specialist technicians.</w:t>
      </w:r>
    </w:p>
    <w:p w:rsidR="004206F3" w:rsidP="004206F3">
      <w:pPr>
        <w:pStyle w:val="BodyText"/>
      </w:pPr>
      <w:r w:rsidRPr="007F74AD">
        <w:t xml:space="preserve">No licensing, legislative or certification requirements apply to this unit at the time </w:t>
      </w:r>
      <w:r w:rsidRPr="007F74AD">
        <w:t>of publication.</w:t>
      </w:r>
    </w:p>
    <w:p w:rsidR="00000000" w:rsidRPr="007F74AD" w:rsidP="007F74AD">
      <w:pPr>
        <w:pStyle w:val="Heading1"/>
      </w:pPr>
      <w:bookmarkStart w:id="3" w:name="O_931826"/>
      <w:bookmarkEnd w:id="3"/>
      <w:r w:rsidRPr="007F74A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20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MSTTX4003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BodyText"/>
            </w:pPr>
            <w:r w:rsidRPr="007F74AD">
              <w:t>Perform routine textile testing and analyse results</w:t>
            </w:r>
          </w:p>
        </w:tc>
      </w:tr>
    </w:tbl>
    <w:p w:rsidR="00000000" w:rsidRPr="007F74AD" w:rsidP="007F74AD">
      <w:pPr>
        <w:pStyle w:val="BodyText"/>
      </w:pPr>
    </w:p>
    <w:p w:rsidR="00000000" w:rsidRPr="007F74AD" w:rsidP="007F74AD">
      <w:pPr>
        <w:pStyle w:val="AllowPageBreak"/>
      </w:pPr>
    </w:p>
    <w:p w:rsidR="00000000" w:rsidRPr="007F74AD" w:rsidP="007F74AD">
      <w:pPr>
        <w:pStyle w:val="Heading1"/>
      </w:pPr>
      <w:bookmarkStart w:id="4" w:name="O_931825"/>
      <w:bookmarkEnd w:id="4"/>
      <w:r w:rsidRPr="007F74AD">
        <w:t>Competency Field</w:t>
      </w:r>
    </w:p>
    <w:p w:rsidR="00000000" w:rsidRPr="007F74AD" w:rsidP="004206F3">
      <w:pPr>
        <w:pStyle w:val="BodyText"/>
      </w:pPr>
      <w:r w:rsidRPr="007F74AD">
        <w:t>Generic</w:t>
      </w:r>
    </w:p>
    <w:p w:rsidR="00000000" w:rsidRPr="007F74AD" w:rsidP="007F74AD">
      <w:pPr>
        <w:pStyle w:val="Heading1"/>
      </w:pPr>
      <w:bookmarkStart w:id="5" w:name="O_931824"/>
      <w:bookmarkEnd w:id="5"/>
      <w:r w:rsidRPr="007F74AD">
        <w:t>Unit Sector</w:t>
      </w:r>
    </w:p>
    <w:p w:rsidR="00000000" w:rsidRPr="007F74AD" w:rsidP="004206F3">
      <w:pPr>
        <w:pStyle w:val="BodyText"/>
      </w:pPr>
      <w:r w:rsidRPr="007F74AD">
        <w:t>Not applicable</w:t>
      </w:r>
    </w:p>
    <w:p w:rsidR="00000000" w:rsidRPr="007F74AD" w:rsidP="007F74AD">
      <w:pPr>
        <w:pStyle w:val="Heading1"/>
      </w:pPr>
      <w:bookmarkStart w:id="6" w:name="O_931823"/>
      <w:bookmarkEnd w:id="6"/>
      <w:r w:rsidRPr="007F74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Performance criteria describe the performance needed to demonstrate achievement of the element.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BodyText"/>
            </w:pPr>
            <w:r w:rsidRPr="007F74A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Follow standard operating procedures (SOPs)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Comply with work health and safety (WHS) requirements at all times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Use appropriate personal protective equipment (PPE) in accordance with SOPs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Identify job requirements from specifications, drawings, job sheets or work instructions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BodyText"/>
            </w:pPr>
            <w:r w:rsidRPr="007F74A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Plan or develop tests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Obtain relevant information to establish criteria for tests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Develop or plan test to meet criteria, including testing at set stages if required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BodyText"/>
            </w:pPr>
            <w:r w:rsidRPr="007F74A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Organise non-routine tests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Confirm requirements, as necessary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 xml:space="preserve">Obtain and prepare equipment and resources required to perform the tests 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Test raw material, yarn, chemical mix or finished fabric against specified quality standards using prescribed testing procedures and in accordance with WHS practices and work</w:t>
            </w:r>
            <w:r w:rsidRPr="007F74AD">
              <w:t>place procedures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BodyText"/>
            </w:pPr>
            <w:r w:rsidRPr="007F74A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Analyse, interpret and 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 xml:space="preserve">Collate and analyse results of the tests 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Interpret analysis to determine performance and acceptability for production</w:t>
            </w:r>
          </w:p>
        </w:tc>
      </w:tr>
      <w:tr w:rsidTr="007F7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BodyText"/>
            </w:pPr>
            <w:r w:rsidRPr="007F74AD">
              <w:t>Prepare reports to document test and outcomes</w:t>
            </w:r>
          </w:p>
        </w:tc>
      </w:tr>
    </w:tbl>
    <w:p w:rsidR="00000000" w:rsidRPr="007F74AD" w:rsidP="007F74AD">
      <w:pPr>
        <w:pStyle w:val="BodyText"/>
      </w:pPr>
    </w:p>
    <w:p w:rsidR="00000000" w:rsidRPr="007F74AD" w:rsidP="007F74AD">
      <w:pPr>
        <w:pStyle w:val="AllowPageBreak"/>
      </w:pPr>
    </w:p>
    <w:p w:rsidR="00000000" w:rsidRPr="007F74AD" w:rsidP="007F74AD">
      <w:pPr>
        <w:pStyle w:val="Heading1"/>
      </w:pPr>
      <w:bookmarkStart w:id="7" w:name="O_931822"/>
      <w:bookmarkEnd w:id="7"/>
      <w:r w:rsidRPr="007F74AD">
        <w:t>Foundation Skills</w:t>
      </w:r>
    </w:p>
    <w:p w:rsidR="00000000" w:rsidRPr="007F74AD" w:rsidP="004206F3">
      <w:pPr>
        <w:pStyle w:val="BodyText"/>
      </w:pPr>
      <w:r w:rsidRPr="007F74AD">
        <w:t>This section describes those required skills (language, literacy and numeracy) that are essential to performance.</w:t>
      </w:r>
    </w:p>
    <w:p w:rsidR="00000000" w:rsidRPr="007F74AD" w:rsidP="004206F3">
      <w:pPr>
        <w:pStyle w:val="BodyText"/>
      </w:pPr>
      <w:r w:rsidRPr="007F74AD">
        <w:t>Foundation skills essential to performance are explicit in the performance criteria of this unit of compete</w:t>
      </w:r>
      <w:r w:rsidRPr="007F74AD">
        <w:t>ncy.</w:t>
      </w:r>
    </w:p>
    <w:p w:rsidR="00000000" w:rsidRPr="007F74AD" w:rsidP="007F74AD">
      <w:pPr>
        <w:pStyle w:val="Heading1"/>
      </w:pPr>
      <w:bookmarkStart w:id="8" w:name="O_931821"/>
      <w:bookmarkEnd w:id="8"/>
      <w:r w:rsidRPr="007F74A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20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7F74AD">
              <w:t>ty of the item, and local industry and regional contexts) are included.</w:t>
            </w:r>
          </w:p>
        </w:tc>
      </w:tr>
      <w:tr w:rsidTr="00420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ListBullet"/>
            </w:pPr>
            <w:r w:rsidRPr="007F74AD">
              <w:t>requirements prescribed by legislation, awards, agreements and conditions of employment</w:t>
            </w:r>
          </w:p>
          <w:p w:rsidR="00000000" w:rsidRPr="007F74AD" w:rsidP="007F74AD">
            <w:pPr>
              <w:pStyle w:val="ListBullet"/>
            </w:pPr>
            <w:r w:rsidRPr="007F74AD">
              <w:t>SOPs</w:t>
            </w:r>
          </w:p>
          <w:p w:rsidR="00000000" w:rsidRPr="007F74AD" w:rsidP="007F74AD">
            <w:pPr>
              <w:pStyle w:val="ListBullet"/>
            </w:pPr>
            <w:r w:rsidRPr="007F74AD">
              <w:t>work instructions</w:t>
            </w:r>
          </w:p>
          <w:p w:rsidR="00000000" w:rsidRPr="007F74AD" w:rsidP="007F74AD">
            <w:pPr>
              <w:pStyle w:val="ListBullet"/>
            </w:pPr>
            <w:r w:rsidRPr="007F74AD">
              <w:t>oral, written and visual communication</w:t>
            </w:r>
          </w:p>
          <w:p w:rsidR="00000000" w:rsidRPr="007F74AD" w:rsidP="007F74AD">
            <w:pPr>
              <w:pStyle w:val="ListBullet"/>
            </w:pPr>
            <w:r w:rsidRPr="007F74AD">
              <w:t>quality practices, including responsibility for maintenance of own work quality and contribution to quality improvement of team or section output</w:t>
            </w:r>
          </w:p>
          <w:p w:rsidR="00000000" w:rsidRPr="007F74AD" w:rsidP="007F74AD">
            <w:pPr>
              <w:pStyle w:val="ListBullet"/>
            </w:pPr>
            <w:r w:rsidRPr="007F74AD">
              <w:t>housekeeping</w:t>
            </w:r>
          </w:p>
          <w:p w:rsidR="00000000" w:rsidRPr="007F74AD" w:rsidP="007F74AD">
            <w:pPr>
              <w:pStyle w:val="ListBullet"/>
            </w:pPr>
            <w:r w:rsidRPr="007F74AD">
              <w:t>tasks related to environmental protection, waste disposal,</w:t>
            </w:r>
            <w:r w:rsidRPr="007F74AD">
              <w:t xml:space="preserve"> pollution control and recycling</w:t>
            </w:r>
          </w:p>
          <w:p w:rsidR="00000000" w:rsidRPr="007F74AD" w:rsidP="007F74AD">
            <w:pPr>
              <w:pStyle w:val="ListBullet"/>
            </w:pPr>
            <w:r w:rsidRPr="007F74AD">
              <w:t>WHS practices</w:t>
            </w:r>
          </w:p>
          <w:p w:rsidR="00000000" w:rsidP="007F74AD">
            <w:pPr>
              <w:pStyle w:val="BodyText"/>
              <w:rPr>
                <w:lang w:val="en-NZ"/>
              </w:rPr>
            </w:pPr>
          </w:p>
        </w:tc>
      </w:tr>
      <w:tr w:rsidTr="00420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ListBullet"/>
            </w:pPr>
            <w:r w:rsidRPr="007F74AD">
              <w:t>the relevant industry or Australian Standards that are current at the time this unit is being undertaken</w:t>
            </w:r>
          </w:p>
          <w:p w:rsidR="00000000" w:rsidP="007F74AD">
            <w:pPr>
              <w:pStyle w:val="BodyText"/>
              <w:rPr>
                <w:lang w:val="en-NZ"/>
              </w:rPr>
            </w:pPr>
          </w:p>
        </w:tc>
      </w:tr>
      <w:tr w:rsidTr="00420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Non-routine tests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ListBullet"/>
            </w:pPr>
            <w:r w:rsidRPr="007F74AD">
              <w:t>tests performed in a laboratory environment to laboratory level standards</w:t>
            </w:r>
          </w:p>
          <w:p w:rsidR="00000000" w:rsidP="007F74AD">
            <w:pPr>
              <w:pStyle w:val="ListBullet"/>
              <w:rPr>
                <w:lang w:val="en-NZ"/>
              </w:rPr>
            </w:pPr>
            <w:r w:rsidRPr="007F74AD">
              <w:t>destructive testing</w:t>
            </w:r>
          </w:p>
        </w:tc>
      </w:tr>
      <w:tr w:rsidTr="00420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Tests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ListBullet"/>
            </w:pPr>
            <w:r w:rsidRPr="007F74AD">
              <w:t xml:space="preserve">evenness </w:t>
            </w:r>
            <w:r w:rsidRPr="007F74AD">
              <w:t>testing</w:t>
            </w:r>
          </w:p>
          <w:p w:rsidR="00000000" w:rsidRPr="007F74AD" w:rsidP="007F74AD">
            <w:pPr>
              <w:pStyle w:val="ListBullet"/>
            </w:pPr>
            <w:r w:rsidRPr="007F74AD">
              <w:t>moisture content</w:t>
            </w:r>
          </w:p>
          <w:p w:rsidR="00000000" w:rsidRPr="007F74AD" w:rsidP="007F74AD">
            <w:pPr>
              <w:pStyle w:val="ListBullet"/>
            </w:pPr>
            <w:r w:rsidRPr="007F74AD">
              <w:t>dry fastness</w:t>
            </w:r>
          </w:p>
          <w:p w:rsidR="00000000" w:rsidRPr="007F74AD" w:rsidP="007F74AD">
            <w:pPr>
              <w:pStyle w:val="ListBullet"/>
            </w:pPr>
            <w:r w:rsidRPr="007F74AD">
              <w:t>fibre construction</w:t>
            </w:r>
          </w:p>
          <w:p w:rsidR="00000000" w:rsidRPr="007F74AD" w:rsidP="007F74AD">
            <w:pPr>
              <w:pStyle w:val="ListBullet"/>
            </w:pPr>
            <w:r w:rsidRPr="007F74AD">
              <w:t xml:space="preserve">fibre identification and quantitative analyses   </w:t>
            </w:r>
          </w:p>
          <w:p w:rsidR="00000000" w:rsidRPr="007F74AD" w:rsidP="007F74AD">
            <w:pPr>
              <w:pStyle w:val="ListBullet"/>
            </w:pPr>
            <w:r w:rsidRPr="007F74AD">
              <w:t>moisture retention</w:t>
            </w:r>
          </w:p>
          <w:p w:rsidR="00000000" w:rsidRPr="007F74AD" w:rsidP="007F74AD">
            <w:pPr>
              <w:pStyle w:val="ListBullet"/>
            </w:pPr>
            <w:r w:rsidRPr="007F74AD">
              <w:t>wicking</w:t>
            </w:r>
          </w:p>
          <w:p w:rsidR="00000000" w:rsidP="007F74AD">
            <w:pPr>
              <w:pStyle w:val="BodyText"/>
              <w:rPr>
                <w:lang w:val="en-NZ"/>
              </w:rPr>
            </w:pPr>
          </w:p>
        </w:tc>
      </w:tr>
      <w:tr w:rsidTr="00420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>Equipment and resources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ListBullet"/>
            </w:pPr>
            <w:r w:rsidRPr="007F74AD">
              <w:t>weighing scales</w:t>
            </w:r>
          </w:p>
          <w:p w:rsidR="00000000" w:rsidRPr="007F74AD" w:rsidP="007F74AD">
            <w:pPr>
              <w:pStyle w:val="ListBullet"/>
            </w:pPr>
            <w:r w:rsidRPr="007F74AD">
              <w:t>rulers templates</w:t>
            </w:r>
          </w:p>
          <w:p w:rsidR="00000000" w:rsidRPr="007F74AD" w:rsidP="007F74AD">
            <w:pPr>
              <w:pStyle w:val="ListBullet"/>
            </w:pPr>
            <w:r w:rsidRPr="007F74AD">
              <w:t>strength testers</w:t>
            </w:r>
          </w:p>
          <w:p w:rsidR="00000000" w:rsidRPr="007F74AD" w:rsidP="007F74AD">
            <w:pPr>
              <w:pStyle w:val="ListBullet"/>
            </w:pPr>
            <w:r w:rsidRPr="007F74AD">
              <w:t>conditioners or dryers</w:t>
            </w:r>
          </w:p>
          <w:p w:rsidR="00000000" w:rsidRPr="007F74AD" w:rsidP="007F74AD">
            <w:pPr>
              <w:pStyle w:val="ListBullet"/>
            </w:pPr>
            <w:r w:rsidRPr="007F74AD">
              <w:t>single yarn testers</w:t>
            </w:r>
          </w:p>
          <w:p w:rsidR="00000000" w:rsidRPr="007F74AD" w:rsidP="007F74AD">
            <w:pPr>
              <w:pStyle w:val="ListBullet"/>
            </w:pPr>
            <w:r w:rsidRPr="007F74AD">
              <w:t>abrasion testers</w:t>
            </w:r>
          </w:p>
          <w:p w:rsidR="00000000" w:rsidRPr="007F74AD" w:rsidP="007F74AD">
            <w:pPr>
              <w:pStyle w:val="ListBullet"/>
            </w:pPr>
            <w:r w:rsidRPr="007F74AD">
              <w:t>pilling box</w:t>
            </w:r>
          </w:p>
          <w:p w:rsidR="00000000" w:rsidRPr="007F74AD" w:rsidP="007F74AD">
            <w:pPr>
              <w:pStyle w:val="ListBullet"/>
            </w:pPr>
            <w:r w:rsidRPr="007F74AD">
              <w:t>chemicals</w:t>
            </w:r>
          </w:p>
          <w:p w:rsidR="00000000" w:rsidP="007F74AD">
            <w:pPr>
              <w:pStyle w:val="BodyText"/>
              <w:rPr>
                <w:lang w:val="en-NZ"/>
              </w:rPr>
            </w:pPr>
          </w:p>
        </w:tc>
      </w:tr>
      <w:tr w:rsidTr="00420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4AD">
            <w:pPr>
              <w:pStyle w:val="BodyText"/>
              <w:rPr>
                <w:lang w:val="en-NZ"/>
              </w:rPr>
            </w:pPr>
            <w:r w:rsidRPr="007F74AD">
              <w:rPr>
                <w:rStyle w:val="SpecialBold"/>
              </w:rPr>
              <w:t xml:space="preserve">WHS practices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4AD" w:rsidP="007F74AD">
            <w:pPr>
              <w:pStyle w:val="BodyText"/>
            </w:pPr>
            <w:r w:rsidRPr="007F74AD">
              <w:t>WHS practices must include hazard identification and control, risk assessment and implementation of risk reduction measures specific to the</w:t>
            </w:r>
            <w:r w:rsidRPr="007F74AD">
              <w:t xml:space="preserve"> tasks described by this unit, and includes one or more of the following:</w:t>
            </w:r>
          </w:p>
          <w:p w:rsidR="00000000" w:rsidRPr="007F74AD" w:rsidP="007F74AD">
            <w:pPr>
              <w:pStyle w:val="ListBullet"/>
            </w:pPr>
            <w:r w:rsidRPr="007F74AD">
              <w:t>manual handling techniques</w:t>
            </w:r>
          </w:p>
          <w:p w:rsidR="00000000" w:rsidRPr="007F74AD" w:rsidP="007F74AD">
            <w:pPr>
              <w:pStyle w:val="ListBullet"/>
            </w:pPr>
            <w:r w:rsidRPr="007F74AD">
              <w:t>SOPs</w:t>
            </w:r>
          </w:p>
          <w:p w:rsidR="00000000" w:rsidRPr="007F74AD" w:rsidP="007F74AD">
            <w:pPr>
              <w:pStyle w:val="ListBullet"/>
            </w:pPr>
            <w:r w:rsidRPr="007F74AD">
              <w:t>PPE</w:t>
            </w:r>
          </w:p>
          <w:p w:rsidR="00000000" w:rsidRPr="007F74AD" w:rsidP="007F74AD">
            <w:pPr>
              <w:pStyle w:val="ListBullet"/>
            </w:pPr>
            <w:r w:rsidRPr="007F74AD">
              <w:t>safe materials handling</w:t>
            </w:r>
          </w:p>
          <w:p w:rsidR="00000000" w:rsidRPr="007F74AD" w:rsidP="007F74AD">
            <w:pPr>
              <w:pStyle w:val="ListBullet"/>
            </w:pPr>
            <w:r w:rsidRPr="007F74AD">
              <w:t>taking of rest breaks</w:t>
            </w:r>
          </w:p>
          <w:p w:rsidR="00000000" w:rsidRPr="007F74AD" w:rsidP="007F74AD">
            <w:pPr>
              <w:pStyle w:val="ListBullet"/>
            </w:pPr>
            <w:r w:rsidRPr="007F74AD">
              <w:t>ergonomic arrangement of workplaces</w:t>
            </w:r>
          </w:p>
          <w:p w:rsidR="00000000" w:rsidRPr="007F74AD" w:rsidP="007F74AD">
            <w:pPr>
              <w:pStyle w:val="ListBullet"/>
            </w:pPr>
            <w:r w:rsidRPr="007F74AD">
              <w:t>following marked walkways</w:t>
            </w:r>
          </w:p>
          <w:p w:rsidR="00000000" w:rsidRPr="007F74AD" w:rsidP="007F74AD">
            <w:pPr>
              <w:pStyle w:val="ListBullet"/>
            </w:pPr>
            <w:r w:rsidRPr="007F74AD">
              <w:t>safe storage of equipment</w:t>
            </w:r>
          </w:p>
          <w:p w:rsidR="00000000" w:rsidRPr="007F74AD" w:rsidP="007F74AD">
            <w:pPr>
              <w:pStyle w:val="ListBullet"/>
            </w:pPr>
            <w:r w:rsidRPr="007F74AD">
              <w:t>housekeeping</w:t>
            </w:r>
          </w:p>
          <w:p w:rsidR="00000000" w:rsidRPr="007F74AD" w:rsidP="007F74AD">
            <w:pPr>
              <w:pStyle w:val="ListBullet"/>
            </w:pPr>
            <w:r w:rsidRPr="007F74AD">
              <w:t>reporting accidents and incidents</w:t>
            </w:r>
          </w:p>
          <w:p w:rsidR="00000000" w:rsidRPr="007F74AD" w:rsidP="007F74AD">
            <w:pPr>
              <w:pStyle w:val="ListBullet"/>
            </w:pPr>
            <w:r w:rsidRPr="007F74AD">
              <w:t>other WHS practices relevant to the job and enterprise</w:t>
            </w:r>
          </w:p>
        </w:tc>
      </w:tr>
    </w:tbl>
    <w:p w:rsidR="00000000" w:rsidRPr="007F74AD" w:rsidP="007F74AD">
      <w:pPr>
        <w:pStyle w:val="BodyText"/>
      </w:pPr>
    </w:p>
    <w:p w:rsidR="00000000" w:rsidRPr="007F74AD" w:rsidP="007F74AD">
      <w:pPr>
        <w:pStyle w:val="AllowPageBreak"/>
      </w:pPr>
    </w:p>
    <w:p w:rsidR="00000000" w:rsidRPr="007F74AD" w:rsidP="007F74AD">
      <w:pPr>
        <w:pStyle w:val="Heading1"/>
      </w:pPr>
      <w:bookmarkStart w:id="9" w:name="O_931820"/>
      <w:bookmarkEnd w:id="9"/>
      <w:r w:rsidRPr="007F74AD">
        <w:t>Unit Mapping Information</w:t>
      </w:r>
    </w:p>
    <w:p w:rsidR="00000000" w:rsidRPr="007F74AD" w:rsidP="004206F3">
      <w:pPr>
        <w:pStyle w:val="BodyText"/>
      </w:pPr>
      <w:r w:rsidRPr="007F74AD">
        <w:t>Release 1. Supersedes and is equivalent to LMTGN5010A Plan and organise non-routine testing</w:t>
      </w:r>
    </w:p>
    <w:p w:rsidR="00000000" w:rsidRPr="007F74AD" w:rsidP="007F74AD">
      <w:pPr>
        <w:pStyle w:val="Heading1"/>
      </w:pPr>
      <w:bookmarkStart w:id="10" w:name="O_931813"/>
      <w:bookmarkEnd w:id="10"/>
      <w:r w:rsidRPr="007F74AD">
        <w:t>Links</w:t>
      </w:r>
    </w:p>
    <w:p w:rsidR="00000000" w:rsidRPr="007F74AD" w:rsidP="004206F3">
      <w:pPr>
        <w:pStyle w:val="BodyText"/>
      </w:pPr>
      <w:r w:rsidRPr="007F74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1184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F74AD" w:rsidP="007F74AD"/>
    <w:sectPr w:rsidSect="007F74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AD" w:rsidRPr="004206F3" w:rsidP="00420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F3" w:rsidP="007F74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6F3" w:rsidP="007F74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06F3" w:rsidP="007F74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4AD" w:rsidRPr="004206F3" w:rsidP="00420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F3" w:rsidRPr="002D2AF8" w:rsidP="007F74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MSTGN5006 Plan and organise non-routine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206F3" w:rsidP="007F74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1AE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7CE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4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4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4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4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4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4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4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4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4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4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4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4AD"/>
  </w:style>
  <w:style w:type="character" w:customStyle="1" w:styleId="Heading1Char">
    <w:name w:val="Heading 1 Char"/>
    <w:basedOn w:val="DefaultParagraphFont"/>
    <w:link w:val="Heading1"/>
    <w:rsid w:val="007F74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4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4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4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4AD"/>
    <w:rPr>
      <w:b/>
      <w:spacing w:val="0"/>
    </w:rPr>
  </w:style>
  <w:style w:type="paragraph" w:customStyle="1" w:styleId="SuperHeading">
    <w:name w:val="SuperHeading"/>
    <w:basedOn w:val="Normal"/>
    <w:rsid w:val="007F74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4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4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4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4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4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4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4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4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4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4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4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4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4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4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4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4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4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4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4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4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4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4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4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4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4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4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4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4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4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4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4AD"/>
    <w:rPr>
      <w:i/>
    </w:rPr>
  </w:style>
  <w:style w:type="paragraph" w:styleId="Caption">
    <w:name w:val="caption"/>
    <w:basedOn w:val="BodyText"/>
    <w:next w:val="Normal"/>
    <w:qFormat/>
    <w:rsid w:val="007F74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4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4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4AD"/>
  </w:style>
  <w:style w:type="paragraph" w:styleId="TableofFigures">
    <w:name w:val="table of figures"/>
    <w:basedOn w:val="Normal"/>
    <w:next w:val="Normal"/>
    <w:semiHidden/>
    <w:rsid w:val="007F74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4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4AD"/>
    <w:rPr>
      <w:rFonts w:ascii="Wingdings" w:hAnsi="Wingdings"/>
    </w:rPr>
  </w:style>
  <w:style w:type="paragraph" w:customStyle="1" w:styleId="TableHeading">
    <w:name w:val="Table Heading"/>
    <w:basedOn w:val="HeadingBase"/>
    <w:rsid w:val="007F74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4AD"/>
    <w:rPr>
      <w:color w:val="0033CC"/>
      <w:u w:val="none"/>
    </w:rPr>
  </w:style>
  <w:style w:type="paragraph" w:customStyle="1" w:styleId="BodyTextRight">
    <w:name w:val="Body Text Right"/>
    <w:basedOn w:val="BodyText"/>
    <w:rsid w:val="007F74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4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4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4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4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4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4AD"/>
    <w:rPr>
      <w:sz w:val="32"/>
    </w:rPr>
  </w:style>
  <w:style w:type="paragraph" w:customStyle="1" w:styleId="HeadingProcedure">
    <w:name w:val="Heading Procedure"/>
    <w:basedOn w:val="HeadingBase"/>
    <w:next w:val="Normal"/>
    <w:rsid w:val="007F74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4AD"/>
    <w:pPr>
      <w:spacing w:before="60" w:after="60"/>
    </w:pPr>
  </w:style>
  <w:style w:type="paragraph" w:styleId="ListContinue">
    <w:name w:val="List Continue"/>
    <w:basedOn w:val="List"/>
    <w:rsid w:val="007F74AD"/>
    <w:pPr>
      <w:ind w:firstLine="0"/>
    </w:pPr>
  </w:style>
  <w:style w:type="paragraph" w:customStyle="1" w:styleId="ListNote">
    <w:name w:val="List Note"/>
    <w:basedOn w:val="List"/>
    <w:rsid w:val="007F74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4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4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4AD"/>
    <w:rPr>
      <w:rFonts w:ascii="Courier New" w:hAnsi="Courier New"/>
    </w:rPr>
  </w:style>
  <w:style w:type="paragraph" w:customStyle="1" w:styleId="NoteBullet">
    <w:name w:val="Note Bullet"/>
    <w:basedOn w:val="Note"/>
    <w:rsid w:val="007F74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4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4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4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4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4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4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4AD"/>
    <w:rPr>
      <w:b/>
      <w:smallCaps/>
    </w:rPr>
  </w:style>
  <w:style w:type="paragraph" w:customStyle="1" w:styleId="TableListNumber">
    <w:name w:val="Table List Number"/>
    <w:basedOn w:val="ListNumber"/>
    <w:rsid w:val="007F74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4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4AD"/>
    <w:pPr>
      <w:numPr>
        <w:numId w:val="8"/>
      </w:numPr>
    </w:pPr>
  </w:style>
  <w:style w:type="paragraph" w:customStyle="1" w:styleId="ListAlpha2">
    <w:name w:val="List Alpha 2"/>
    <w:basedOn w:val="List2"/>
    <w:rsid w:val="007F74AD"/>
    <w:pPr>
      <w:numPr>
        <w:numId w:val="7"/>
      </w:numPr>
    </w:pPr>
  </w:style>
  <w:style w:type="paragraph" w:styleId="List2">
    <w:name w:val="List 2"/>
    <w:basedOn w:val="BodyText"/>
    <w:rsid w:val="007F74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4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4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4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4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4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4AD"/>
    <w:pPr>
      <w:numPr>
        <w:numId w:val="3"/>
      </w:numPr>
    </w:pPr>
  </w:style>
  <w:style w:type="paragraph" w:styleId="ListContinue2">
    <w:name w:val="List Continue 2"/>
    <w:basedOn w:val="List2"/>
    <w:rsid w:val="007F74AD"/>
    <w:pPr>
      <w:ind w:firstLine="0"/>
    </w:pPr>
  </w:style>
  <w:style w:type="paragraph" w:styleId="ListContinue3">
    <w:name w:val="List Continue 3"/>
    <w:basedOn w:val="List3"/>
    <w:rsid w:val="007F74AD"/>
    <w:pPr>
      <w:ind w:left="1021" w:firstLine="0"/>
    </w:pPr>
  </w:style>
  <w:style w:type="paragraph" w:styleId="ListContinue4">
    <w:name w:val="List Continue 4"/>
    <w:basedOn w:val="List4"/>
    <w:rsid w:val="007F74AD"/>
    <w:pPr>
      <w:ind w:firstLine="0"/>
    </w:pPr>
  </w:style>
  <w:style w:type="paragraph" w:styleId="ListContinue5">
    <w:name w:val="List Continue 5"/>
    <w:basedOn w:val="List5"/>
    <w:rsid w:val="007F74AD"/>
    <w:pPr>
      <w:ind w:firstLine="0"/>
    </w:pPr>
  </w:style>
  <w:style w:type="paragraph" w:styleId="ListNumber3">
    <w:name w:val="List Number 3"/>
    <w:basedOn w:val="List3"/>
    <w:rsid w:val="007F74AD"/>
    <w:pPr>
      <w:numPr>
        <w:numId w:val="4"/>
      </w:numPr>
    </w:pPr>
  </w:style>
  <w:style w:type="paragraph" w:styleId="ListNumber4">
    <w:name w:val="List Number 4"/>
    <w:basedOn w:val="List4"/>
    <w:rsid w:val="007F74AD"/>
    <w:pPr>
      <w:numPr>
        <w:numId w:val="5"/>
      </w:numPr>
    </w:pPr>
  </w:style>
  <w:style w:type="paragraph" w:styleId="ListNumber5">
    <w:name w:val="List Number 5"/>
    <w:basedOn w:val="List5"/>
    <w:rsid w:val="007F74AD"/>
    <w:pPr>
      <w:numPr>
        <w:numId w:val="6"/>
      </w:numPr>
    </w:pPr>
  </w:style>
  <w:style w:type="paragraph" w:styleId="BlockText">
    <w:name w:val="Block Text"/>
    <w:basedOn w:val="Normal"/>
    <w:rsid w:val="007F74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4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4AD"/>
    <w:rPr>
      <w:sz w:val="16"/>
      <w:vertAlign w:val="superscript"/>
    </w:rPr>
  </w:style>
  <w:style w:type="character" w:customStyle="1" w:styleId="Symbols">
    <w:name w:val="Symbols"/>
    <w:basedOn w:val="DefaultParagraphFont"/>
    <w:rsid w:val="007F74AD"/>
    <w:rPr>
      <w:rFonts w:ascii="Symbol" w:hAnsi="Symbol"/>
    </w:rPr>
  </w:style>
  <w:style w:type="character" w:customStyle="1" w:styleId="MenuOptions">
    <w:name w:val="Menu Options"/>
    <w:basedOn w:val="DefaultParagraphFont"/>
    <w:rsid w:val="007F74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4AD"/>
    <w:rPr>
      <w:b/>
    </w:rPr>
  </w:style>
  <w:style w:type="character" w:customStyle="1" w:styleId="Underlined">
    <w:name w:val="Underlined"/>
    <w:basedOn w:val="DefaultParagraphFont"/>
    <w:rsid w:val="007F74AD"/>
    <w:rPr>
      <w:u w:val="single"/>
    </w:rPr>
  </w:style>
  <w:style w:type="paragraph" w:customStyle="1" w:styleId="TableBodyTextRight">
    <w:name w:val="Table Body Text Right"/>
    <w:basedOn w:val="TableBodyText"/>
    <w:rsid w:val="007F74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4AD"/>
    <w:rPr>
      <w:sz w:val="18"/>
    </w:rPr>
  </w:style>
  <w:style w:type="paragraph" w:customStyle="1" w:styleId="BodySmallRight">
    <w:name w:val="Body Small Right"/>
    <w:basedOn w:val="BodyTextRight"/>
    <w:rsid w:val="007F74AD"/>
    <w:rPr>
      <w:sz w:val="18"/>
      <w:szCs w:val="18"/>
    </w:rPr>
  </w:style>
  <w:style w:type="paragraph" w:customStyle="1" w:styleId="MarginEdition">
    <w:name w:val="Margin Edition"/>
    <w:basedOn w:val="MarginNote"/>
    <w:rsid w:val="007F74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4AD"/>
    <w:rPr>
      <w:sz w:val="2"/>
      <w:szCs w:val="2"/>
    </w:rPr>
  </w:style>
  <w:style w:type="character" w:customStyle="1" w:styleId="Small">
    <w:name w:val="Small"/>
    <w:basedOn w:val="DefaultParagraphFont"/>
    <w:rsid w:val="007F74AD"/>
    <w:rPr>
      <w:sz w:val="16"/>
    </w:rPr>
  </w:style>
  <w:style w:type="paragraph" w:customStyle="1" w:styleId="WideTable">
    <w:name w:val="Wide Table"/>
    <w:basedOn w:val="Normal"/>
    <w:rsid w:val="007F74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4AD"/>
  </w:style>
  <w:style w:type="paragraph" w:styleId="Quote">
    <w:name w:val="Quote"/>
    <w:basedOn w:val="Heading1"/>
    <w:link w:val="QuoteChar"/>
    <w:qFormat/>
    <w:rsid w:val="007F74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4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4AD"/>
    <w:pPr>
      <w:pageBreakBefore/>
    </w:pPr>
  </w:style>
  <w:style w:type="paragraph" w:customStyle="1" w:styleId="Border">
    <w:name w:val="Border"/>
    <w:basedOn w:val="Normal"/>
    <w:qFormat/>
    <w:rsid w:val="007F74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4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4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4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4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4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4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4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4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4AD"/>
    <w:rPr>
      <w:u w:val="single"/>
    </w:rPr>
  </w:style>
  <w:style w:type="character" w:customStyle="1" w:styleId="BoldandItalics">
    <w:name w:val="Bold and Italics"/>
    <w:qFormat/>
    <w:rsid w:val="007F74AD"/>
    <w:rPr>
      <w:b/>
      <w:i/>
      <w:u w:val="none"/>
    </w:rPr>
  </w:style>
  <w:style w:type="paragraph" w:styleId="BalloonText">
    <w:name w:val="Balloon Text"/>
    <w:basedOn w:val="Normal"/>
    <w:link w:val="BalloonTextChar"/>
    <w:rsid w:val="007F74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4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4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4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4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4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4AD"/>
    <w:pPr>
      <w:spacing w:before="0" w:after="0"/>
    </w:pPr>
  </w:style>
  <w:style w:type="paragraph" w:customStyle="1" w:styleId="BodyTextBold">
    <w:name w:val="Body Text Bold"/>
    <w:basedOn w:val="BodyText"/>
    <w:qFormat/>
    <w:rsid w:val="007F74AD"/>
    <w:rPr>
      <w:b/>
    </w:rPr>
  </w:style>
  <w:style w:type="character" w:styleId="Hyperlink">
    <w:name w:val="Hyperlink"/>
    <w:basedOn w:val="DefaultParagraphFont"/>
    <w:uiPriority w:val="99"/>
    <w:unhideWhenUsed/>
    <w:rsid w:val="00420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4293</Characters>
  <Application>Microsoft Office Word</Application>
  <DocSecurity>0</DocSecurity>
  <Lines>214</Lines>
  <Paragraphs>127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MSTGN5006 Plan and organise non-routine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2021-07-21T08:21:00Z</dcterms:created>
  <dcterms:modified xsi:type="dcterms:W3CDTF">2021-07-21T08:21:00Z</dcterms:modified>
</cp:coreProperties>
</file>