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819" w:rsidP="00464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MSTGN5006 Plan and organise non-routine testing</w:t>
      </w:r>
      <w:r>
        <w:fldChar w:fldCharType="end"/>
      </w:r>
    </w:p>
    <w:p w:rsidR="00464819" w:rsidP="00464819">
      <w:pPr>
        <w:pStyle w:val="Version"/>
        <w:sectPr w:rsidSect="009C1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04E" w:rsidP="009C104E">
      <w:pPr>
        <w:pStyle w:val="SuperHeading"/>
      </w:pPr>
      <w:r w:rsidRPr="009C104E">
        <w:t>Assessment Requirements for MSTGN5006 Plan and organise</w:t>
      </w:r>
      <w:r w:rsidRPr="009C104E">
        <w:t xml:space="preserve"> non-routine testing</w:t>
      </w:r>
    </w:p>
    <w:p w:rsidR="00000000" w:rsidRPr="009C104E" w:rsidP="009C104E">
      <w:pPr>
        <w:pStyle w:val="Heading1"/>
      </w:pPr>
      <w:bookmarkStart w:id="1" w:name="O_931815"/>
      <w:bookmarkEnd w:id="1"/>
      <w:r w:rsidRPr="009C104E">
        <w:t>Modification History</w:t>
      </w:r>
    </w:p>
    <w:p w:rsidR="00000000" w:rsidRPr="009C104E" w:rsidP="00464819">
      <w:pPr>
        <w:pStyle w:val="BodyText"/>
      </w:pPr>
      <w:r w:rsidRPr="009C104E">
        <w:t>Release 1. Supersedes and is equivalent to LMTGN5010A Plan and organise non-routine testing</w:t>
      </w:r>
    </w:p>
    <w:p w:rsidR="00000000" w:rsidRPr="009C104E" w:rsidP="009C104E">
      <w:pPr>
        <w:pStyle w:val="Heading1"/>
      </w:pPr>
      <w:bookmarkStart w:id="2" w:name="O_931818"/>
      <w:bookmarkEnd w:id="2"/>
      <w:r w:rsidRPr="009C104E">
        <w:t>Performance Evidence</w:t>
      </w:r>
    </w:p>
    <w:p w:rsidR="00000000" w:rsidRPr="009C104E" w:rsidP="00464819">
      <w:pPr>
        <w:pStyle w:val="BodyText"/>
      </w:pPr>
      <w:r w:rsidRPr="009C104E">
        <w:t>Evidence required to demonstrate competence in this unit must be relevant to and satisfy the requirements of the elements and performance criteria, and include:</w:t>
      </w:r>
    </w:p>
    <w:p w:rsidR="00000000" w:rsidRPr="009C104E" w:rsidP="009C104E">
      <w:pPr>
        <w:pStyle w:val="ListBullet"/>
      </w:pPr>
      <w:r w:rsidRPr="009C104E">
        <w:t>reading and following work instructions, standard operating procedures (SOPs), safe work pract</w:t>
      </w:r>
      <w:r w:rsidRPr="009C104E">
        <w:t>ices</w:t>
      </w:r>
    </w:p>
    <w:p w:rsidR="00000000" w:rsidRPr="009C104E" w:rsidP="009C104E">
      <w:pPr>
        <w:pStyle w:val="ListBullet"/>
      </w:pPr>
      <w:r w:rsidRPr="009C104E">
        <w:t>applying relevant standards</w:t>
      </w:r>
    </w:p>
    <w:p w:rsidR="00000000" w:rsidRPr="009C104E" w:rsidP="009C104E">
      <w:pPr>
        <w:pStyle w:val="ListBullet"/>
      </w:pPr>
      <w:r w:rsidRPr="009C104E">
        <w:t>establishing criteria for tests and developing  and planning tests to suit criteria</w:t>
      </w:r>
    </w:p>
    <w:p w:rsidR="00000000" w:rsidRPr="009C104E" w:rsidP="009C104E">
      <w:pPr>
        <w:pStyle w:val="ListBullet"/>
      </w:pPr>
      <w:r w:rsidRPr="009C104E">
        <w:t>conducting at least three (3) tests on each of a variety of textile, clothing and footwear (TCF) materials according to identified project,</w:t>
      </w:r>
      <w:r w:rsidRPr="009C104E">
        <w:t xml:space="preserve"> such as raw material, yarn, chemical mix or finished fabric, against specified quality standards</w:t>
      </w:r>
    </w:p>
    <w:p w:rsidR="00000000" w:rsidRPr="009C104E" w:rsidP="009C104E">
      <w:pPr>
        <w:pStyle w:val="ListBullet"/>
      </w:pPr>
      <w:r w:rsidRPr="009C104E">
        <w:t>using prescribed testing procedures and in accordance with work health and safety (WHS) practices against specified quality standards</w:t>
      </w:r>
    </w:p>
    <w:p w:rsidR="00000000" w:rsidRPr="009C104E" w:rsidP="009C104E">
      <w:pPr>
        <w:pStyle w:val="ListBullet"/>
      </w:pPr>
      <w:r w:rsidRPr="009C104E">
        <w:t>collating, analysing and</w:t>
      </w:r>
      <w:r w:rsidRPr="009C104E">
        <w:t xml:space="preserve"> interpreting tests to assess suitability for production</w:t>
      </w:r>
    </w:p>
    <w:p w:rsidR="00000000" w:rsidRPr="009C104E" w:rsidP="009C104E">
      <w:pPr>
        <w:pStyle w:val="ListBullet"/>
      </w:pPr>
      <w:r w:rsidRPr="009C104E">
        <w:t>maintaining accurate records and reporting test outcomes</w:t>
      </w:r>
    </w:p>
    <w:p w:rsidR="00000000" w:rsidRPr="009C104E" w:rsidP="009C104E">
      <w:pPr>
        <w:pStyle w:val="ListBullet"/>
      </w:pPr>
      <w:r w:rsidRPr="009C104E">
        <w:t>applying workplace procedures.</w:t>
      </w:r>
    </w:p>
    <w:p w:rsidR="00000000" w:rsidRPr="009C104E" w:rsidP="009C104E">
      <w:pPr>
        <w:pStyle w:val="AllowPageBreak"/>
      </w:pPr>
    </w:p>
    <w:p w:rsidR="00000000" w:rsidRPr="009C104E" w:rsidP="009C104E">
      <w:pPr>
        <w:pStyle w:val="Heading1"/>
      </w:pPr>
      <w:bookmarkStart w:id="3" w:name="O_931817"/>
      <w:bookmarkEnd w:id="3"/>
      <w:r w:rsidRPr="009C104E">
        <w:t>Knowledge Evidence</w:t>
      </w:r>
    </w:p>
    <w:p w:rsidR="00000000" w:rsidRPr="009C104E" w:rsidP="00464819">
      <w:pPr>
        <w:pStyle w:val="BodyText"/>
      </w:pPr>
      <w:r w:rsidRPr="009C104E">
        <w:t>Evidence must be provided that demonstrates knowledge of:</w:t>
      </w:r>
    </w:p>
    <w:p w:rsidR="00000000" w:rsidRPr="009C104E" w:rsidP="009C104E">
      <w:pPr>
        <w:pStyle w:val="ListBullet"/>
      </w:pPr>
      <w:r w:rsidRPr="009C104E">
        <w:t>safe work practi</w:t>
      </w:r>
      <w:r w:rsidRPr="009C104E">
        <w:t>ces and procedures and use of personal protective equipment (PPE)</w:t>
      </w:r>
    </w:p>
    <w:p w:rsidR="00000000" w:rsidRPr="009C104E" w:rsidP="009C104E">
      <w:pPr>
        <w:pStyle w:val="ListBullet"/>
      </w:pPr>
      <w:r w:rsidRPr="009C104E">
        <w:t>relevant Australian Standards</w:t>
      </w:r>
    </w:p>
    <w:p w:rsidR="00000000" w:rsidRPr="009C104E" w:rsidP="009C104E">
      <w:pPr>
        <w:pStyle w:val="ListBullet"/>
      </w:pPr>
      <w:r w:rsidRPr="009C104E">
        <w:t>the elements and principles of testing and how they can be used to assist in assessing the quality of raw materials/products in the textile industry</w:t>
      </w:r>
    </w:p>
    <w:p w:rsidR="00000000" w:rsidRPr="009C104E" w:rsidP="009C104E">
      <w:pPr>
        <w:pStyle w:val="ListBullet"/>
      </w:pPr>
      <w:r w:rsidRPr="009C104E">
        <w:t>analysis an</w:t>
      </w:r>
      <w:r w:rsidRPr="009C104E">
        <w:t xml:space="preserve">d interpretation of test results </w:t>
      </w:r>
    </w:p>
    <w:p w:rsidR="00000000" w:rsidRPr="009C104E" w:rsidP="009C104E">
      <w:pPr>
        <w:pStyle w:val="ListBullet"/>
      </w:pPr>
      <w:r w:rsidRPr="009C104E">
        <w:t>product and process specifications</w:t>
      </w:r>
    </w:p>
    <w:p w:rsidR="00000000" w:rsidRPr="009C104E" w:rsidP="009C104E">
      <w:pPr>
        <w:pStyle w:val="ListBullet"/>
      </w:pPr>
      <w:r w:rsidRPr="009C104E">
        <w:t>raw materials and their properties</w:t>
      </w:r>
    </w:p>
    <w:p w:rsidR="00000000" w:rsidRPr="009C104E" w:rsidP="009C104E">
      <w:pPr>
        <w:pStyle w:val="ListBullet"/>
      </w:pPr>
      <w:r w:rsidRPr="009C104E">
        <w:t>colour chemistry</w:t>
      </w:r>
    </w:p>
    <w:p w:rsidR="00000000" w:rsidRPr="009C104E" w:rsidP="009C104E">
      <w:pPr>
        <w:pStyle w:val="ListBullet"/>
      </w:pPr>
      <w:r w:rsidRPr="009C104E">
        <w:t>safety and environmental aspects of relevant enterprise activities</w:t>
      </w:r>
    </w:p>
    <w:p w:rsidR="00000000" w:rsidRPr="009C104E" w:rsidP="009C104E">
      <w:pPr>
        <w:pStyle w:val="ListBullet"/>
      </w:pPr>
      <w:r w:rsidRPr="009C104E">
        <w:t>non-routine testing</w:t>
      </w:r>
    </w:p>
    <w:p w:rsidR="00000000" w:rsidRPr="009C104E" w:rsidP="009C104E">
      <w:pPr>
        <w:pStyle w:val="ListBullet"/>
      </w:pPr>
      <w:r w:rsidRPr="009C104E">
        <w:t>WHS practices, including hazard identification and control measures</w:t>
      </w:r>
    </w:p>
    <w:p w:rsidR="00000000" w:rsidRPr="009C104E" w:rsidP="009C104E">
      <w:pPr>
        <w:pStyle w:val="ListBullet"/>
      </w:pPr>
      <w:r w:rsidRPr="009C104E">
        <w:t>quality practices</w:t>
      </w:r>
    </w:p>
    <w:p w:rsidR="00000000" w:rsidRPr="009C104E" w:rsidP="009C104E">
      <w:pPr>
        <w:pStyle w:val="ListBullet"/>
      </w:pPr>
      <w:r w:rsidRPr="009C104E">
        <w:t>workplace practices</w:t>
      </w:r>
    </w:p>
    <w:p w:rsidR="00000000" w:rsidRPr="009C104E" w:rsidP="009C104E">
      <w:pPr>
        <w:pStyle w:val="ListBullet"/>
      </w:pPr>
      <w:r w:rsidRPr="009C104E">
        <w:t>recording and reporting practices.</w:t>
      </w:r>
    </w:p>
    <w:p w:rsidR="00000000" w:rsidRPr="009C104E" w:rsidP="009C104E">
      <w:pPr>
        <w:pStyle w:val="AllowPageBreak"/>
      </w:pPr>
    </w:p>
    <w:p w:rsidR="00000000" w:rsidRPr="009C104E" w:rsidP="009C104E">
      <w:pPr>
        <w:pStyle w:val="Heading1"/>
      </w:pPr>
      <w:bookmarkStart w:id="4" w:name="O_931816"/>
      <w:bookmarkEnd w:id="4"/>
      <w:r w:rsidRPr="009C104E">
        <w:t>Assessment Conditions</w:t>
      </w:r>
    </w:p>
    <w:p w:rsidR="00000000" w:rsidRPr="009C104E" w:rsidP="009C104E">
      <w:pPr>
        <w:pStyle w:val="ListBullet"/>
      </w:pPr>
      <w:r w:rsidRPr="009C104E">
        <w:t>Assessors must:</w:t>
      </w:r>
    </w:p>
    <w:p w:rsidR="00000000" w:rsidRPr="009C104E" w:rsidP="009C104E">
      <w:pPr>
        <w:pStyle w:val="ListBullet"/>
      </w:pPr>
      <w:r w:rsidRPr="009C104E">
        <w:t>satisfy the assessor competency requirements that are in pl</w:t>
      </w:r>
      <w:r w:rsidRPr="009C104E">
        <w:t>ace at the time of the assessment, as set by the VET regulator</w:t>
      </w:r>
    </w:p>
    <w:p w:rsidR="00000000" w:rsidRPr="009C104E" w:rsidP="009C104E">
      <w:pPr>
        <w:pStyle w:val="ListBullet"/>
      </w:pPr>
      <w:r w:rsidRPr="009C104E">
        <w:t>have vocational competency in planning and organising non-routine testing, at least to the level being assessed, with relevant industry knowledge and experience.</w:t>
      </w:r>
    </w:p>
    <w:p w:rsidR="00000000" w:rsidRPr="009C104E" w:rsidP="009C104E">
      <w:pPr>
        <w:pStyle w:val="ListBullet"/>
      </w:pPr>
      <w:r w:rsidRPr="009C104E">
        <w:t>Assessment should occur in oper</w:t>
      </w:r>
      <w:r w:rsidRPr="009C104E">
        <w:t>ational workplace situations. Where this is not possible, or where personal safety or environmental damage are limiting factors, assessment must occur in a sufficiently rigorous simulated environment reflecting realistic operational workplace conditions. T</w:t>
      </w:r>
      <w:r w:rsidRPr="009C104E">
        <w:t>his must cover all aspects of workplace performance, including environment, task skills, task management skills, contingency management skills and job role environment skills.</w:t>
      </w:r>
    </w:p>
    <w:p w:rsidR="00000000" w:rsidRPr="009C104E" w:rsidP="009C104E">
      <w:pPr>
        <w:pStyle w:val="ListBullet"/>
      </w:pPr>
      <w:r w:rsidRPr="009C104E">
        <w:t>Assessment processes and techniques must be appropriate to the language, literac</w:t>
      </w:r>
      <w:r w:rsidRPr="009C104E">
        <w:t>y and numeracy requirements of the work being performed and the needs of the candidate.</w:t>
      </w:r>
    </w:p>
    <w:p w:rsidR="00000000" w:rsidRPr="009C104E" w:rsidP="009C104E">
      <w:pPr>
        <w:pStyle w:val="ListBullet"/>
      </w:pPr>
      <w:r w:rsidRPr="009C104E">
        <w:t>Conditions for assessment must include access to all tools, equipment, materials and documentation required including relevant workplace procedures, product and manufac</w:t>
      </w:r>
      <w:r w:rsidRPr="009C104E">
        <w:t>turing specifications associated with this unit.</w:t>
      </w:r>
    </w:p>
    <w:p w:rsidR="00000000" w:rsidRPr="009C104E" w:rsidP="009C104E">
      <w:pPr>
        <w:pStyle w:val="ListBullet"/>
      </w:pPr>
      <w:r w:rsidRPr="009C104E">
        <w:t>The unit is applicable to all TCF sectors and assessment must ensure it is delivered to suit the industry it is being applied to.</w:t>
      </w:r>
    </w:p>
    <w:p w:rsidR="00000000" w:rsidRPr="009C104E" w:rsidP="009C104E">
      <w:pPr>
        <w:pStyle w:val="AllowPageBreak"/>
      </w:pPr>
    </w:p>
    <w:p w:rsidR="00000000" w:rsidRPr="009C104E" w:rsidP="009C104E">
      <w:pPr>
        <w:pStyle w:val="Heading1"/>
      </w:pPr>
      <w:bookmarkStart w:id="5" w:name="O_931814"/>
      <w:bookmarkEnd w:id="5"/>
      <w:r w:rsidRPr="009C104E">
        <w:t>Links</w:t>
      </w:r>
    </w:p>
    <w:p w:rsidR="00000000" w:rsidRPr="009C104E" w:rsidP="00464819">
      <w:pPr>
        <w:pStyle w:val="BodyText"/>
      </w:pPr>
      <w:r w:rsidRPr="009C104E">
        <w:t>Companion Volume implementation guides are found in VE</w:t>
      </w:r>
      <w:r w:rsidRPr="009C104E">
        <w:t xml:space="preserve">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75AD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104E" w:rsidP="009C104E"/>
    <w:sectPr w:rsidSect="009C10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4E" w:rsidRPr="00464819" w:rsidP="00464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19" w:rsidP="009C1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819" w:rsidP="009C1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4819" w:rsidP="009C1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04E" w:rsidRPr="00464819" w:rsidP="00464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19" w:rsidRPr="002D2AF8" w:rsidP="009C1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MSTGN5006 Plan and organise non-routine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64819" w:rsidP="009C1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EE6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F68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04E"/>
  </w:style>
  <w:style w:type="character" w:customStyle="1" w:styleId="Heading1Char">
    <w:name w:val="Heading 1 Char"/>
    <w:basedOn w:val="DefaultParagraphFont"/>
    <w:link w:val="Heading1"/>
    <w:rsid w:val="009C1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0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0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1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0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04E"/>
    <w:rPr>
      <w:b/>
      <w:spacing w:val="0"/>
    </w:rPr>
  </w:style>
  <w:style w:type="paragraph" w:customStyle="1" w:styleId="SuperTitle">
    <w:name w:val="SuperTitle"/>
    <w:basedOn w:val="Title"/>
    <w:rsid w:val="009C1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0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0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04E"/>
    <w:rPr>
      <w:i/>
    </w:rPr>
  </w:style>
  <w:style w:type="paragraph" w:styleId="Caption">
    <w:name w:val="caption"/>
    <w:basedOn w:val="BodyText"/>
    <w:next w:val="Normal"/>
    <w:qFormat/>
    <w:rsid w:val="009C1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04E"/>
  </w:style>
  <w:style w:type="paragraph" w:styleId="TableofFigures">
    <w:name w:val="table of figures"/>
    <w:basedOn w:val="Normal"/>
    <w:next w:val="Normal"/>
    <w:semiHidden/>
    <w:rsid w:val="009C1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0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04E"/>
    <w:rPr>
      <w:rFonts w:ascii="Wingdings" w:hAnsi="Wingdings"/>
    </w:rPr>
  </w:style>
  <w:style w:type="paragraph" w:customStyle="1" w:styleId="TableHeading">
    <w:name w:val="Table Heading"/>
    <w:basedOn w:val="HeadingBase"/>
    <w:rsid w:val="009C1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04E"/>
    <w:rPr>
      <w:color w:val="0033CC"/>
      <w:u w:val="none"/>
    </w:rPr>
  </w:style>
  <w:style w:type="paragraph" w:customStyle="1" w:styleId="BodyTextRight">
    <w:name w:val="Body Text Right"/>
    <w:basedOn w:val="BodyText"/>
    <w:rsid w:val="009C1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0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04E"/>
    <w:rPr>
      <w:sz w:val="32"/>
    </w:rPr>
  </w:style>
  <w:style w:type="paragraph" w:customStyle="1" w:styleId="HeadingProcedure">
    <w:name w:val="Heading Procedure"/>
    <w:basedOn w:val="HeadingBase"/>
    <w:next w:val="Normal"/>
    <w:rsid w:val="009C1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04E"/>
    <w:pPr>
      <w:spacing w:before="60" w:after="60"/>
    </w:pPr>
  </w:style>
  <w:style w:type="paragraph" w:styleId="ListContinue">
    <w:name w:val="List Continue"/>
    <w:basedOn w:val="List"/>
    <w:rsid w:val="009C104E"/>
    <w:pPr>
      <w:ind w:firstLine="0"/>
    </w:pPr>
  </w:style>
  <w:style w:type="paragraph" w:customStyle="1" w:styleId="ListNote">
    <w:name w:val="List Note"/>
    <w:basedOn w:val="List"/>
    <w:rsid w:val="009C1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04E"/>
    <w:rPr>
      <w:rFonts w:ascii="Courier New" w:hAnsi="Courier New"/>
    </w:rPr>
  </w:style>
  <w:style w:type="paragraph" w:customStyle="1" w:styleId="NoteBullet">
    <w:name w:val="Note Bullet"/>
    <w:basedOn w:val="Note"/>
    <w:rsid w:val="009C1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0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04E"/>
    <w:rPr>
      <w:b/>
      <w:smallCaps/>
    </w:rPr>
  </w:style>
  <w:style w:type="paragraph" w:customStyle="1" w:styleId="TableListNumber">
    <w:name w:val="Table List Number"/>
    <w:basedOn w:val="ListNumber"/>
    <w:rsid w:val="009C1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04E"/>
    <w:pPr>
      <w:numPr>
        <w:numId w:val="8"/>
      </w:numPr>
    </w:pPr>
  </w:style>
  <w:style w:type="paragraph" w:customStyle="1" w:styleId="ListAlpha2">
    <w:name w:val="List Alpha 2"/>
    <w:basedOn w:val="List2"/>
    <w:rsid w:val="009C104E"/>
    <w:pPr>
      <w:numPr>
        <w:numId w:val="7"/>
      </w:numPr>
    </w:pPr>
  </w:style>
  <w:style w:type="paragraph" w:styleId="List2">
    <w:name w:val="List 2"/>
    <w:basedOn w:val="BodyText"/>
    <w:rsid w:val="009C1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0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0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04E"/>
    <w:pPr>
      <w:numPr>
        <w:numId w:val="3"/>
      </w:numPr>
    </w:pPr>
  </w:style>
  <w:style w:type="paragraph" w:styleId="ListContinue2">
    <w:name w:val="List Continue 2"/>
    <w:basedOn w:val="List2"/>
    <w:rsid w:val="009C104E"/>
    <w:pPr>
      <w:ind w:firstLine="0"/>
    </w:pPr>
  </w:style>
  <w:style w:type="paragraph" w:styleId="ListContinue3">
    <w:name w:val="List Continue 3"/>
    <w:basedOn w:val="List3"/>
    <w:rsid w:val="009C104E"/>
    <w:pPr>
      <w:ind w:left="1021" w:firstLine="0"/>
    </w:pPr>
  </w:style>
  <w:style w:type="paragraph" w:styleId="ListContinue4">
    <w:name w:val="List Continue 4"/>
    <w:basedOn w:val="List4"/>
    <w:rsid w:val="009C104E"/>
    <w:pPr>
      <w:ind w:firstLine="0"/>
    </w:pPr>
  </w:style>
  <w:style w:type="paragraph" w:styleId="ListContinue5">
    <w:name w:val="List Continue 5"/>
    <w:basedOn w:val="List5"/>
    <w:rsid w:val="009C104E"/>
    <w:pPr>
      <w:ind w:firstLine="0"/>
    </w:pPr>
  </w:style>
  <w:style w:type="paragraph" w:styleId="ListNumber3">
    <w:name w:val="List Number 3"/>
    <w:basedOn w:val="List3"/>
    <w:rsid w:val="009C104E"/>
    <w:pPr>
      <w:numPr>
        <w:numId w:val="4"/>
      </w:numPr>
    </w:pPr>
  </w:style>
  <w:style w:type="paragraph" w:styleId="ListNumber4">
    <w:name w:val="List Number 4"/>
    <w:basedOn w:val="List4"/>
    <w:rsid w:val="009C104E"/>
    <w:pPr>
      <w:numPr>
        <w:numId w:val="5"/>
      </w:numPr>
    </w:pPr>
  </w:style>
  <w:style w:type="paragraph" w:styleId="ListNumber5">
    <w:name w:val="List Number 5"/>
    <w:basedOn w:val="List5"/>
    <w:rsid w:val="009C104E"/>
    <w:pPr>
      <w:numPr>
        <w:numId w:val="6"/>
      </w:numPr>
    </w:pPr>
  </w:style>
  <w:style w:type="paragraph" w:styleId="BlockText">
    <w:name w:val="Block Text"/>
    <w:basedOn w:val="Normal"/>
    <w:rsid w:val="009C1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04E"/>
    <w:rPr>
      <w:sz w:val="16"/>
      <w:vertAlign w:val="superscript"/>
    </w:rPr>
  </w:style>
  <w:style w:type="character" w:customStyle="1" w:styleId="Symbols">
    <w:name w:val="Symbols"/>
    <w:basedOn w:val="DefaultParagraphFont"/>
    <w:rsid w:val="009C104E"/>
    <w:rPr>
      <w:rFonts w:ascii="Symbol" w:hAnsi="Symbol"/>
    </w:rPr>
  </w:style>
  <w:style w:type="character" w:customStyle="1" w:styleId="MenuOptions">
    <w:name w:val="Menu Options"/>
    <w:basedOn w:val="DefaultParagraphFont"/>
    <w:rsid w:val="009C1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04E"/>
    <w:rPr>
      <w:b/>
    </w:rPr>
  </w:style>
  <w:style w:type="character" w:customStyle="1" w:styleId="Underlined">
    <w:name w:val="Underlined"/>
    <w:basedOn w:val="DefaultParagraphFont"/>
    <w:rsid w:val="009C104E"/>
    <w:rPr>
      <w:u w:val="single"/>
    </w:rPr>
  </w:style>
  <w:style w:type="paragraph" w:customStyle="1" w:styleId="TableBodyTextRight">
    <w:name w:val="Table Body Text Right"/>
    <w:basedOn w:val="TableBodyText"/>
    <w:rsid w:val="009C1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04E"/>
    <w:rPr>
      <w:sz w:val="18"/>
    </w:rPr>
  </w:style>
  <w:style w:type="paragraph" w:customStyle="1" w:styleId="BodySmallRight">
    <w:name w:val="Body Small Right"/>
    <w:basedOn w:val="BodyTextRight"/>
    <w:rsid w:val="009C104E"/>
    <w:rPr>
      <w:sz w:val="18"/>
      <w:szCs w:val="18"/>
    </w:rPr>
  </w:style>
  <w:style w:type="paragraph" w:customStyle="1" w:styleId="MarginEdition">
    <w:name w:val="Margin Edition"/>
    <w:basedOn w:val="MarginNote"/>
    <w:rsid w:val="009C1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04E"/>
    <w:rPr>
      <w:sz w:val="2"/>
      <w:szCs w:val="2"/>
    </w:rPr>
  </w:style>
  <w:style w:type="character" w:customStyle="1" w:styleId="Small">
    <w:name w:val="Small"/>
    <w:basedOn w:val="DefaultParagraphFont"/>
    <w:rsid w:val="009C104E"/>
    <w:rPr>
      <w:sz w:val="16"/>
    </w:rPr>
  </w:style>
  <w:style w:type="paragraph" w:customStyle="1" w:styleId="WideTable">
    <w:name w:val="Wide Table"/>
    <w:basedOn w:val="Normal"/>
    <w:rsid w:val="009C1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04E"/>
  </w:style>
  <w:style w:type="paragraph" w:styleId="Quote">
    <w:name w:val="Quote"/>
    <w:basedOn w:val="Heading1"/>
    <w:link w:val="QuoteChar"/>
    <w:qFormat/>
    <w:rsid w:val="009C1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04E"/>
    <w:pPr>
      <w:pageBreakBefore/>
    </w:pPr>
  </w:style>
  <w:style w:type="paragraph" w:customStyle="1" w:styleId="Border">
    <w:name w:val="Border"/>
    <w:basedOn w:val="Normal"/>
    <w:qFormat/>
    <w:rsid w:val="009C1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04E"/>
    <w:rPr>
      <w:u w:val="single"/>
    </w:rPr>
  </w:style>
  <w:style w:type="character" w:customStyle="1" w:styleId="BoldandItalics">
    <w:name w:val="Bold and Italics"/>
    <w:qFormat/>
    <w:rsid w:val="009C104E"/>
    <w:rPr>
      <w:b/>
      <w:i/>
      <w:u w:val="none"/>
    </w:rPr>
  </w:style>
  <w:style w:type="paragraph" w:styleId="BalloonText">
    <w:name w:val="Balloon Text"/>
    <w:basedOn w:val="Normal"/>
    <w:link w:val="BalloonTextChar"/>
    <w:rsid w:val="009C1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04E"/>
    <w:pPr>
      <w:spacing w:before="0" w:after="0"/>
    </w:pPr>
  </w:style>
  <w:style w:type="paragraph" w:customStyle="1" w:styleId="BodyTextBold">
    <w:name w:val="Body Text Bold"/>
    <w:basedOn w:val="BodyText"/>
    <w:qFormat/>
    <w:rsid w:val="009C104E"/>
    <w:rPr>
      <w:b/>
    </w:rPr>
  </w:style>
  <w:style w:type="character" w:styleId="Hyperlink">
    <w:name w:val="Hyperlink"/>
    <w:basedOn w:val="DefaultParagraphFont"/>
    <w:uiPriority w:val="99"/>
    <w:unhideWhenUsed/>
    <w:rsid w:val="00464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3067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MSTGN5006 Plan and organise non-routine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