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2032" w:rsidP="001C20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MSTGN5003 Work with international TCF supply chains</w:t>
      </w:r>
      <w:r>
        <w:fldChar w:fldCharType="end"/>
      </w:r>
    </w:p>
    <w:p w:rsidR="001C2032" w:rsidP="001C2032">
      <w:pPr>
        <w:pStyle w:val="Version"/>
        <w:sectPr w:rsidSect="00B70E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0E48" w:rsidP="00B70E48">
      <w:pPr>
        <w:pStyle w:val="SuperHeading"/>
      </w:pPr>
      <w:r w:rsidRPr="00B70E48">
        <w:t>Assessment Requirements for MSTGN5003 Work with international TCF supply chains</w:t>
      </w:r>
    </w:p>
    <w:p w:rsidR="00000000" w:rsidRPr="00B70E48" w:rsidP="00B70E48">
      <w:pPr>
        <w:pStyle w:val="Heading1"/>
      </w:pPr>
      <w:bookmarkStart w:id="1" w:name="O_931758"/>
      <w:bookmarkEnd w:id="1"/>
      <w:r w:rsidRPr="00B70E48">
        <w:t>Modification History</w:t>
      </w:r>
    </w:p>
    <w:p w:rsidR="00000000" w:rsidRPr="00B70E48" w:rsidP="00B70E48">
      <w:pPr>
        <w:pStyle w:val="BodyText"/>
      </w:pPr>
      <w:r w:rsidRPr="00B70E48">
        <w:t xml:space="preserve">Release 1. Supersedes and is equivalent to LMTGN5003B Work with international textiles, clothing and footwear supply chains </w:t>
      </w:r>
    </w:p>
    <w:p w:rsidR="00000000" w:rsidRPr="00B70E48" w:rsidP="00B70E48">
      <w:pPr>
        <w:pStyle w:val="AllowPageBreak"/>
      </w:pPr>
    </w:p>
    <w:p w:rsidR="00000000" w:rsidRPr="00B70E48" w:rsidP="00B70E48">
      <w:pPr>
        <w:pStyle w:val="Heading1"/>
      </w:pPr>
      <w:bookmarkStart w:id="2" w:name="O_931761"/>
      <w:bookmarkEnd w:id="2"/>
      <w:r w:rsidRPr="00B70E48">
        <w:t>Performance Evidence</w:t>
      </w:r>
    </w:p>
    <w:p w:rsidR="00000000" w:rsidRPr="00B70E48" w:rsidP="00B70E48">
      <w:pPr>
        <w:pStyle w:val="BodyText"/>
      </w:pPr>
      <w:r w:rsidRPr="00B70E48">
        <w:t>Evidence required to demonstrate competence in this unit must be relevant to and satisfy the requirements of the elements and performance criteria, and include:</w:t>
      </w:r>
    </w:p>
    <w:p w:rsidR="00000000" w:rsidRPr="00B70E48" w:rsidP="00B70E48">
      <w:pPr>
        <w:pStyle w:val="ListBullet"/>
      </w:pPr>
      <w:r w:rsidRPr="00B70E48">
        <w:t>reading and following work instructions, standard operating proce</w:t>
      </w:r>
      <w:r w:rsidRPr="00B70E48">
        <w:t xml:space="preserve">dures (SOPs), safe work practices </w:t>
      </w:r>
    </w:p>
    <w:p w:rsidR="00000000" w:rsidRPr="00B70E48" w:rsidP="00B70E48">
      <w:pPr>
        <w:pStyle w:val="ListBullet"/>
      </w:pPr>
      <w:r w:rsidRPr="00B70E48">
        <w:t>applying relevant standards, and relevant Australian and international export and import regulations</w:t>
      </w:r>
    </w:p>
    <w:p w:rsidR="00000000" w:rsidRPr="00B70E48" w:rsidP="00B70E48">
      <w:pPr>
        <w:pStyle w:val="ListBullet"/>
      </w:pPr>
      <w:r w:rsidRPr="00B70E48">
        <w:t xml:space="preserve">detailing a range of members in the international supply chain able to provide the required products or services for at </w:t>
      </w:r>
      <w:r w:rsidRPr="00B70E48">
        <w:t>least three (3) products or a small range within area of responsibility</w:t>
      </w:r>
    </w:p>
    <w:p w:rsidR="00000000" w:rsidRPr="00B70E48" w:rsidP="00B70E48">
      <w:pPr>
        <w:pStyle w:val="ListBullet"/>
      </w:pPr>
      <w:r w:rsidRPr="00B70E48">
        <w:t>investigating, interpreting, recording and using data about international supply chain characteristics and operations, supplier characteristics and practices, import and export regulat</w:t>
      </w:r>
      <w:r w:rsidRPr="00B70E48">
        <w:t>ions, local customs and workplace practices of at least two (2) relevant countries</w:t>
      </w:r>
    </w:p>
    <w:p w:rsidR="00000000" w:rsidRPr="00B70E48" w:rsidP="00B70E48">
      <w:pPr>
        <w:pStyle w:val="ListBullet"/>
      </w:pPr>
      <w:r w:rsidRPr="00B70E48">
        <w:t>identifying any acute or chronic issues affecting suppliers</w:t>
      </w:r>
    </w:p>
    <w:p w:rsidR="00000000" w:rsidRPr="00B70E48" w:rsidP="00B70E48">
      <w:pPr>
        <w:pStyle w:val="ListBullet"/>
      </w:pPr>
      <w:r w:rsidRPr="00B70E48">
        <w:t>establishing and maintaining ongoing communication with international supply chains to foster positive commercial</w:t>
      </w:r>
      <w:r w:rsidRPr="00B70E48">
        <w:t xml:space="preserve"> relations with international supply chains to establish specifications and monitor product quality</w:t>
      </w:r>
    </w:p>
    <w:p w:rsidR="00000000" w:rsidRPr="00B70E48" w:rsidP="00B70E48">
      <w:pPr>
        <w:pStyle w:val="ListBullet"/>
      </w:pPr>
      <w:r w:rsidRPr="00B70E48">
        <w:t>checking compliance against specified requirements, identifying whether production meets workplace standards and dealing with non-compliance according to sp</w:t>
      </w:r>
      <w:r w:rsidRPr="00B70E48">
        <w:t>ecifications</w:t>
      </w:r>
    </w:p>
    <w:p w:rsidR="00000000" w:rsidRPr="00B70E48" w:rsidP="00B70E48">
      <w:pPr>
        <w:pStyle w:val="ListBullet"/>
      </w:pPr>
      <w:r w:rsidRPr="00B70E48">
        <w:t>identifying opportunities for corrective or preventative action to improve commercial relationship with international suppliers or customers</w:t>
      </w:r>
    </w:p>
    <w:p w:rsidR="00000000" w:rsidRPr="00B70E48" w:rsidP="00B70E48">
      <w:pPr>
        <w:pStyle w:val="ListBullet"/>
      </w:pPr>
      <w:r w:rsidRPr="00B70E48">
        <w:t>maintaining international production and supply documentation, monitoring records and preparing report</w:t>
      </w:r>
      <w:r w:rsidRPr="00B70E48">
        <w:t xml:space="preserve">s, where necessary. </w:t>
      </w:r>
    </w:p>
    <w:p w:rsidR="00000000" w:rsidRPr="00B70E48" w:rsidP="00B70E48">
      <w:pPr>
        <w:pStyle w:val="AllowPageBreak"/>
      </w:pPr>
    </w:p>
    <w:p w:rsidR="00000000" w:rsidRPr="00B70E48" w:rsidP="00B70E48">
      <w:pPr>
        <w:pStyle w:val="Heading1"/>
      </w:pPr>
      <w:bookmarkStart w:id="3" w:name="O_931760"/>
      <w:bookmarkEnd w:id="3"/>
      <w:r w:rsidRPr="00B70E48">
        <w:t>Knowledge Evidence</w:t>
      </w:r>
    </w:p>
    <w:p w:rsidR="00000000" w:rsidRPr="00B70E48" w:rsidP="00B70E48">
      <w:pPr>
        <w:pStyle w:val="BodyText"/>
      </w:pPr>
      <w:r w:rsidRPr="00B70E48">
        <w:t>Evidence must be provided that demonstrates knowledge of:</w:t>
      </w:r>
    </w:p>
    <w:p w:rsidR="00000000" w:rsidRPr="00B70E48" w:rsidP="00B70E48">
      <w:pPr>
        <w:pStyle w:val="ListBullet"/>
      </w:pPr>
      <w:r w:rsidRPr="00B70E48">
        <w:t>safe work practices and procedures and use of personal protective equipment (PPE)</w:t>
      </w:r>
    </w:p>
    <w:p w:rsidR="00000000" w:rsidRPr="00B70E48" w:rsidP="00B70E48">
      <w:pPr>
        <w:pStyle w:val="ListBullet"/>
      </w:pPr>
      <w:r w:rsidRPr="00B70E48">
        <w:t>relevant Australian Standards</w:t>
      </w:r>
    </w:p>
    <w:p w:rsidR="00000000" w:rsidRPr="00B70E48" w:rsidP="00B70E48">
      <w:pPr>
        <w:pStyle w:val="ListBullet"/>
      </w:pPr>
      <w:r w:rsidRPr="00B70E48">
        <w:t>production control and effic</w:t>
      </w:r>
      <w:r w:rsidRPr="00B70E48">
        <w:t>iency processes</w:t>
      </w:r>
    </w:p>
    <w:p w:rsidR="00000000" w:rsidRPr="00B70E48" w:rsidP="00B70E48">
      <w:pPr>
        <w:pStyle w:val="ListBullet"/>
      </w:pPr>
      <w:r w:rsidRPr="00B70E48">
        <w:t>product and process specifications</w:t>
      </w:r>
    </w:p>
    <w:p w:rsidR="00000000" w:rsidRPr="00B70E48" w:rsidP="00B70E48">
      <w:pPr>
        <w:pStyle w:val="ListBullet"/>
      </w:pPr>
      <w:r w:rsidRPr="00B70E48">
        <w:t>practices and procedures for international supply arrangements</w:t>
      </w:r>
    </w:p>
    <w:p w:rsidR="00000000" w:rsidRPr="00B70E48" w:rsidP="00B70E48">
      <w:pPr>
        <w:pStyle w:val="ListBullet"/>
      </w:pPr>
      <w:r w:rsidRPr="00B70E48">
        <w:t>quality assurance processes</w:t>
      </w:r>
    </w:p>
    <w:p w:rsidR="00000000" w:rsidRPr="00B70E48" w:rsidP="00B70E48">
      <w:pPr>
        <w:pStyle w:val="ListBullet"/>
      </w:pPr>
      <w:r w:rsidRPr="00B70E48">
        <w:t>production processes</w:t>
      </w:r>
    </w:p>
    <w:p w:rsidR="00000000" w:rsidRPr="00B70E48" w:rsidP="00B70E48">
      <w:pPr>
        <w:pStyle w:val="ListBullet"/>
      </w:pPr>
      <w:r w:rsidRPr="00B70E48">
        <w:t>international regulations, pricing structures, import and export factors, production times, quality assurance factors, and production and marketing arrangements</w:t>
      </w:r>
    </w:p>
    <w:p w:rsidR="00000000" w:rsidRPr="00B70E48" w:rsidP="00B70E48">
      <w:pPr>
        <w:pStyle w:val="ListBullet"/>
      </w:pPr>
      <w:r w:rsidRPr="00B70E48">
        <w:t>communication and negotiation skills to deal with international and  domestic supply arrangemen</w:t>
      </w:r>
      <w:r w:rsidRPr="00B70E48">
        <w:t>ts</w:t>
      </w:r>
    </w:p>
    <w:p w:rsidR="00000000" w:rsidRPr="00B70E48" w:rsidP="00B70E48">
      <w:pPr>
        <w:pStyle w:val="ListBullet"/>
      </w:pPr>
      <w:r w:rsidRPr="00B70E48">
        <w:t>quality standards and practices</w:t>
      </w:r>
    </w:p>
    <w:p w:rsidR="00000000" w:rsidRPr="00B70E48" w:rsidP="00B70E48">
      <w:pPr>
        <w:pStyle w:val="ListBullet"/>
      </w:pPr>
      <w:r w:rsidRPr="00B70E48">
        <w:t>workplace procedures</w:t>
      </w:r>
    </w:p>
    <w:p w:rsidR="00000000" w:rsidRPr="00B70E48" w:rsidP="00B70E48">
      <w:pPr>
        <w:pStyle w:val="ListBullet"/>
      </w:pPr>
      <w:r w:rsidRPr="00B70E48">
        <w:t>recording and reporting practices.</w:t>
      </w:r>
    </w:p>
    <w:p w:rsidR="00000000" w:rsidRPr="00B70E48" w:rsidP="00B70E48">
      <w:pPr>
        <w:pStyle w:val="AllowPageBreak"/>
      </w:pPr>
    </w:p>
    <w:p w:rsidR="00000000" w:rsidRPr="00B70E48" w:rsidP="00B70E48">
      <w:pPr>
        <w:pStyle w:val="Heading1"/>
      </w:pPr>
      <w:bookmarkStart w:id="4" w:name="O_931759"/>
      <w:bookmarkEnd w:id="4"/>
      <w:r w:rsidRPr="00B70E48">
        <w:t>Assessment Conditions</w:t>
      </w:r>
    </w:p>
    <w:p w:rsidR="00000000" w:rsidRPr="00B70E48" w:rsidP="00B70E48">
      <w:pPr>
        <w:pStyle w:val="ListBullet"/>
      </w:pPr>
      <w:r w:rsidRPr="00B70E48">
        <w:t>Assessors must:</w:t>
      </w:r>
    </w:p>
    <w:p w:rsidR="00000000" w:rsidRPr="00B70E48" w:rsidP="00B70E48">
      <w:pPr>
        <w:pStyle w:val="ListBullet"/>
      </w:pPr>
      <w:r w:rsidRPr="00B70E48">
        <w:t>satisfy the assessor competency requirements that are in place at the time of the assessment, as set by the V</w:t>
      </w:r>
      <w:r w:rsidRPr="00B70E48">
        <w:t>ET regulator</w:t>
      </w:r>
    </w:p>
    <w:p w:rsidR="00000000" w:rsidRPr="00B70E48" w:rsidP="00B70E48">
      <w:pPr>
        <w:pStyle w:val="ListBullet"/>
      </w:pPr>
      <w:r w:rsidRPr="00B70E48">
        <w:t>have vocational competency in working with international textiles, clothing and footwear supply chains, at least to the level being assessed, with relevant industry knowledge and experience.</w:t>
      </w:r>
    </w:p>
    <w:p w:rsidR="00000000" w:rsidRPr="00B70E48" w:rsidP="00B70E48">
      <w:pPr>
        <w:pStyle w:val="ListBullet"/>
      </w:pPr>
      <w:r w:rsidRPr="00B70E48">
        <w:t>Assessment should occur in operational workplace sit</w:t>
      </w:r>
      <w:r w:rsidRPr="00B70E48">
        <w:t>uations. Where this is not possible, or where personal safety or environmental damage are limiting factors, assessment must occur in a sufficiently rigorous simulated environment reflecting realistic operational workplace conditions. This must cover all as</w:t>
      </w:r>
      <w:r w:rsidRPr="00B70E48">
        <w:t>pects of workplace performance, including environment, task skills, task management skills, contingency management skills and job role environment skills.</w:t>
      </w:r>
    </w:p>
    <w:p w:rsidR="00000000" w:rsidRPr="00B70E48" w:rsidP="00B70E48">
      <w:pPr>
        <w:pStyle w:val="ListBullet"/>
      </w:pPr>
      <w:r w:rsidRPr="00B70E48">
        <w:t>Assessment processes and techniques must be appropriate to the language, literacy and numeracy requir</w:t>
      </w:r>
      <w:r w:rsidRPr="00B70E48">
        <w:t>ements of the work being performed and the needs of the candidate.</w:t>
      </w:r>
    </w:p>
    <w:p w:rsidR="00000000" w:rsidRPr="00B70E48" w:rsidP="00B70E48">
      <w:pPr>
        <w:pStyle w:val="ListBullet"/>
      </w:pPr>
      <w:r w:rsidRPr="00B70E48">
        <w:t>Conditions for assessment must include access to all tools, equipment, materials and documentation required, including relevant workplace procedures, product and manufacturing specification</w:t>
      </w:r>
      <w:r w:rsidRPr="00B70E48">
        <w:t>s associated with this unit.</w:t>
      </w:r>
    </w:p>
    <w:p w:rsidR="00000000" w:rsidRPr="00B70E48" w:rsidP="00B70E48">
      <w:pPr>
        <w:pStyle w:val="ListBullet"/>
      </w:pPr>
      <w:r w:rsidRPr="00B70E48">
        <w:t>The unit is applicable to all TCF sectors and assessment must ensure it is delivered to suit the industry it is being applied to.</w:t>
      </w:r>
    </w:p>
    <w:p w:rsidR="00000000" w:rsidRPr="00B70E48" w:rsidP="00B70E48">
      <w:pPr>
        <w:pStyle w:val="AllowPageBreak"/>
      </w:pPr>
    </w:p>
    <w:p w:rsidR="00000000" w:rsidRPr="00B70E48" w:rsidP="00B70E48">
      <w:pPr>
        <w:pStyle w:val="Heading1"/>
      </w:pPr>
      <w:bookmarkStart w:id="5" w:name="O_931757"/>
      <w:bookmarkEnd w:id="5"/>
      <w:r w:rsidRPr="00B70E48">
        <w:t>Links</w:t>
      </w:r>
    </w:p>
    <w:p w:rsidR="00000000" w:rsidRPr="00B70E48" w:rsidP="00B70E48">
      <w:pPr>
        <w:pStyle w:val="BodyText"/>
      </w:pPr>
      <w:r w:rsidRPr="00B70E48">
        <w:t>Companion Volume implementation guides are found in VETNet - https://vetne</w:t>
      </w:r>
      <w:r w:rsidRPr="00B70E48">
        <w:t>t.education.gov.au/Pages/TrainingDocs.aspx?q=a203ec5c-de7d-406b-b3e1-8f1a9b76e92e</w:t>
      </w:r>
    </w:p>
    <w:p w:rsidR="00000000" w:rsidRPr="00B70E48" w:rsidP="00B70E48"/>
    <w:sectPr w:rsidSect="00B70E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E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E48" w:rsidRPr="001C2032" w:rsidP="001C20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E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032" w:rsidP="00B70E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2032" w:rsidP="00B70E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C2032" w:rsidP="00B70E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E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0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E48" w:rsidRPr="001C2032" w:rsidP="001C20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E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032" w:rsidRPr="002D2AF8" w:rsidP="00B70E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MSTGN5003 Work with international TCF supply chains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2016</w:t>
    </w:r>
    <w:r>
      <w:fldChar w:fldCharType="end"/>
    </w:r>
  </w:p>
  <w:p w:rsidR="001C2032" w:rsidP="00B70E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109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2EC0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E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E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E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E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E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E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E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E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E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E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E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E48"/>
  </w:style>
  <w:style w:type="character" w:customStyle="1" w:styleId="Heading1Char">
    <w:name w:val="Heading 1 Char"/>
    <w:basedOn w:val="DefaultParagraphFont"/>
    <w:link w:val="Heading1"/>
    <w:rsid w:val="00B70E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E4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E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0E48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70E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E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0E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E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E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E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E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E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E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E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E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E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E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E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E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E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0E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0E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0E48"/>
    <w:rPr>
      <w:b/>
      <w:spacing w:val="0"/>
    </w:rPr>
  </w:style>
  <w:style w:type="paragraph" w:customStyle="1" w:styleId="SuperTitle">
    <w:name w:val="SuperTitle"/>
    <w:basedOn w:val="Title"/>
    <w:rsid w:val="00B70E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E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E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0E4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0E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E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E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E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E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E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E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E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E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0E48"/>
    <w:rPr>
      <w:i/>
    </w:rPr>
  </w:style>
  <w:style w:type="paragraph" w:styleId="Caption">
    <w:name w:val="caption"/>
    <w:basedOn w:val="BodyText"/>
    <w:next w:val="Normal"/>
    <w:qFormat/>
    <w:rsid w:val="00B70E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E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E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E48"/>
  </w:style>
  <w:style w:type="paragraph" w:styleId="TableofFigures">
    <w:name w:val="table of figures"/>
    <w:basedOn w:val="Normal"/>
    <w:next w:val="Normal"/>
    <w:semiHidden/>
    <w:rsid w:val="00B70E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E48"/>
    <w:pPr>
      <w:numPr>
        <w:numId w:val="10"/>
      </w:numPr>
    </w:pPr>
  </w:style>
  <w:style w:type="character" w:customStyle="1" w:styleId="WingdingSymbols">
    <w:name w:val="Wingding Symbols"/>
    <w:rsid w:val="00B70E48"/>
    <w:rPr>
      <w:rFonts w:ascii="Wingdings" w:hAnsi="Wingdings"/>
    </w:rPr>
  </w:style>
  <w:style w:type="paragraph" w:customStyle="1" w:styleId="TableHeading">
    <w:name w:val="Table Heading"/>
    <w:basedOn w:val="HeadingBase"/>
    <w:rsid w:val="00B70E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E48"/>
    <w:rPr>
      <w:color w:val="0033CC"/>
      <w:u w:val="none"/>
    </w:rPr>
  </w:style>
  <w:style w:type="paragraph" w:customStyle="1" w:styleId="BodyTextRight">
    <w:name w:val="Body Text Right"/>
    <w:basedOn w:val="BodyText"/>
    <w:rsid w:val="00B70E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E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E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E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E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E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E48"/>
    <w:rPr>
      <w:sz w:val="32"/>
    </w:rPr>
  </w:style>
  <w:style w:type="paragraph" w:customStyle="1" w:styleId="HeadingProcedure">
    <w:name w:val="Heading Procedure"/>
    <w:basedOn w:val="HeadingBase"/>
    <w:next w:val="Normal"/>
    <w:rsid w:val="00B70E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E48"/>
    <w:pPr>
      <w:spacing w:before="60" w:after="60"/>
    </w:pPr>
  </w:style>
  <w:style w:type="paragraph" w:styleId="ListContinue">
    <w:name w:val="List Continue"/>
    <w:basedOn w:val="List"/>
    <w:rsid w:val="00B70E48"/>
    <w:pPr>
      <w:ind w:firstLine="0"/>
    </w:pPr>
  </w:style>
  <w:style w:type="paragraph" w:customStyle="1" w:styleId="ListNote">
    <w:name w:val="List Note"/>
    <w:basedOn w:val="List"/>
    <w:rsid w:val="00B70E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E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E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E48"/>
    <w:rPr>
      <w:rFonts w:ascii="Courier New" w:hAnsi="Courier New"/>
    </w:rPr>
  </w:style>
  <w:style w:type="paragraph" w:customStyle="1" w:styleId="NoteBullet">
    <w:name w:val="Note Bullet"/>
    <w:basedOn w:val="Note"/>
    <w:rsid w:val="00B70E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E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E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E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E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0E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E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E48"/>
    <w:rPr>
      <w:b/>
      <w:smallCaps/>
    </w:rPr>
  </w:style>
  <w:style w:type="paragraph" w:customStyle="1" w:styleId="TableListNumber">
    <w:name w:val="Table List Number"/>
    <w:basedOn w:val="ListNumber"/>
    <w:rsid w:val="00B70E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E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E48"/>
    <w:pPr>
      <w:numPr>
        <w:numId w:val="8"/>
      </w:numPr>
    </w:pPr>
  </w:style>
  <w:style w:type="paragraph" w:customStyle="1" w:styleId="ListAlpha2">
    <w:name w:val="List Alpha 2"/>
    <w:basedOn w:val="List2"/>
    <w:rsid w:val="00B70E48"/>
    <w:pPr>
      <w:numPr>
        <w:numId w:val="7"/>
      </w:numPr>
    </w:pPr>
  </w:style>
  <w:style w:type="paragraph" w:styleId="List2">
    <w:name w:val="List 2"/>
    <w:basedOn w:val="BodyText"/>
    <w:rsid w:val="00B70E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E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E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E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E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E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0E48"/>
    <w:pPr>
      <w:numPr>
        <w:numId w:val="3"/>
      </w:numPr>
    </w:pPr>
  </w:style>
  <w:style w:type="paragraph" w:styleId="ListContinue2">
    <w:name w:val="List Continue 2"/>
    <w:basedOn w:val="List2"/>
    <w:rsid w:val="00B70E48"/>
    <w:pPr>
      <w:ind w:firstLine="0"/>
    </w:pPr>
  </w:style>
  <w:style w:type="paragraph" w:styleId="ListContinue3">
    <w:name w:val="List Continue 3"/>
    <w:basedOn w:val="List3"/>
    <w:rsid w:val="00B70E48"/>
    <w:pPr>
      <w:ind w:left="1021" w:firstLine="0"/>
    </w:pPr>
  </w:style>
  <w:style w:type="paragraph" w:styleId="ListContinue4">
    <w:name w:val="List Continue 4"/>
    <w:basedOn w:val="List4"/>
    <w:rsid w:val="00B70E48"/>
    <w:pPr>
      <w:ind w:firstLine="0"/>
    </w:pPr>
  </w:style>
  <w:style w:type="paragraph" w:styleId="ListContinue5">
    <w:name w:val="List Continue 5"/>
    <w:basedOn w:val="List5"/>
    <w:rsid w:val="00B70E48"/>
    <w:pPr>
      <w:ind w:firstLine="0"/>
    </w:pPr>
  </w:style>
  <w:style w:type="paragraph" w:styleId="ListNumber3">
    <w:name w:val="List Number 3"/>
    <w:basedOn w:val="List3"/>
    <w:rsid w:val="00B70E48"/>
    <w:pPr>
      <w:numPr>
        <w:numId w:val="4"/>
      </w:numPr>
    </w:pPr>
  </w:style>
  <w:style w:type="paragraph" w:styleId="ListNumber4">
    <w:name w:val="List Number 4"/>
    <w:basedOn w:val="List4"/>
    <w:rsid w:val="00B70E48"/>
    <w:pPr>
      <w:numPr>
        <w:numId w:val="5"/>
      </w:numPr>
    </w:pPr>
  </w:style>
  <w:style w:type="paragraph" w:styleId="ListNumber5">
    <w:name w:val="List Number 5"/>
    <w:basedOn w:val="List5"/>
    <w:rsid w:val="00B70E48"/>
    <w:pPr>
      <w:numPr>
        <w:numId w:val="6"/>
      </w:numPr>
    </w:pPr>
  </w:style>
  <w:style w:type="paragraph" w:styleId="BlockText">
    <w:name w:val="Block Text"/>
    <w:basedOn w:val="Normal"/>
    <w:rsid w:val="00B70E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E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E48"/>
    <w:rPr>
      <w:sz w:val="16"/>
      <w:vertAlign w:val="superscript"/>
    </w:rPr>
  </w:style>
  <w:style w:type="character" w:customStyle="1" w:styleId="Symbols">
    <w:name w:val="Symbols"/>
    <w:basedOn w:val="DefaultParagraphFont"/>
    <w:rsid w:val="00B70E48"/>
    <w:rPr>
      <w:rFonts w:ascii="Symbol" w:hAnsi="Symbol"/>
    </w:rPr>
  </w:style>
  <w:style w:type="character" w:customStyle="1" w:styleId="MenuOptions">
    <w:name w:val="Menu Options"/>
    <w:basedOn w:val="DefaultParagraphFont"/>
    <w:rsid w:val="00B70E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E48"/>
    <w:rPr>
      <w:b/>
    </w:rPr>
  </w:style>
  <w:style w:type="character" w:customStyle="1" w:styleId="Underlined">
    <w:name w:val="Underlined"/>
    <w:basedOn w:val="DefaultParagraphFont"/>
    <w:rsid w:val="00B70E48"/>
    <w:rPr>
      <w:u w:val="single"/>
    </w:rPr>
  </w:style>
  <w:style w:type="paragraph" w:customStyle="1" w:styleId="TableBodyTextRight">
    <w:name w:val="Table Body Text Right"/>
    <w:basedOn w:val="TableBodyText"/>
    <w:rsid w:val="00B70E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E48"/>
    <w:rPr>
      <w:sz w:val="18"/>
    </w:rPr>
  </w:style>
  <w:style w:type="paragraph" w:customStyle="1" w:styleId="BodySmallRight">
    <w:name w:val="Body Small Right"/>
    <w:basedOn w:val="BodyTextRight"/>
    <w:rsid w:val="00B70E48"/>
    <w:rPr>
      <w:sz w:val="18"/>
      <w:szCs w:val="18"/>
    </w:rPr>
  </w:style>
  <w:style w:type="paragraph" w:customStyle="1" w:styleId="MarginEdition">
    <w:name w:val="Margin Edition"/>
    <w:basedOn w:val="MarginNote"/>
    <w:rsid w:val="00B70E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E48"/>
    <w:rPr>
      <w:sz w:val="2"/>
      <w:szCs w:val="2"/>
    </w:rPr>
  </w:style>
  <w:style w:type="character" w:customStyle="1" w:styleId="Small">
    <w:name w:val="Small"/>
    <w:basedOn w:val="DefaultParagraphFont"/>
    <w:rsid w:val="00B70E48"/>
    <w:rPr>
      <w:sz w:val="16"/>
    </w:rPr>
  </w:style>
  <w:style w:type="paragraph" w:customStyle="1" w:styleId="WideTable">
    <w:name w:val="Wide Table"/>
    <w:basedOn w:val="Normal"/>
    <w:rsid w:val="00B70E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E48"/>
  </w:style>
  <w:style w:type="paragraph" w:styleId="Quote">
    <w:name w:val="Quote"/>
    <w:basedOn w:val="Heading1"/>
    <w:link w:val="QuoteChar"/>
    <w:qFormat/>
    <w:rsid w:val="00B70E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E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E48"/>
    <w:pPr>
      <w:pageBreakBefore/>
    </w:pPr>
  </w:style>
  <w:style w:type="paragraph" w:customStyle="1" w:styleId="Border">
    <w:name w:val="Border"/>
    <w:basedOn w:val="Normal"/>
    <w:qFormat/>
    <w:rsid w:val="00B70E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E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E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E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E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E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E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E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E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E48"/>
    <w:rPr>
      <w:u w:val="single"/>
    </w:rPr>
  </w:style>
  <w:style w:type="character" w:customStyle="1" w:styleId="BoldandItalics">
    <w:name w:val="Bold and Italics"/>
    <w:qFormat/>
    <w:rsid w:val="00B70E48"/>
    <w:rPr>
      <w:b/>
      <w:i/>
      <w:u w:val="none"/>
    </w:rPr>
  </w:style>
  <w:style w:type="paragraph" w:styleId="BalloonText">
    <w:name w:val="Balloon Text"/>
    <w:basedOn w:val="Normal"/>
    <w:link w:val="BalloonTextChar"/>
    <w:rsid w:val="00B70E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E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E4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E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E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E4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3590</Characters>
  <Application>Microsoft Office Word</Application>
  <DocSecurity>0</DocSecurity>
  <Lines>76</Lines>
  <Paragraphs>40</Paragraphs>
  <ScaleCrop>false</ScaleCrop>
  <Company>Author-it Software Corporation Ltd.</Company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MSTGN5003 Work with international TCF supply chains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2016-11-21T11:00:00Z</dcterms:created>
  <dcterms:modified xsi:type="dcterms:W3CDTF">2016-11-21T11:00:00Z</dcterms:modified>
</cp:coreProperties>
</file>