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33C" w:rsidP="0097033C">
      <w:pPr>
        <w:pStyle w:val="Title"/>
      </w:pPr>
      <w:r>
        <w:fldChar w:fldCharType="begin"/>
      </w:r>
      <w:r>
        <w:instrText xml:space="preserve"> TITLE   \* MERGEFORMAT </w:instrText>
      </w:r>
      <w:r>
        <w:fldChar w:fldCharType="separate"/>
      </w:r>
      <w:r>
        <w:t>MSTGN4018 Analyse TCF merchandising and marketing principles</w:t>
      </w:r>
      <w:r>
        <w:fldChar w:fldCharType="end"/>
      </w:r>
    </w:p>
    <w:p w:rsidR="0097033C" w:rsidP="0097033C">
      <w:pPr>
        <w:pStyle w:val="Version"/>
        <w:sectPr w:rsidSect="00615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BA1" w:rsidP="00615BA1">
      <w:pPr>
        <w:pStyle w:val="SuperHeading"/>
      </w:pPr>
      <w:r w:rsidRPr="00615BA1">
        <w:t>MSTGN4018 Analyse TCF merchandising and marketing principles</w:t>
      </w:r>
    </w:p>
    <w:p w:rsidR="00000000" w:rsidRPr="00615BA1" w:rsidP="00615BA1">
      <w:pPr>
        <w:pStyle w:val="Heading1"/>
      </w:pPr>
      <w:bookmarkStart w:id="1" w:name="O_1256894"/>
      <w:bookmarkEnd w:id="1"/>
      <w:r w:rsidRPr="00615BA1">
        <w:t>Modification History</w:t>
      </w:r>
    </w:p>
    <w:p w:rsidR="0097033C" w:rsidP="0097033C">
      <w:pPr>
        <w:pStyle w:val="BodyText"/>
      </w:pPr>
      <w:r w:rsidRPr="00615BA1">
        <w:t>Release 1. Unit Code and Application changed. Elements and Performance Criteria simplified with Element 1 removed. Foundation Skills field populated. Range of Conditions removed with relevant information moved to othe</w:t>
      </w:r>
      <w:r w:rsidRPr="00615BA1">
        <w:t>r parts of unit. Assessment Requirements clarified with generic foundation skills statements moved to appropriate section and duplication with Performance Criteria removed. Supersedes and is equivalent to MSTGN4004 Analyse TCF merchandising and marketing p</w:t>
      </w:r>
      <w:r w:rsidRPr="00615BA1">
        <w:t>rinciples.</w:t>
      </w:r>
    </w:p>
    <w:p w:rsidR="00000000" w:rsidRPr="00615BA1" w:rsidP="00615BA1">
      <w:pPr>
        <w:pStyle w:val="Heading1"/>
      </w:pPr>
      <w:bookmarkStart w:id="2" w:name="O_1256895"/>
      <w:bookmarkEnd w:id="2"/>
      <w:r w:rsidRPr="00615BA1">
        <w:t>Application</w:t>
      </w:r>
    </w:p>
    <w:p w:rsidR="00000000" w:rsidRPr="00615BA1" w:rsidP="0097033C">
      <w:pPr>
        <w:pStyle w:val="BodyText"/>
      </w:pPr>
      <w:r w:rsidRPr="00615BA1">
        <w:t>This unit describes the skills and knowledge required to analyse key principles of merchandising and marketing when applied in a textiles, clothing and footwear (TCF) environment. It applies to all stages of the T</w:t>
      </w:r>
      <w:r w:rsidRPr="00615BA1">
        <w:t>CF supply chain and merchandising through wholesale and retail channels. TCF products may be items and services from any sector within the TCF industry and include final products such as garments or fashion accessories, or processed materials such as fabri</w:t>
      </w:r>
      <w:r w:rsidRPr="00615BA1">
        <w:t>cs and industrial or domestic textiles.</w:t>
      </w:r>
    </w:p>
    <w:p w:rsidR="00000000" w:rsidRPr="00615BA1" w:rsidP="0097033C">
      <w:pPr>
        <w:pStyle w:val="BodyText"/>
      </w:pPr>
      <w:r w:rsidRPr="00615BA1">
        <w:t>This unit applies to individuals who contribute to marketing activities in the workplace. They analyse and compare information from a range of sources.</w:t>
      </w:r>
    </w:p>
    <w:p w:rsidR="0097033C" w:rsidP="0097033C">
      <w:pPr>
        <w:pStyle w:val="BodyText"/>
      </w:pPr>
      <w:r w:rsidRPr="00615BA1">
        <w:t xml:space="preserve">No licensing or certification requirements exist at the time of </w:t>
      </w:r>
      <w:r w:rsidRPr="00615BA1">
        <w:t>publication. Relevant legislation, industry standards and codes of practice within Australia must be applied.</w:t>
      </w:r>
    </w:p>
    <w:p w:rsidR="00000000" w:rsidRPr="00615BA1" w:rsidP="00615BA1">
      <w:pPr>
        <w:pStyle w:val="Heading1"/>
      </w:pPr>
      <w:bookmarkStart w:id="3" w:name="O_1256897"/>
      <w:bookmarkEnd w:id="3"/>
      <w:r w:rsidRPr="00615BA1">
        <w:t>Competency Field</w:t>
      </w:r>
    </w:p>
    <w:p w:rsidR="00000000" w:rsidRPr="00615BA1" w:rsidP="0097033C">
      <w:pPr>
        <w:pStyle w:val="BodyText"/>
      </w:pPr>
      <w:r w:rsidRPr="00615BA1">
        <w:t>Generic</w:t>
      </w:r>
    </w:p>
    <w:p w:rsidR="00000000" w:rsidRPr="00615BA1" w:rsidP="00615BA1">
      <w:pPr>
        <w:pStyle w:val="Heading1"/>
      </w:pPr>
      <w:bookmarkStart w:id="4" w:name="O_1256899"/>
      <w:bookmarkEnd w:id="4"/>
      <w:r w:rsidRPr="00615BA1">
        <w:t>Elements and Performance Criteria</w:t>
      </w:r>
    </w:p>
    <w:tbl>
      <w:tblPr>
        <w:tblW w:w="9639" w:type="dxa"/>
        <w:tblLayout w:type="fixed"/>
        <w:tblCellMar>
          <w:left w:w="62" w:type="dxa"/>
          <w:right w:w="62" w:type="dxa"/>
        </w:tblCellMar>
        <w:tblLook w:val="0000"/>
      </w:tblPr>
      <w:tblGrid>
        <w:gridCol w:w="2502"/>
        <w:gridCol w:w="7137"/>
      </w:tblGrid>
      <w:tr w:rsidTr="0097033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5BA1" w:rsidP="00615BA1">
            <w:pPr>
              <w:pStyle w:val="BodyText"/>
            </w:pPr>
            <w:r w:rsidRPr="00615BA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5BA1">
            <w:pPr>
              <w:pStyle w:val="BodyText"/>
              <w:rPr>
                <w:lang w:val="en-NZ"/>
              </w:rPr>
            </w:pPr>
            <w:r w:rsidRPr="00615BA1">
              <w:rPr>
                <w:rStyle w:val="SpecialBold"/>
              </w:rPr>
              <w:t>Performance Criteria</w:t>
            </w:r>
          </w:p>
        </w:tc>
      </w:tr>
      <w:tr w:rsidTr="0097033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BA1">
            <w:pPr>
              <w:pStyle w:val="BodyText"/>
              <w:rPr>
                <w:lang w:val="en-NZ"/>
              </w:rPr>
            </w:pPr>
            <w:r w:rsidRPr="00615BA1">
              <w:t>Elements describ</w:t>
            </w:r>
            <w:r w:rsidRPr="00615BA1">
              <w:t>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BA1">
            <w:pPr>
              <w:pStyle w:val="BodyText"/>
              <w:rPr>
                <w:lang w:val="en-NZ"/>
              </w:rPr>
            </w:pPr>
            <w:r w:rsidRPr="00615BA1">
              <w:t>Performance criteria describe the performance needed to demonstrate achievement of the element.</w:t>
            </w:r>
          </w:p>
        </w:tc>
      </w:tr>
      <w:tr w:rsidTr="0097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A1">
            <w:pPr>
              <w:pStyle w:val="BodyText"/>
              <w:rPr>
                <w:lang w:val="en-NZ"/>
              </w:rPr>
            </w:pPr>
            <w:r w:rsidRPr="00615BA1">
              <w:t>1. Investigate TCF market conditions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A1" w:rsidP="00615BA1">
            <w:pPr>
              <w:pStyle w:val="BodyText"/>
            </w:pPr>
            <w:r w:rsidRPr="00615BA1">
              <w:t xml:space="preserve">1.1 Use appropriate research methods to survey domestic and international conditions </w:t>
            </w:r>
            <w:r w:rsidRPr="00615BA1">
              <w:t>affecting the TCF market and identify effects of these conditions on the TCF industry</w:t>
            </w:r>
          </w:p>
          <w:p w:rsidR="00000000" w:rsidRPr="00615BA1" w:rsidP="00615BA1">
            <w:pPr>
              <w:pStyle w:val="BodyText"/>
            </w:pPr>
            <w:r w:rsidRPr="00615BA1">
              <w:t xml:space="preserve">1.2 Assess significance of TCF product range on the global market </w:t>
            </w:r>
          </w:p>
          <w:p w:rsidR="00000000" w:rsidRPr="00615BA1" w:rsidP="00615BA1">
            <w:pPr>
              <w:pStyle w:val="BodyText"/>
            </w:pPr>
            <w:r w:rsidRPr="00615BA1">
              <w:t>1.3 Identify key components of the TCF supply chain and analyse influences on supply chain conditions</w:t>
            </w:r>
          </w:p>
          <w:p w:rsidR="00000000" w:rsidRPr="00615BA1" w:rsidP="00615BA1">
            <w:pPr>
              <w:pStyle w:val="BodyText"/>
            </w:pPr>
            <w:r w:rsidRPr="00615BA1">
              <w:t>1</w:t>
            </w:r>
            <w:r w:rsidRPr="00615BA1">
              <w:t xml:space="preserve">.4 Examine features of mainstream and niche markets within the TCF market </w:t>
            </w:r>
          </w:p>
          <w:p w:rsidR="00000000" w:rsidP="00615BA1">
            <w:pPr>
              <w:pStyle w:val="BodyText"/>
              <w:rPr>
                <w:lang w:val="en-NZ"/>
              </w:rPr>
            </w:pPr>
            <w:r w:rsidRPr="00615BA1">
              <w:t>1.5 Investigate role of merchandising in the TCF marketplace</w:t>
            </w:r>
          </w:p>
        </w:tc>
      </w:tr>
      <w:tr w:rsidTr="0097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A1">
            <w:pPr>
              <w:pStyle w:val="BodyText"/>
              <w:rPr>
                <w:lang w:val="en-NZ"/>
              </w:rPr>
            </w:pPr>
            <w:r w:rsidRPr="00615BA1">
              <w:t>2. Determine characteristics of the TCF market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A1" w:rsidP="00615BA1">
            <w:pPr>
              <w:pStyle w:val="BodyText"/>
            </w:pPr>
            <w:r w:rsidRPr="00615BA1">
              <w:t>2.1 Access and investigate current information on the TCF market to dete</w:t>
            </w:r>
            <w:r w:rsidRPr="00615BA1">
              <w:t>rmine trends influencing TCF production and supply</w:t>
            </w:r>
          </w:p>
          <w:p w:rsidR="00000000" w:rsidRPr="00615BA1" w:rsidP="00615BA1">
            <w:pPr>
              <w:pStyle w:val="BodyText"/>
            </w:pPr>
            <w:r w:rsidRPr="00615BA1">
              <w:t>2.2 Investigate TCF market segmentation, targeting and price positioning for TCF product range</w:t>
            </w:r>
          </w:p>
          <w:p w:rsidR="00000000" w:rsidRPr="00615BA1" w:rsidP="00615BA1">
            <w:pPr>
              <w:pStyle w:val="BodyText"/>
            </w:pPr>
            <w:r w:rsidRPr="00615BA1">
              <w:t>2.3 Identify key characteristics of TCF market segments and examine implications for marketing activity</w:t>
            </w:r>
          </w:p>
          <w:p w:rsidR="00000000" w:rsidP="00615BA1">
            <w:pPr>
              <w:pStyle w:val="BodyText"/>
              <w:rPr>
                <w:lang w:val="en-NZ"/>
              </w:rPr>
            </w:pPr>
            <w:r w:rsidRPr="00615BA1">
              <w:t>2.4 An</w:t>
            </w:r>
            <w:r w:rsidRPr="00615BA1">
              <w:t>alyse consumer behaviour for TCF product range</w:t>
            </w:r>
          </w:p>
        </w:tc>
      </w:tr>
      <w:tr w:rsidTr="0097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BA1">
            <w:pPr>
              <w:pStyle w:val="BodyText"/>
              <w:rPr>
                <w:lang w:val="en-NZ"/>
              </w:rPr>
            </w:pPr>
            <w:r w:rsidRPr="00615BA1">
              <w:t>3. Assess features of a TCF product to determine effective marketing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BA1" w:rsidP="00615BA1">
            <w:pPr>
              <w:pStyle w:val="BodyText"/>
            </w:pPr>
            <w:r w:rsidRPr="00615BA1">
              <w:t xml:space="preserve">3.1 Identify technical specifications of a TCF product and determine implications for market positioning </w:t>
            </w:r>
          </w:p>
          <w:p w:rsidR="00000000" w:rsidRPr="00615BA1" w:rsidP="00615BA1">
            <w:pPr>
              <w:pStyle w:val="BodyText"/>
            </w:pPr>
            <w:r w:rsidRPr="00615BA1">
              <w:t>3.2 Explore role of creativity in the marketing of the product</w:t>
            </w:r>
          </w:p>
          <w:p w:rsidR="00000000" w:rsidRPr="00615BA1" w:rsidP="00615BA1">
            <w:pPr>
              <w:pStyle w:val="BodyText"/>
            </w:pPr>
            <w:r w:rsidRPr="00615BA1">
              <w:t xml:space="preserve">3.3 Identify networks applying to the marketing and merchandising of the product </w:t>
            </w:r>
          </w:p>
          <w:p w:rsidR="00000000" w:rsidRPr="00615BA1" w:rsidP="00615BA1">
            <w:pPr>
              <w:pStyle w:val="BodyText"/>
            </w:pPr>
            <w:r w:rsidRPr="00615BA1">
              <w:t>3.4 Identify strengths, weaknesses, opportunities and threats for the product and assess implications for marke</w:t>
            </w:r>
            <w:r w:rsidRPr="00615BA1">
              <w:t>ting</w:t>
            </w:r>
          </w:p>
          <w:p w:rsidR="00000000" w:rsidRPr="00615BA1" w:rsidP="00615BA1">
            <w:pPr>
              <w:pStyle w:val="BodyText"/>
            </w:pPr>
            <w:r w:rsidRPr="00615BA1">
              <w:t xml:space="preserve">3.5 Document and record outcomes of marketing investigation </w:t>
            </w:r>
          </w:p>
        </w:tc>
      </w:tr>
    </w:tbl>
    <w:p w:rsidR="0097033C" w:rsidP="00615BA1">
      <w:pPr>
        <w:pStyle w:val="BodyText"/>
      </w:pPr>
    </w:p>
    <w:p w:rsidR="0097033C" w:rsidP="00615BA1">
      <w:pPr>
        <w:pStyle w:val="BodyText"/>
      </w:pPr>
    </w:p>
    <w:p w:rsidR="00000000" w:rsidRPr="00615BA1" w:rsidP="00615BA1">
      <w:pPr>
        <w:pStyle w:val="Heading1"/>
      </w:pPr>
      <w:bookmarkStart w:id="5" w:name="O_1256900"/>
      <w:bookmarkEnd w:id="5"/>
      <w:r w:rsidRPr="00615BA1">
        <w:t>Foundation Skills</w:t>
      </w:r>
    </w:p>
    <w:p w:rsidR="00000000" w:rsidRPr="00615BA1" w:rsidP="0097033C">
      <w:pPr>
        <w:pStyle w:val="BodyText"/>
      </w:pPr>
      <w:r w:rsidRPr="00615BA1">
        <w:t xml:space="preserve">This section describes those language, literacy, numeracy and employment skills that are essential to performance but not explicit in the performance </w:t>
      </w:r>
      <w:r w:rsidRPr="00615BA1">
        <w:t>criteria.</w:t>
      </w:r>
    </w:p>
    <w:p w:rsidR="00000000" w:rsidRPr="00615BA1" w:rsidP="00615BA1">
      <w:pPr>
        <w:pStyle w:val="ListBullet"/>
      </w:pPr>
      <w:r w:rsidRPr="00615BA1">
        <w:t>Reading skills to navigate and interpret diverse and potentially complex marketing information</w:t>
      </w:r>
    </w:p>
    <w:p w:rsidR="00000000" w:rsidRPr="00615BA1" w:rsidP="00615BA1">
      <w:pPr>
        <w:pStyle w:val="ListBullet"/>
      </w:pPr>
      <w:r w:rsidRPr="00615BA1">
        <w:t>Technology skills to complete research using digital media.</w:t>
      </w:r>
    </w:p>
    <w:p w:rsidR="0097033C" w:rsidP="0097033C">
      <w:pPr>
        <w:pStyle w:val="BodyText"/>
      </w:pPr>
      <w:r w:rsidRPr="00615BA1">
        <w:t>Other foundation skills essential to performance are explicit in the performance criteria of this unit.</w:t>
      </w:r>
    </w:p>
    <w:p w:rsidR="00000000" w:rsidRPr="00615BA1" w:rsidP="00615BA1">
      <w:pPr>
        <w:pStyle w:val="Heading1"/>
      </w:pPr>
      <w:bookmarkStart w:id="6" w:name="O_1256902"/>
      <w:bookmarkEnd w:id="6"/>
      <w:r w:rsidRPr="00615BA1">
        <w:t>Unit Mapping Information</w:t>
      </w:r>
    </w:p>
    <w:p w:rsidR="0097033C" w:rsidP="0097033C">
      <w:pPr>
        <w:pStyle w:val="BodyText"/>
      </w:pPr>
      <w:r w:rsidRPr="00615BA1">
        <w:t>Supersedes and is equivalent to MSTGN4004 Analyse TCF merchandising and marketing principles.</w:t>
      </w:r>
    </w:p>
    <w:p w:rsidR="00000000" w:rsidRPr="00615BA1" w:rsidP="00615BA1">
      <w:pPr>
        <w:pStyle w:val="Heading1"/>
      </w:pPr>
      <w:bookmarkStart w:id="7" w:name="O_1256909"/>
      <w:bookmarkEnd w:id="7"/>
      <w:r w:rsidRPr="00615BA1">
        <w:t>Links</w:t>
      </w:r>
    </w:p>
    <w:p w:rsidR="00000000" w:rsidRPr="00615BA1" w:rsidP="0097033C">
      <w:pPr>
        <w:pStyle w:val="BodyText"/>
      </w:pPr>
      <w:r w:rsidRPr="00615BA1">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5E0633">
        <w:rPr>
          <w:rStyle w:val="Hyperlink"/>
        </w:rPr>
        <w:t>https://vetnet.gov.au/Pages/TrainingDocs.aspx?q=a203ec5c-de7d-406b-b3e1-8f1a9b76e92e</w:t>
      </w:r>
      <w:r>
        <w:fldChar w:fldCharType="end"/>
      </w:r>
    </w:p>
    <w:p w:rsidR="00000000" w:rsidRPr="00615BA1" w:rsidP="0097033C">
      <w:pPr>
        <w:pStyle w:val="BodyText"/>
        <w:sectPr w:rsidSect="00615BA1">
          <w:headerReference w:type="default" r:id="rId10"/>
          <w:footerReference w:type="default" r:id="rId11"/>
          <w:pgSz w:w="11908" w:h="16833"/>
          <w:pgMar w:top="1702" w:right="1418" w:bottom="1702" w:left="1418" w:header="992" w:footer="992" w:gutter="0"/>
          <w:cols w:space="720"/>
          <w:noEndnote/>
          <w:docGrid w:linePitch="299"/>
        </w:sectPr>
      </w:pPr>
    </w:p>
    <w:p w:rsidR="00000000" w:rsidRPr="00615BA1" w:rsidP="00615BA1">
      <w:pPr>
        <w:pStyle w:val="SuperHeading"/>
      </w:pPr>
      <w:r w:rsidRPr="00615BA1">
        <w:t>Assessment Requirements for MSTGN4018 Analyse TC</w:t>
      </w:r>
      <w:r w:rsidRPr="00615BA1">
        <w:t>F merchandising and marketing principles</w:t>
      </w:r>
    </w:p>
    <w:p w:rsidR="00000000" w:rsidRPr="00615BA1" w:rsidP="00615BA1">
      <w:pPr>
        <w:pStyle w:val="Heading1"/>
      </w:pPr>
      <w:bookmarkStart w:id="8" w:name="O_1256904"/>
      <w:bookmarkEnd w:id="8"/>
      <w:r w:rsidRPr="00615BA1">
        <w:t>Modification History</w:t>
      </w:r>
    </w:p>
    <w:p w:rsidR="0097033C" w:rsidP="0097033C">
      <w:pPr>
        <w:pStyle w:val="BodyText"/>
      </w:pPr>
      <w:r w:rsidRPr="00615BA1">
        <w:t>Release 1. Unit Code and Application changed. Elements and Performance Criteria simplified with Element 1 removed. Foundation Skills field populated. Range of Conditions remove</w:t>
      </w:r>
      <w:r w:rsidRPr="00615BA1">
        <w:t xml:space="preserve">d with relevant information moved to other parts of unit. Assessment Requirements clarified with generic foundation skills statements moved to appropriate section and duplication with Performance Criteria removed. Supersedes and is equivalent to MSTGN4004 </w:t>
      </w:r>
      <w:r w:rsidRPr="00615BA1">
        <w:t>Analyse TCF merchandising and marketing principles.</w:t>
      </w:r>
    </w:p>
    <w:p w:rsidR="00000000" w:rsidRPr="00615BA1" w:rsidP="00615BA1">
      <w:pPr>
        <w:pStyle w:val="Heading1"/>
      </w:pPr>
      <w:bookmarkStart w:id="9" w:name="O_1256905"/>
      <w:bookmarkEnd w:id="9"/>
      <w:r w:rsidRPr="00615BA1">
        <w:t>Performance Evidence</w:t>
      </w:r>
    </w:p>
    <w:p w:rsidR="00000000" w:rsidRPr="00615BA1" w:rsidP="0097033C">
      <w:pPr>
        <w:pStyle w:val="BodyText"/>
      </w:pPr>
      <w:r w:rsidRPr="00615BA1">
        <w:t>There must be evidence the candidate has completed the tasks outlined in the elements and performance criteria of this unit, and demonstrated the ability to:</w:t>
      </w:r>
    </w:p>
    <w:p w:rsidR="00000000" w:rsidRPr="00615BA1" w:rsidP="00615BA1">
      <w:pPr>
        <w:pStyle w:val="ListBullet"/>
      </w:pPr>
      <w:r w:rsidRPr="00615BA1">
        <w:t>use at least two different research strategies and assess and report on:</w:t>
      </w:r>
    </w:p>
    <w:p w:rsidR="00000000" w:rsidRPr="00615BA1" w:rsidP="00615BA1">
      <w:pPr>
        <w:pStyle w:val="ListBullet2"/>
      </w:pPr>
      <w:r w:rsidRPr="00615BA1">
        <w:t>three features of:</w:t>
      </w:r>
    </w:p>
    <w:p w:rsidR="00000000" w:rsidRPr="00615BA1" w:rsidP="00615BA1">
      <w:pPr>
        <w:pStyle w:val="ListBullet3"/>
      </w:pPr>
      <w:r w:rsidRPr="00615BA1">
        <w:t>global textiles, clothing and footwear (TCF) market conditions, including supply chain</w:t>
      </w:r>
    </w:p>
    <w:p w:rsidR="00000000" w:rsidRPr="00615BA1" w:rsidP="00615BA1">
      <w:pPr>
        <w:pStyle w:val="ListBullet3"/>
      </w:pPr>
      <w:r w:rsidRPr="00615BA1">
        <w:t xml:space="preserve">domestic TCF market conditions </w:t>
      </w:r>
    </w:p>
    <w:p w:rsidR="00000000" w:rsidRPr="00615BA1" w:rsidP="00615BA1">
      <w:pPr>
        <w:pStyle w:val="ListBullet2"/>
      </w:pPr>
      <w:r w:rsidRPr="00615BA1">
        <w:t>four characteristics of the TCF market</w:t>
      </w:r>
    </w:p>
    <w:p w:rsidR="00000000" w:rsidRPr="00615BA1" w:rsidP="00615BA1">
      <w:pPr>
        <w:pStyle w:val="ListBullet2"/>
      </w:pPr>
      <w:r w:rsidRPr="00615BA1">
        <w:t>two features of an identified TCF product range that support effective marketing</w:t>
      </w:r>
    </w:p>
    <w:p w:rsidR="00000000" w:rsidRPr="00615BA1" w:rsidP="00615BA1">
      <w:pPr>
        <w:pStyle w:val="ListBullet2"/>
      </w:pPr>
      <w:r w:rsidRPr="00615BA1">
        <w:t>the following aspects of a TCF product and the implications for marketing and merchandising:</w:t>
      </w:r>
    </w:p>
    <w:p w:rsidR="00000000" w:rsidRPr="00615BA1" w:rsidP="00615BA1">
      <w:pPr>
        <w:pStyle w:val="ListBullet3"/>
      </w:pPr>
      <w:r w:rsidRPr="00615BA1">
        <w:t>technical specifications</w:t>
      </w:r>
    </w:p>
    <w:p w:rsidR="00000000" w:rsidRPr="00615BA1" w:rsidP="00615BA1">
      <w:pPr>
        <w:pStyle w:val="ListBullet3"/>
      </w:pPr>
      <w:r w:rsidRPr="00615BA1">
        <w:t>strengths</w:t>
      </w:r>
    </w:p>
    <w:p w:rsidR="00000000" w:rsidRPr="00615BA1" w:rsidP="00615BA1">
      <w:pPr>
        <w:pStyle w:val="ListBullet3"/>
      </w:pPr>
      <w:r w:rsidRPr="00615BA1">
        <w:t>weaknesses</w:t>
      </w:r>
    </w:p>
    <w:p w:rsidR="00000000" w:rsidRPr="00615BA1" w:rsidP="00615BA1">
      <w:pPr>
        <w:pStyle w:val="ListBullet3"/>
      </w:pPr>
      <w:r w:rsidRPr="00615BA1">
        <w:t>opportunities</w:t>
      </w:r>
    </w:p>
    <w:p w:rsidR="0097033C" w:rsidP="00615BA1">
      <w:pPr>
        <w:pStyle w:val="ListBullet3"/>
      </w:pPr>
      <w:r w:rsidRPr="00615BA1">
        <w:t>threats.</w:t>
      </w:r>
    </w:p>
    <w:p w:rsidR="0097033C" w:rsidP="00615BA1">
      <w:pPr>
        <w:pStyle w:val="ListBullet3"/>
      </w:pPr>
    </w:p>
    <w:p w:rsidR="00000000" w:rsidRPr="00615BA1" w:rsidP="00615BA1">
      <w:pPr>
        <w:pStyle w:val="Heading1"/>
      </w:pPr>
      <w:bookmarkStart w:id="10" w:name="O_1256906"/>
      <w:bookmarkEnd w:id="10"/>
      <w:r w:rsidRPr="00615BA1">
        <w:t>Knowledge Evidence</w:t>
      </w:r>
    </w:p>
    <w:p w:rsidR="00000000" w:rsidRPr="00615BA1" w:rsidP="0097033C">
      <w:pPr>
        <w:pStyle w:val="BodyText"/>
      </w:pPr>
      <w:r w:rsidRPr="00615BA1">
        <w:t>There must be evidence the candidate has knowledge of:</w:t>
      </w:r>
    </w:p>
    <w:p w:rsidR="00000000" w:rsidRPr="00615BA1" w:rsidP="00615BA1">
      <w:pPr>
        <w:pStyle w:val="ListBullet"/>
      </w:pPr>
      <w:r w:rsidRPr="00615BA1">
        <w:t>research strategies and methods used in TCF industry</w:t>
      </w:r>
    </w:p>
    <w:p w:rsidR="00000000" w:rsidRPr="00615BA1" w:rsidP="00615BA1">
      <w:pPr>
        <w:pStyle w:val="ListBullet"/>
      </w:pPr>
      <w:r w:rsidRPr="00615BA1">
        <w:t>characteristics of domestic and global TCF market conditions and the relationship between them, including:</w:t>
      </w:r>
    </w:p>
    <w:p w:rsidR="00000000" w:rsidRPr="00615BA1" w:rsidP="00615BA1">
      <w:pPr>
        <w:pStyle w:val="ListBullet2"/>
      </w:pPr>
      <w:r w:rsidRPr="00615BA1">
        <w:t>demographics</w:t>
      </w:r>
    </w:p>
    <w:p w:rsidR="00000000" w:rsidRPr="00615BA1" w:rsidP="00615BA1">
      <w:pPr>
        <w:pStyle w:val="ListBullet2"/>
      </w:pPr>
      <w:r w:rsidRPr="00615BA1">
        <w:t>economics</w:t>
      </w:r>
    </w:p>
    <w:p w:rsidR="00000000" w:rsidRPr="00615BA1" w:rsidP="00615BA1">
      <w:pPr>
        <w:pStyle w:val="ListBullet2"/>
      </w:pPr>
      <w:r w:rsidRPr="00615BA1">
        <w:t>location</w:t>
      </w:r>
    </w:p>
    <w:p w:rsidR="00000000" w:rsidRPr="00615BA1" w:rsidP="00615BA1">
      <w:pPr>
        <w:pStyle w:val="ListBullet2"/>
      </w:pPr>
      <w:r w:rsidRPr="00615BA1">
        <w:t>education</w:t>
      </w:r>
    </w:p>
    <w:p w:rsidR="00000000" w:rsidRPr="00615BA1" w:rsidP="00615BA1">
      <w:pPr>
        <w:pStyle w:val="ListBullet"/>
      </w:pPr>
      <w:r w:rsidRPr="00615BA1">
        <w:t>components of the TCF supply chain, including:</w:t>
      </w:r>
    </w:p>
    <w:p w:rsidR="00000000" w:rsidRPr="00615BA1" w:rsidP="00615BA1">
      <w:pPr>
        <w:pStyle w:val="ListBullet2"/>
      </w:pPr>
      <w:r w:rsidRPr="00615BA1">
        <w:t>designers and product engineers</w:t>
      </w:r>
    </w:p>
    <w:p w:rsidR="00000000" w:rsidRPr="00615BA1" w:rsidP="00615BA1">
      <w:pPr>
        <w:pStyle w:val="ListBullet2"/>
      </w:pPr>
      <w:r w:rsidRPr="00615BA1">
        <w:t>manufacturers</w:t>
      </w:r>
    </w:p>
    <w:p w:rsidR="00000000" w:rsidRPr="00615BA1" w:rsidP="00615BA1">
      <w:pPr>
        <w:pStyle w:val="ListBullet2"/>
      </w:pPr>
      <w:r w:rsidRPr="00615BA1">
        <w:t>distributors, wholesalers, exporters and importers</w:t>
      </w:r>
    </w:p>
    <w:p w:rsidR="00000000" w:rsidRPr="00615BA1" w:rsidP="00615BA1">
      <w:pPr>
        <w:pStyle w:val="ListBullet2"/>
      </w:pPr>
      <w:r w:rsidRPr="00615BA1">
        <w:t>transporters</w:t>
      </w:r>
    </w:p>
    <w:p w:rsidR="00000000" w:rsidRPr="00615BA1" w:rsidP="00615BA1">
      <w:pPr>
        <w:pStyle w:val="ListBullet2"/>
      </w:pPr>
      <w:r w:rsidRPr="00615BA1">
        <w:t>sales, marketing and retail providers</w:t>
      </w:r>
    </w:p>
    <w:p w:rsidR="00000000" w:rsidRPr="00615BA1" w:rsidP="00615BA1">
      <w:pPr>
        <w:pStyle w:val="ListBullet"/>
      </w:pPr>
      <w:r w:rsidRPr="00615BA1">
        <w:t xml:space="preserve">range of products available </w:t>
      </w:r>
      <w:r w:rsidRPr="00615BA1">
        <w:t>in the TCF industry</w:t>
      </w:r>
    </w:p>
    <w:p w:rsidR="00000000" w:rsidRPr="00615BA1" w:rsidP="00615BA1">
      <w:pPr>
        <w:pStyle w:val="ListBullet"/>
      </w:pPr>
      <w:r w:rsidRPr="00615BA1">
        <w:t>segmentation of the TCF market</w:t>
      </w:r>
    </w:p>
    <w:p w:rsidR="00000000" w:rsidRPr="00615BA1" w:rsidP="00615BA1">
      <w:pPr>
        <w:pStyle w:val="ListBullet"/>
      </w:pPr>
      <w:r w:rsidRPr="00615BA1">
        <w:t xml:space="preserve">demographics of the TCF consumer  </w:t>
      </w:r>
    </w:p>
    <w:p w:rsidR="00000000" w:rsidRPr="00615BA1" w:rsidP="00615BA1">
      <w:pPr>
        <w:pStyle w:val="ListBullet"/>
      </w:pPr>
      <w:r w:rsidRPr="00615BA1">
        <w:t>technical aspects of TCF product</w:t>
      </w:r>
    </w:p>
    <w:p w:rsidR="00000000" w:rsidRPr="00615BA1" w:rsidP="00615BA1">
      <w:pPr>
        <w:pStyle w:val="ListBullet"/>
      </w:pPr>
      <w:r w:rsidRPr="00615BA1">
        <w:t>trends and the role of marketing and merchandising</w:t>
      </w:r>
    </w:p>
    <w:p w:rsidR="00000000" w:rsidRPr="00615BA1" w:rsidP="00615BA1">
      <w:pPr>
        <w:pStyle w:val="ListBullet"/>
      </w:pPr>
      <w:r w:rsidRPr="00615BA1">
        <w:t>characteristics of identified TCF product that make it suitable for marketing</w:t>
      </w:r>
    </w:p>
    <w:p w:rsidR="0097033C" w:rsidP="00615BA1">
      <w:pPr>
        <w:pStyle w:val="ListBullet"/>
      </w:pPr>
      <w:r w:rsidRPr="00615BA1">
        <w:t>recording and reporting practices.</w:t>
      </w:r>
    </w:p>
    <w:p w:rsidR="0097033C" w:rsidP="00615BA1">
      <w:pPr>
        <w:pStyle w:val="ListBullet"/>
      </w:pPr>
    </w:p>
    <w:p w:rsidR="00000000" w:rsidRPr="00615BA1" w:rsidP="00615BA1">
      <w:pPr>
        <w:pStyle w:val="Heading1"/>
      </w:pPr>
      <w:bookmarkStart w:id="11" w:name="O_1256907"/>
      <w:bookmarkEnd w:id="11"/>
      <w:r w:rsidRPr="00615BA1">
        <w:t>Assessment Conditions</w:t>
      </w:r>
    </w:p>
    <w:p w:rsidR="00000000" w:rsidRPr="00615BA1" w:rsidP="0097033C">
      <w:pPr>
        <w:pStyle w:val="BodyText"/>
      </w:pPr>
      <w:r w:rsidRPr="00615BA1">
        <w:t>Skills must have been demonstrated in the workplace or in a simulated environment that reflects workplace conditions and contingencies. The following conditions must be met for th</w:t>
      </w:r>
      <w:r w:rsidRPr="00615BA1">
        <w:t>is unit:</w:t>
      </w:r>
    </w:p>
    <w:p w:rsidR="00000000" w:rsidRPr="00615BA1" w:rsidP="00615BA1">
      <w:pPr>
        <w:pStyle w:val="ListBullet"/>
      </w:pPr>
      <w:r w:rsidRPr="00615BA1">
        <w:t>use of suitable facilities, equipment and resources, including:</w:t>
      </w:r>
    </w:p>
    <w:p w:rsidR="00000000" w:rsidRPr="00615BA1" w:rsidP="00615BA1">
      <w:pPr>
        <w:pStyle w:val="ListBullet2"/>
      </w:pPr>
      <w:r w:rsidRPr="00615BA1">
        <w:t>technology for research.</w:t>
      </w:r>
    </w:p>
    <w:p w:rsidR="0097033C" w:rsidP="0097033C">
      <w:pPr>
        <w:pStyle w:val="BodyText"/>
      </w:pPr>
      <w:r w:rsidRPr="00615BA1">
        <w:t>Assessors must satisfy the NVR/AQTF mandatory competency requirements for assessors.</w:t>
      </w:r>
    </w:p>
    <w:p w:rsidR="00000000" w:rsidRPr="00615BA1" w:rsidP="00615BA1">
      <w:pPr>
        <w:pStyle w:val="Heading1"/>
      </w:pPr>
      <w:bookmarkStart w:id="12" w:name="O_1256910"/>
      <w:bookmarkEnd w:id="12"/>
      <w:r w:rsidRPr="00615BA1">
        <w:t>Links</w:t>
      </w:r>
    </w:p>
    <w:p w:rsidR="00000000" w:rsidRPr="00615BA1" w:rsidP="0097033C">
      <w:pPr>
        <w:pStyle w:val="BodyText"/>
      </w:pPr>
      <w:r w:rsidRPr="00615BA1">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5E0633">
        <w:rPr>
          <w:rStyle w:val="Hyperlink"/>
        </w:rPr>
        <w:t>https://vetnet.gov.au/Pages/TrainingDocs.aspx?q=a203ec5c-de7d-406b-b3e1-8f1a9b76e92e</w:t>
      </w:r>
      <w:r>
        <w:fldChar w:fldCharType="end"/>
      </w:r>
    </w:p>
    <w:p w:rsidR="00000000" w:rsidRPr="00615BA1" w:rsidP="00615BA1"/>
    <w:sectPr w:rsidSect="00615B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rsidRPr="0097033C" w:rsidP="00970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3C" w:rsidP="00615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033C" w:rsidP="00615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033C" w:rsidP="00615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rsidP="00615BA1">
    <w:pPr>
      <w:pStyle w:val="Footer"/>
      <w:framePr w:wrap="around"/>
    </w:pPr>
    <w:r>
      <w:fldChar w:fldCharType="begin"/>
    </w:r>
    <w:r>
      <w:instrText xml:space="preserve"> DOCPROPERTY  Subject  \* MERGEFORMAT </w:instrText>
    </w:r>
    <w:r>
      <w:fldChar w:fldCharType="separate"/>
    </w:r>
    <w:r w:rsidR="0097033C">
      <w:t>Approved</w:t>
    </w:r>
    <w:r w:rsidR="0097033C">
      <w:fldChar w:fldCharType="end"/>
    </w:r>
    <w:r>
      <w:tab/>
      <w:t xml:space="preserve">Page </w:t>
    </w:r>
    <w:r>
      <w:fldChar w:fldCharType="begin"/>
    </w:r>
    <w:r>
      <w:instrText xml:space="preserve"> PAGE  \* Arabic  \* MERGEFORMAT </w:instrText>
    </w:r>
    <w:r>
      <w:fldChar w:fldCharType="separate"/>
    </w:r>
    <w:r w:rsidR="009703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033C">
      <w:rPr>
        <w:noProof/>
      </w:rPr>
      <w:t>4</w:t>
    </w:r>
    <w:r>
      <w:rPr>
        <w:noProof/>
      </w:rPr>
      <w:fldChar w:fldCharType="end"/>
    </w:r>
  </w:p>
  <w:p w:rsidR="00615BA1" w:rsidP="00615BA1">
    <w:pPr>
      <w:pStyle w:val="Footer"/>
      <w:framePr w:wrap="around"/>
    </w:pPr>
    <w:r>
      <w:t xml:space="preserve">© Commonwealth of Australia, </w:t>
    </w:r>
    <w:r>
      <w:fldChar w:fldCharType="begin"/>
    </w:r>
    <w:r>
      <w:instrText xml:space="preserve"> DATE  \@ "yyyy"  \* MERGEFORMAT </w:instrText>
    </w:r>
    <w:r>
      <w:fldChar w:fldCharType="separate"/>
    </w:r>
    <w:r w:rsidR="0097033C">
      <w:rPr>
        <w:noProof/>
      </w:rPr>
      <w:t>2025</w:t>
    </w:r>
    <w:r>
      <w:fldChar w:fldCharType="end"/>
    </w:r>
    <w:r>
      <w:tab/>
    </w:r>
    <w:r>
      <w:fldChar w:fldCharType="begin"/>
    </w:r>
    <w:r>
      <w:instrText xml:space="preserve"> DOCPROPERTY  Author  \* MERGEFORMAT </w:instrText>
    </w:r>
    <w:r>
      <w:fldChar w:fldCharType="separate"/>
    </w:r>
    <w:r w:rsidR="0097033C">
      <w:t>Skills Insight</w:t>
    </w:r>
    <w:r w:rsidR="0097033C">
      <w:fldChar w:fldCharType="end"/>
    </w:r>
  </w:p>
  <w:p w:rsidR="00615BA1" w:rsidP="00615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BA1" w:rsidRPr="0097033C" w:rsidP="00970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3C" w:rsidRPr="002D2AF8" w:rsidP="00615BA1">
    <w:pPr>
      <w:pStyle w:val="Header"/>
      <w:framePr w:wrap="around"/>
    </w:pPr>
    <w:r>
      <w:fldChar w:fldCharType="begin"/>
    </w:r>
    <w:r>
      <w:instrText xml:space="preserve"> TITLE   \* MERGEFORMAT </w:instrText>
    </w:r>
    <w:r>
      <w:fldChar w:fldCharType="separate"/>
    </w:r>
    <w:r>
      <w:t>MSTGN4018 Analyse TCF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033C" w:rsidP="00615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A1" w:rsidRPr="002D2AF8" w:rsidP="00615BA1">
    <w:pPr>
      <w:pStyle w:val="Header"/>
      <w:framePr w:wrap="around"/>
    </w:pPr>
    <w:r>
      <w:fldChar w:fldCharType="begin"/>
    </w:r>
    <w:r>
      <w:instrText xml:space="preserve"> TITLE   \* MERGEFORMAT </w:instrText>
    </w:r>
    <w:r>
      <w:fldChar w:fldCharType="separate"/>
    </w:r>
    <w:r w:rsidR="0097033C">
      <w:t>MSTGN4018 Analyse TCF merchandising and marketing principles</w:t>
    </w:r>
    <w:r w:rsidR="0097033C">
      <w:fldChar w:fldCharType="end"/>
    </w:r>
    <w:r>
      <w:tab/>
      <w:t xml:space="preserve">Date this document was generated: </w:t>
    </w:r>
    <w:r>
      <w:fldChar w:fldCharType="begin"/>
    </w:r>
    <w:r>
      <w:instrText xml:space="preserve"> CREATEDATE  \@ "d MMMM yyyy"  \* MERGEFORMAT </w:instrText>
    </w:r>
    <w:r>
      <w:fldChar w:fldCharType="separate"/>
    </w:r>
    <w:r w:rsidR="0097033C">
      <w:rPr>
        <w:noProof/>
      </w:rPr>
      <w:t>2 March 2025</w:t>
    </w:r>
    <w:r>
      <w:fldChar w:fldCharType="end"/>
    </w:r>
  </w:p>
  <w:p w:rsidR="00615BA1" w:rsidP="00615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47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86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A8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BA1"/>
    <w:pPr>
      <w:spacing w:before="360" w:after="60"/>
      <w:outlineLvl w:val="0"/>
    </w:pPr>
    <w:rPr>
      <w:sz w:val="32"/>
    </w:rPr>
  </w:style>
  <w:style w:type="paragraph" w:styleId="Heading2">
    <w:name w:val="heading 2"/>
    <w:basedOn w:val="HeadingBase"/>
    <w:next w:val="BodyText"/>
    <w:link w:val="Heading2Char"/>
    <w:qFormat/>
    <w:rsid w:val="00615BA1"/>
    <w:pPr>
      <w:keepLines/>
      <w:spacing w:before="240" w:after="120"/>
      <w:outlineLvl w:val="1"/>
    </w:pPr>
    <w:rPr>
      <w:sz w:val="28"/>
      <w:szCs w:val="40"/>
    </w:rPr>
  </w:style>
  <w:style w:type="paragraph" w:styleId="Heading3">
    <w:name w:val="heading 3"/>
    <w:basedOn w:val="HeadingBase"/>
    <w:next w:val="BodyText"/>
    <w:link w:val="Heading3Char"/>
    <w:qFormat/>
    <w:rsid w:val="00615BA1"/>
    <w:pPr>
      <w:spacing w:before="180" w:after="120"/>
      <w:outlineLvl w:val="2"/>
    </w:pPr>
    <w:rPr>
      <w:spacing w:val="-10"/>
      <w:kern w:val="32"/>
    </w:rPr>
  </w:style>
  <w:style w:type="paragraph" w:styleId="Heading4">
    <w:name w:val="heading 4"/>
    <w:basedOn w:val="HeadingBase"/>
    <w:next w:val="BodyText"/>
    <w:link w:val="Heading4Char"/>
    <w:qFormat/>
    <w:rsid w:val="00615BA1"/>
    <w:pPr>
      <w:spacing w:before="160" w:after="120"/>
      <w:outlineLvl w:val="3"/>
    </w:pPr>
    <w:rPr>
      <w:sz w:val="22"/>
    </w:rPr>
  </w:style>
  <w:style w:type="paragraph" w:styleId="Heading5">
    <w:name w:val="heading 5"/>
    <w:basedOn w:val="HeadingBase"/>
    <w:next w:val="Normal"/>
    <w:link w:val="Heading5Char"/>
    <w:qFormat/>
    <w:rsid w:val="00615BA1"/>
    <w:pPr>
      <w:spacing w:before="80"/>
      <w:outlineLvl w:val="4"/>
    </w:pPr>
    <w:rPr>
      <w:color w:val="918585"/>
      <w:sz w:val="20"/>
    </w:rPr>
  </w:style>
  <w:style w:type="paragraph" w:styleId="Heading6">
    <w:name w:val="heading 6"/>
    <w:basedOn w:val="HeadingBase"/>
    <w:next w:val="Normal"/>
    <w:link w:val="Heading6Char"/>
    <w:qFormat/>
    <w:rsid w:val="00615BA1"/>
    <w:pPr>
      <w:spacing w:before="60"/>
      <w:outlineLvl w:val="5"/>
    </w:pPr>
    <w:rPr>
      <w:color w:val="918585"/>
      <w:sz w:val="20"/>
    </w:rPr>
  </w:style>
  <w:style w:type="paragraph" w:styleId="Heading7">
    <w:name w:val="heading 7"/>
    <w:basedOn w:val="Normal"/>
    <w:next w:val="Normal"/>
    <w:link w:val="Heading7Char"/>
    <w:qFormat/>
    <w:rsid w:val="00615BA1"/>
    <w:pPr>
      <w:ind w:left="720"/>
      <w:outlineLvl w:val="6"/>
    </w:pPr>
    <w:rPr>
      <w:i/>
    </w:rPr>
  </w:style>
  <w:style w:type="paragraph" w:styleId="Heading8">
    <w:name w:val="heading 8"/>
    <w:basedOn w:val="Normal"/>
    <w:next w:val="Normal"/>
    <w:link w:val="Heading8Char"/>
    <w:qFormat/>
    <w:rsid w:val="00615BA1"/>
    <w:pPr>
      <w:ind w:left="720"/>
      <w:outlineLvl w:val="7"/>
    </w:pPr>
    <w:rPr>
      <w:i/>
    </w:rPr>
  </w:style>
  <w:style w:type="paragraph" w:styleId="Heading9">
    <w:name w:val="heading 9"/>
    <w:basedOn w:val="Normal"/>
    <w:next w:val="Normal"/>
    <w:link w:val="Heading9Char"/>
    <w:qFormat/>
    <w:rsid w:val="00615BA1"/>
    <w:pPr>
      <w:ind w:left="720"/>
      <w:outlineLvl w:val="8"/>
    </w:pPr>
    <w:rPr>
      <w:i/>
    </w:rPr>
  </w:style>
  <w:style w:type="character" w:default="1" w:styleId="DefaultParagraphFont">
    <w:name w:val="Default Paragraph Font"/>
    <w:uiPriority w:val="1"/>
    <w:unhideWhenUsed/>
    <w:rsid w:val="00615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BA1"/>
  </w:style>
  <w:style w:type="character" w:customStyle="1" w:styleId="Heading1Char">
    <w:name w:val="Heading 1 Char"/>
    <w:basedOn w:val="DefaultParagraphFont"/>
    <w:link w:val="Heading1"/>
    <w:rsid w:val="00615BA1"/>
    <w:rPr>
      <w:rFonts w:ascii="Times New Roman" w:eastAsia="Times New Roman" w:hAnsi="Times New Roman" w:cs="Times New Roman"/>
      <w:b/>
      <w:sz w:val="32"/>
      <w:szCs w:val="20"/>
      <w:lang w:eastAsia="en-US"/>
    </w:rPr>
  </w:style>
  <w:style w:type="paragraph" w:styleId="BodyText">
    <w:name w:val="Body Text"/>
    <w:basedOn w:val="Normal"/>
    <w:link w:val="BodyTextChar"/>
    <w:rsid w:val="00615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BA1"/>
    <w:rPr>
      <w:rFonts w:ascii="Times New Roman" w:eastAsia="Times New Roman" w:hAnsi="Times New Roman" w:cs="Times New Roman"/>
      <w:sz w:val="24"/>
      <w:lang w:eastAsia="en-US"/>
    </w:rPr>
  </w:style>
  <w:style w:type="paragraph" w:styleId="ListBullet">
    <w:name w:val="List Bullet"/>
    <w:basedOn w:val="List"/>
    <w:rsid w:val="00615BA1"/>
    <w:pPr>
      <w:numPr>
        <w:numId w:val="13"/>
      </w:numPr>
      <w:tabs>
        <w:tab w:val="clear" w:pos="340"/>
      </w:tabs>
      <w:spacing w:before="40" w:after="40"/>
    </w:pPr>
  </w:style>
  <w:style w:type="character" w:customStyle="1" w:styleId="SpecialBold">
    <w:name w:val="Special Bold"/>
    <w:basedOn w:val="DefaultParagraphFont"/>
    <w:rsid w:val="00615BA1"/>
    <w:rPr>
      <w:b/>
      <w:spacing w:val="0"/>
    </w:rPr>
  </w:style>
  <w:style w:type="paragraph" w:styleId="ListBullet2">
    <w:name w:val="List Bullet 2"/>
    <w:basedOn w:val="List2"/>
    <w:rsid w:val="00615BA1"/>
    <w:pPr>
      <w:numPr>
        <w:numId w:val="14"/>
      </w:numPr>
      <w:tabs>
        <w:tab w:val="clear" w:pos="680"/>
      </w:tabs>
    </w:pPr>
  </w:style>
  <w:style w:type="paragraph" w:customStyle="1" w:styleId="SuperHeading">
    <w:name w:val="SuperHeading"/>
    <w:basedOn w:val="Normal"/>
    <w:rsid w:val="00615BA1"/>
    <w:pPr>
      <w:spacing w:before="240" w:after="120"/>
      <w:outlineLvl w:val="0"/>
    </w:pPr>
    <w:rPr>
      <w:rFonts w:ascii="Times New Roman" w:hAnsi="Times New Roman"/>
      <w:b/>
      <w:sz w:val="32"/>
    </w:rPr>
  </w:style>
  <w:style w:type="paragraph" w:customStyle="1" w:styleId="AllowPageBreak">
    <w:name w:val="AllowPageBreak"/>
    <w:rsid w:val="00615B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5BA1"/>
    <w:pPr>
      <w:numPr>
        <w:numId w:val="3"/>
      </w:numPr>
      <w:tabs>
        <w:tab w:val="clear" w:pos="1021"/>
      </w:tabs>
      <w:ind w:left="1037" w:hanging="357"/>
    </w:pPr>
  </w:style>
  <w:style w:type="character" w:customStyle="1" w:styleId="Heading2Char">
    <w:name w:val="Heading 2 Char"/>
    <w:basedOn w:val="DefaultParagraphFont"/>
    <w:link w:val="Heading2"/>
    <w:rsid w:val="00615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BA1"/>
    <w:rPr>
      <w:rFonts w:ascii="Courier New" w:eastAsia="Times New Roman" w:hAnsi="Courier New" w:cs="Times New Roman"/>
      <w:i/>
      <w:szCs w:val="20"/>
      <w:lang w:eastAsia="en-US"/>
    </w:rPr>
  </w:style>
  <w:style w:type="paragraph" w:customStyle="1" w:styleId="HeadingBase">
    <w:name w:val="Heading Base"/>
    <w:rsid w:val="00615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BA1"/>
    <w:pPr>
      <w:tabs>
        <w:tab w:val="right" w:leader="dot" w:pos="9072"/>
      </w:tabs>
      <w:ind w:left="567"/>
    </w:pPr>
    <w:rPr>
      <w:szCs w:val="22"/>
    </w:rPr>
  </w:style>
  <w:style w:type="paragraph" w:customStyle="1" w:styleId="TOCBase">
    <w:name w:val="TOC Base"/>
    <w:rsid w:val="00615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BA1"/>
    <w:pPr>
      <w:tabs>
        <w:tab w:val="right" w:leader="dot" w:pos="9072"/>
      </w:tabs>
      <w:spacing w:before="40" w:after="40"/>
      <w:ind w:left="284"/>
    </w:pPr>
    <w:rPr>
      <w:rFonts w:ascii="Times New Roman" w:hAnsi="Times New Roman"/>
    </w:rPr>
  </w:style>
  <w:style w:type="paragraph" w:styleId="TOC1">
    <w:name w:val="toc 1"/>
    <w:basedOn w:val="TOCBase"/>
    <w:next w:val="Normal"/>
    <w:rsid w:val="00615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BA1"/>
    <w:rPr>
      <w:rFonts w:ascii="Times New Roman" w:eastAsia="Times New Roman" w:hAnsi="Times New Roman" w:cs="Times New Roman"/>
      <w:sz w:val="16"/>
      <w:lang w:eastAsia="en-US"/>
    </w:rPr>
  </w:style>
  <w:style w:type="paragraph" w:styleId="Title">
    <w:name w:val="Title"/>
    <w:basedOn w:val="HeadingBase"/>
    <w:link w:val="TitleChar"/>
    <w:qFormat/>
    <w:rsid w:val="00615BA1"/>
    <w:pPr>
      <w:spacing w:before="5040"/>
      <w:jc w:val="center"/>
    </w:pPr>
    <w:rPr>
      <w:sz w:val="48"/>
      <w:szCs w:val="72"/>
      <w:lang w:val="en-US"/>
    </w:rPr>
  </w:style>
  <w:style w:type="character" w:customStyle="1" w:styleId="TitleChar">
    <w:name w:val="Title Char"/>
    <w:basedOn w:val="DefaultParagraphFont"/>
    <w:link w:val="Title"/>
    <w:rsid w:val="00615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BA1"/>
    <w:pPr>
      <w:tabs>
        <w:tab w:val="left" w:pos="3600"/>
        <w:tab w:val="left" w:pos="3958"/>
      </w:tabs>
    </w:pPr>
  </w:style>
  <w:style w:type="paragraph" w:styleId="List">
    <w:name w:val="List"/>
    <w:basedOn w:val="BodyText"/>
    <w:next w:val="BodyText"/>
    <w:rsid w:val="00615BA1"/>
    <w:pPr>
      <w:tabs>
        <w:tab w:val="left" w:pos="340"/>
      </w:tabs>
      <w:spacing w:before="60" w:after="60"/>
      <w:ind w:left="340" w:hanging="340"/>
    </w:pPr>
  </w:style>
  <w:style w:type="paragraph" w:customStyle="1" w:styleId="Note">
    <w:name w:val="Note"/>
    <w:basedOn w:val="BodyText"/>
    <w:rsid w:val="00615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BA1"/>
    <w:pPr>
      <w:framePr w:wrap="auto" w:hAnchor="text" w:y="6049"/>
    </w:pPr>
    <w:rPr>
      <w:color w:val="000000"/>
      <w:sz w:val="40"/>
    </w:rPr>
  </w:style>
  <w:style w:type="paragraph" w:customStyle="1" w:styleId="TOCTitle">
    <w:name w:val="TOCTitle"/>
    <w:basedOn w:val="Heading1"/>
    <w:rsid w:val="00615BA1"/>
    <w:pPr>
      <w:spacing w:after="240"/>
      <w:jc w:val="center"/>
      <w:outlineLvl w:val="9"/>
    </w:pPr>
    <w:rPr>
      <w:caps/>
    </w:rPr>
  </w:style>
  <w:style w:type="paragraph" w:customStyle="1" w:styleId="Version">
    <w:name w:val="Version"/>
    <w:rsid w:val="00615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BA1"/>
    <w:pPr>
      <w:keepNext w:val="0"/>
      <w:tabs>
        <w:tab w:val="right" w:pos="4176"/>
      </w:tabs>
      <w:ind w:left="198" w:hanging="198"/>
    </w:pPr>
    <w:rPr>
      <w:rFonts w:ascii="Garamond" w:hAnsi="Garamond"/>
    </w:rPr>
  </w:style>
  <w:style w:type="paragraph" w:styleId="IndexHeading">
    <w:name w:val="index heading"/>
    <w:basedOn w:val="Normal"/>
    <w:next w:val="Index1"/>
    <w:semiHidden/>
    <w:rsid w:val="00615BA1"/>
    <w:pPr>
      <w:spacing w:before="120" w:after="120"/>
    </w:pPr>
    <w:rPr>
      <w:rFonts w:ascii="Arial" w:hAnsi="Arial"/>
      <w:b/>
      <w:color w:val="918585"/>
      <w:sz w:val="24"/>
    </w:rPr>
  </w:style>
  <w:style w:type="paragraph" w:styleId="Header">
    <w:name w:val="header"/>
    <w:basedOn w:val="Normal"/>
    <w:link w:val="HeaderChar"/>
    <w:rsid w:val="00615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BA1"/>
    <w:rPr>
      <w:rFonts w:ascii="Times New Roman" w:eastAsia="Times New Roman" w:hAnsi="Times New Roman" w:cs="Times New Roman"/>
      <w:sz w:val="16"/>
      <w:szCs w:val="20"/>
      <w:lang w:val="en-GB" w:eastAsia="en-US"/>
    </w:rPr>
  </w:style>
  <w:style w:type="paragraph" w:customStyle="1" w:styleId="Chapter">
    <w:name w:val="Chapter"/>
    <w:basedOn w:val="Normal"/>
    <w:rsid w:val="00615BA1"/>
    <w:pPr>
      <w:spacing w:before="240"/>
    </w:pPr>
    <w:rPr>
      <w:rFonts w:ascii="Times New Roman" w:hAnsi="Times New Roman"/>
      <w:smallCaps/>
      <w:spacing w:val="80"/>
      <w:sz w:val="28"/>
    </w:rPr>
  </w:style>
  <w:style w:type="paragraph" w:customStyle="1" w:styleId="InChapter">
    <w:name w:val="InChapter"/>
    <w:basedOn w:val="Heading3"/>
    <w:rsid w:val="00615BA1"/>
    <w:pPr>
      <w:spacing w:after="240"/>
      <w:outlineLvl w:val="9"/>
    </w:pPr>
    <w:rPr>
      <w:noProof/>
    </w:rPr>
  </w:style>
  <w:style w:type="paragraph" w:styleId="Index2">
    <w:name w:val="index 2"/>
    <w:basedOn w:val="Normal"/>
    <w:next w:val="Normal"/>
    <w:semiHidden/>
    <w:rsid w:val="00615BA1"/>
    <w:pPr>
      <w:tabs>
        <w:tab w:val="right" w:pos="4176"/>
      </w:tabs>
      <w:ind w:left="568" w:hanging="284"/>
    </w:pPr>
    <w:rPr>
      <w:rFonts w:ascii="Garamond" w:hAnsi="Garamond"/>
    </w:rPr>
  </w:style>
  <w:style w:type="paragraph" w:customStyle="1" w:styleId="Byline">
    <w:name w:val="Byline"/>
    <w:rsid w:val="00615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BA1"/>
    <w:pPr>
      <w:tabs>
        <w:tab w:val="clear" w:pos="3600"/>
        <w:tab w:val="clear" w:pos="3958"/>
      </w:tabs>
      <w:jc w:val="right"/>
    </w:pPr>
  </w:style>
  <w:style w:type="character" w:styleId="Emphasis">
    <w:name w:val="Emphasis"/>
    <w:basedOn w:val="DefaultParagraphFont"/>
    <w:qFormat/>
    <w:rsid w:val="00615BA1"/>
    <w:rPr>
      <w:i/>
    </w:rPr>
  </w:style>
  <w:style w:type="paragraph" w:styleId="Caption">
    <w:name w:val="caption"/>
    <w:basedOn w:val="BodyText"/>
    <w:next w:val="Normal"/>
    <w:qFormat/>
    <w:rsid w:val="00615BA1"/>
    <w:pPr>
      <w:framePr w:w="2268" w:hSpace="181" w:vSpace="181" w:wrap="around" w:vAnchor="text" w:hAnchor="page" w:x="1135" w:y="285" w:anchorLock="1"/>
    </w:pPr>
    <w:rPr>
      <w:i/>
    </w:rPr>
  </w:style>
  <w:style w:type="paragraph" w:customStyle="1" w:styleId="MiniTOCTitle">
    <w:name w:val="MiniTOCTitle"/>
    <w:basedOn w:val="Heading4"/>
    <w:rsid w:val="00615BA1"/>
    <w:pPr>
      <w:spacing w:before="240"/>
      <w:outlineLvl w:val="9"/>
    </w:pPr>
    <w:rPr>
      <w:noProof/>
      <w:sz w:val="24"/>
    </w:rPr>
  </w:style>
  <w:style w:type="paragraph" w:customStyle="1" w:styleId="MiniTOCItem">
    <w:name w:val="MiniTOCItem"/>
    <w:basedOn w:val="ListBullet"/>
    <w:rsid w:val="00615BA1"/>
    <w:pPr>
      <w:numPr>
        <w:numId w:val="0"/>
      </w:numPr>
      <w:tabs>
        <w:tab w:val="right" w:leader="dot" w:pos="6521"/>
      </w:tabs>
      <w:spacing w:before="0" w:after="0"/>
    </w:pPr>
  </w:style>
  <w:style w:type="paragraph" w:customStyle="1" w:styleId="TOFTitle">
    <w:name w:val="TOFTitle"/>
    <w:basedOn w:val="TOCTitle"/>
    <w:rsid w:val="00615BA1"/>
  </w:style>
  <w:style w:type="paragraph" w:styleId="TableofFigures">
    <w:name w:val="table of figures"/>
    <w:basedOn w:val="Normal"/>
    <w:next w:val="Normal"/>
    <w:semiHidden/>
    <w:rsid w:val="00615BA1"/>
    <w:pPr>
      <w:tabs>
        <w:tab w:val="right" w:leader="dot" w:pos="9072"/>
      </w:tabs>
      <w:ind w:left="970" w:hanging="403"/>
    </w:pPr>
    <w:rPr>
      <w:rFonts w:ascii="Times New Roman" w:hAnsi="Times New Roman"/>
      <w:b/>
    </w:rPr>
  </w:style>
  <w:style w:type="paragraph" w:styleId="ListNumber">
    <w:name w:val="List Number"/>
    <w:basedOn w:val="List"/>
    <w:rsid w:val="00615BA1"/>
    <w:pPr>
      <w:numPr>
        <w:numId w:val="16"/>
      </w:numPr>
      <w:tabs>
        <w:tab w:val="clear" w:pos="340"/>
      </w:tabs>
    </w:pPr>
  </w:style>
  <w:style w:type="character" w:customStyle="1" w:styleId="WingdingSymbols">
    <w:name w:val="Wingding Symbols"/>
    <w:rsid w:val="00615BA1"/>
    <w:rPr>
      <w:rFonts w:ascii="Wingdings" w:hAnsi="Wingdings"/>
    </w:rPr>
  </w:style>
  <w:style w:type="paragraph" w:customStyle="1" w:styleId="TableHeading">
    <w:name w:val="Table Heading"/>
    <w:basedOn w:val="HeadingBase"/>
    <w:rsid w:val="00615BA1"/>
    <w:pPr>
      <w:keepLines/>
      <w:pBdr>
        <w:bottom w:val="single" w:sz="6" w:space="1" w:color="918585"/>
      </w:pBdr>
      <w:spacing w:before="240"/>
    </w:pPr>
  </w:style>
  <w:style w:type="character" w:customStyle="1" w:styleId="HotSpot">
    <w:name w:val="HotSpot"/>
    <w:rsid w:val="00615BA1"/>
    <w:rPr>
      <w:color w:val="0033CC"/>
      <w:u w:val="none"/>
    </w:rPr>
  </w:style>
  <w:style w:type="paragraph" w:customStyle="1" w:styleId="BodyTextRight">
    <w:name w:val="Body Text Right"/>
    <w:basedOn w:val="BodyText"/>
    <w:rsid w:val="00615BA1"/>
    <w:pPr>
      <w:spacing w:before="0" w:after="0"/>
      <w:jc w:val="right"/>
    </w:pPr>
  </w:style>
  <w:style w:type="paragraph" w:styleId="Index3">
    <w:name w:val="index 3"/>
    <w:basedOn w:val="ListNumber2"/>
    <w:next w:val="Normal"/>
    <w:semiHidden/>
    <w:rsid w:val="00615BA1"/>
    <w:pPr>
      <w:numPr>
        <w:numId w:val="0"/>
      </w:numPr>
      <w:tabs>
        <w:tab w:val="right" w:leader="dot" w:pos="4176"/>
      </w:tabs>
    </w:pPr>
  </w:style>
  <w:style w:type="paragraph" w:styleId="ListNumber2">
    <w:name w:val="List Number 2"/>
    <w:basedOn w:val="List2"/>
    <w:rsid w:val="00615BA1"/>
    <w:pPr>
      <w:numPr>
        <w:numId w:val="11"/>
      </w:numPr>
      <w:tabs>
        <w:tab w:val="clear" w:pos="1060"/>
      </w:tabs>
    </w:pPr>
  </w:style>
  <w:style w:type="paragraph" w:customStyle="1" w:styleId="MarginNote">
    <w:name w:val="Margin Note"/>
    <w:basedOn w:val="BodyText"/>
    <w:rsid w:val="00615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BA1"/>
    <w:rPr>
      <w:sz w:val="32"/>
    </w:rPr>
  </w:style>
  <w:style w:type="paragraph" w:customStyle="1" w:styleId="HeadingProcedure">
    <w:name w:val="Heading Procedure"/>
    <w:basedOn w:val="HeadingBase"/>
    <w:next w:val="Normal"/>
    <w:rsid w:val="00615BA1"/>
    <w:pPr>
      <w:tabs>
        <w:tab w:val="left" w:pos="0"/>
      </w:tabs>
      <w:spacing w:before="120" w:after="60"/>
    </w:pPr>
    <w:rPr>
      <w:i/>
      <w:color w:val="918585"/>
      <w:sz w:val="22"/>
    </w:rPr>
  </w:style>
  <w:style w:type="paragraph" w:customStyle="1" w:styleId="TableBodyText">
    <w:name w:val="Table Body Text"/>
    <w:basedOn w:val="BodyText"/>
    <w:rsid w:val="00615BA1"/>
    <w:pPr>
      <w:spacing w:before="60" w:after="60"/>
    </w:pPr>
  </w:style>
  <w:style w:type="paragraph" w:styleId="ListContinue">
    <w:name w:val="List Continue"/>
    <w:basedOn w:val="List"/>
    <w:rsid w:val="00615BA1"/>
    <w:pPr>
      <w:ind w:firstLine="0"/>
    </w:pPr>
  </w:style>
  <w:style w:type="paragraph" w:customStyle="1" w:styleId="ListNote">
    <w:name w:val="List Note"/>
    <w:basedOn w:val="List"/>
    <w:rsid w:val="00615BA1"/>
    <w:pPr>
      <w:pBdr>
        <w:top w:val="single" w:sz="6" w:space="2" w:color="918585"/>
        <w:bottom w:val="single" w:sz="6" w:space="2" w:color="918585"/>
      </w:pBdr>
      <w:tabs>
        <w:tab w:val="left" w:pos="1021"/>
      </w:tabs>
      <w:ind w:firstLine="0"/>
    </w:pPr>
  </w:style>
  <w:style w:type="paragraph" w:customStyle="1" w:styleId="Warning">
    <w:name w:val="Warning"/>
    <w:basedOn w:val="BodyText"/>
    <w:rsid w:val="00615BA1"/>
    <w:pPr>
      <w:shd w:val="clear" w:color="auto" w:fill="D9D9D9"/>
      <w:tabs>
        <w:tab w:val="left" w:pos="992"/>
      </w:tabs>
      <w:ind w:left="119" w:right="119"/>
    </w:pPr>
    <w:rPr>
      <w:sz w:val="20"/>
    </w:rPr>
  </w:style>
  <w:style w:type="paragraph" w:customStyle="1" w:styleId="MarginIcons">
    <w:name w:val="Margin Icons"/>
    <w:basedOn w:val="BodyText"/>
    <w:rsid w:val="00615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BA1"/>
    <w:rPr>
      <w:rFonts w:ascii="Courier New" w:hAnsi="Courier New"/>
    </w:rPr>
  </w:style>
  <w:style w:type="paragraph" w:customStyle="1" w:styleId="NoteBullet">
    <w:name w:val="Note Bullet"/>
    <w:basedOn w:val="Note"/>
    <w:rsid w:val="00615BA1"/>
    <w:pPr>
      <w:tabs>
        <w:tab w:val="clear" w:pos="680"/>
      </w:tabs>
      <w:spacing w:before="60" w:after="60"/>
    </w:pPr>
  </w:style>
  <w:style w:type="paragraph" w:customStyle="1" w:styleId="SubHeading2">
    <w:name w:val="SubHeading2"/>
    <w:basedOn w:val="HeadingBase"/>
    <w:rsid w:val="00615BA1"/>
    <w:pPr>
      <w:spacing w:before="240" w:after="60"/>
    </w:pPr>
    <w:rPr>
      <w:sz w:val="20"/>
    </w:rPr>
  </w:style>
  <w:style w:type="paragraph" w:customStyle="1" w:styleId="SubHeading1">
    <w:name w:val="SubHeading1"/>
    <w:basedOn w:val="HeadingBase"/>
    <w:rsid w:val="00615BA1"/>
    <w:pPr>
      <w:spacing w:before="240" w:after="60"/>
    </w:pPr>
    <w:rPr>
      <w:color w:val="918585"/>
      <w:sz w:val="22"/>
    </w:rPr>
  </w:style>
  <w:style w:type="paragraph" w:customStyle="1" w:styleId="SideHeading">
    <w:name w:val="Side Heading"/>
    <w:basedOn w:val="HeadingBase"/>
    <w:rsid w:val="00615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BA1"/>
    <w:pPr>
      <w:numPr>
        <w:numId w:val="12"/>
      </w:numPr>
    </w:pPr>
  </w:style>
  <w:style w:type="paragraph" w:styleId="PlainText">
    <w:name w:val="Plain Text"/>
    <w:basedOn w:val="Normal"/>
    <w:link w:val="PlainTextChar"/>
    <w:rsid w:val="00615BA1"/>
    <w:rPr>
      <w:sz w:val="20"/>
    </w:rPr>
  </w:style>
  <w:style w:type="character" w:customStyle="1" w:styleId="PlainTextChar">
    <w:name w:val="Plain Text Char"/>
    <w:basedOn w:val="DefaultParagraphFont"/>
    <w:link w:val="PlainText"/>
    <w:rsid w:val="00615BA1"/>
    <w:rPr>
      <w:rFonts w:ascii="Courier New" w:eastAsia="Times New Roman" w:hAnsi="Courier New" w:cs="Times New Roman"/>
      <w:sz w:val="20"/>
      <w:szCs w:val="20"/>
      <w:lang w:eastAsia="en-US"/>
    </w:rPr>
  </w:style>
  <w:style w:type="character" w:customStyle="1" w:styleId="MenuOption">
    <w:name w:val="Menu Option"/>
    <w:basedOn w:val="DefaultParagraphFont"/>
    <w:rsid w:val="00615BA1"/>
    <w:rPr>
      <w:b/>
      <w:smallCaps/>
    </w:rPr>
  </w:style>
  <w:style w:type="paragraph" w:customStyle="1" w:styleId="TableListNumber">
    <w:name w:val="Table List Number"/>
    <w:basedOn w:val="ListNumber"/>
    <w:rsid w:val="00615BA1"/>
    <w:pPr>
      <w:numPr>
        <w:numId w:val="0"/>
      </w:numPr>
    </w:pPr>
  </w:style>
  <w:style w:type="paragraph" w:styleId="TOC4">
    <w:name w:val="toc 4"/>
    <w:basedOn w:val="TOCBase"/>
    <w:next w:val="Normal"/>
    <w:semiHidden/>
    <w:rsid w:val="00615BA1"/>
    <w:pPr>
      <w:tabs>
        <w:tab w:val="right" w:leader="dot" w:pos="9071"/>
      </w:tabs>
      <w:ind w:left="1701"/>
    </w:pPr>
  </w:style>
  <w:style w:type="paragraph" w:customStyle="1" w:styleId="ListAlpha">
    <w:name w:val="List Alpha"/>
    <w:basedOn w:val="List"/>
    <w:rsid w:val="00615BA1"/>
    <w:pPr>
      <w:numPr>
        <w:numId w:val="10"/>
      </w:numPr>
    </w:pPr>
  </w:style>
  <w:style w:type="paragraph" w:customStyle="1" w:styleId="ListAlpha2">
    <w:name w:val="List Alpha 2"/>
    <w:basedOn w:val="List2"/>
    <w:rsid w:val="00615BA1"/>
    <w:pPr>
      <w:numPr>
        <w:numId w:val="9"/>
      </w:numPr>
    </w:pPr>
  </w:style>
  <w:style w:type="paragraph" w:styleId="List2">
    <w:name w:val="List 2"/>
    <w:basedOn w:val="BodyText"/>
    <w:rsid w:val="00615BA1"/>
    <w:pPr>
      <w:tabs>
        <w:tab w:val="left" w:pos="680"/>
      </w:tabs>
      <w:spacing w:before="60" w:after="60"/>
      <w:ind w:left="680" w:hanging="340"/>
    </w:pPr>
  </w:style>
  <w:style w:type="paragraph" w:styleId="List3">
    <w:name w:val="List 3"/>
    <w:basedOn w:val="BodyText"/>
    <w:rsid w:val="00615BA1"/>
    <w:pPr>
      <w:tabs>
        <w:tab w:val="left" w:pos="1021"/>
      </w:tabs>
      <w:spacing w:before="60" w:after="60"/>
      <w:ind w:left="1020" w:hanging="340"/>
    </w:pPr>
  </w:style>
  <w:style w:type="paragraph" w:styleId="List4">
    <w:name w:val="List 4"/>
    <w:basedOn w:val="BodyText"/>
    <w:rsid w:val="00615BA1"/>
    <w:pPr>
      <w:tabs>
        <w:tab w:val="left" w:pos="1361"/>
      </w:tabs>
      <w:spacing w:before="60" w:after="60"/>
      <w:ind w:left="1361" w:hanging="340"/>
    </w:pPr>
  </w:style>
  <w:style w:type="paragraph" w:styleId="List5">
    <w:name w:val="List 5"/>
    <w:basedOn w:val="BodyText"/>
    <w:rsid w:val="00615BA1"/>
    <w:pPr>
      <w:tabs>
        <w:tab w:val="left" w:pos="1701"/>
      </w:tabs>
      <w:spacing w:before="60" w:after="60"/>
      <w:ind w:left="1701" w:hanging="340"/>
    </w:pPr>
  </w:style>
  <w:style w:type="paragraph" w:styleId="ListBullet4">
    <w:name w:val="List Bullet 4"/>
    <w:basedOn w:val="List4"/>
    <w:rsid w:val="00615BA1"/>
    <w:pPr>
      <w:numPr>
        <w:numId w:val="4"/>
      </w:numPr>
      <w:tabs>
        <w:tab w:val="clear" w:pos="1361"/>
      </w:tabs>
    </w:pPr>
  </w:style>
  <w:style w:type="paragraph" w:styleId="ListBullet5">
    <w:name w:val="List Bullet 5"/>
    <w:basedOn w:val="List5"/>
    <w:rsid w:val="00615BA1"/>
    <w:pPr>
      <w:numPr>
        <w:numId w:val="5"/>
      </w:numPr>
    </w:pPr>
  </w:style>
  <w:style w:type="paragraph" w:styleId="ListContinue2">
    <w:name w:val="List Continue 2"/>
    <w:basedOn w:val="List2"/>
    <w:rsid w:val="00615BA1"/>
    <w:pPr>
      <w:ind w:firstLine="0"/>
    </w:pPr>
  </w:style>
  <w:style w:type="paragraph" w:styleId="ListContinue3">
    <w:name w:val="List Continue 3"/>
    <w:basedOn w:val="List3"/>
    <w:rsid w:val="00615BA1"/>
    <w:pPr>
      <w:ind w:left="1021" w:firstLine="0"/>
    </w:pPr>
  </w:style>
  <w:style w:type="paragraph" w:styleId="ListContinue4">
    <w:name w:val="List Continue 4"/>
    <w:basedOn w:val="List4"/>
    <w:rsid w:val="00615BA1"/>
    <w:pPr>
      <w:ind w:firstLine="0"/>
    </w:pPr>
  </w:style>
  <w:style w:type="paragraph" w:styleId="ListContinue5">
    <w:name w:val="List Continue 5"/>
    <w:basedOn w:val="List5"/>
    <w:rsid w:val="00615BA1"/>
    <w:pPr>
      <w:ind w:firstLine="0"/>
    </w:pPr>
  </w:style>
  <w:style w:type="paragraph" w:styleId="ListNumber3">
    <w:name w:val="List Number 3"/>
    <w:basedOn w:val="List3"/>
    <w:rsid w:val="00615BA1"/>
    <w:pPr>
      <w:numPr>
        <w:numId w:val="6"/>
      </w:numPr>
    </w:pPr>
  </w:style>
  <w:style w:type="paragraph" w:styleId="ListNumber4">
    <w:name w:val="List Number 4"/>
    <w:basedOn w:val="List4"/>
    <w:rsid w:val="00615BA1"/>
    <w:pPr>
      <w:numPr>
        <w:numId w:val="7"/>
      </w:numPr>
    </w:pPr>
  </w:style>
  <w:style w:type="paragraph" w:styleId="ListNumber5">
    <w:name w:val="List Number 5"/>
    <w:basedOn w:val="List5"/>
    <w:rsid w:val="00615BA1"/>
    <w:pPr>
      <w:numPr>
        <w:numId w:val="8"/>
      </w:numPr>
    </w:pPr>
  </w:style>
  <w:style w:type="paragraph" w:styleId="BlockText">
    <w:name w:val="Block Text"/>
    <w:basedOn w:val="Normal"/>
    <w:rsid w:val="00615BA1"/>
    <w:pPr>
      <w:spacing w:after="120"/>
      <w:ind w:left="1440" w:right="1440"/>
    </w:pPr>
  </w:style>
  <w:style w:type="character" w:customStyle="1" w:styleId="Subscript">
    <w:name w:val="Subscript"/>
    <w:basedOn w:val="DefaultParagraphFont"/>
    <w:rsid w:val="00615BA1"/>
    <w:rPr>
      <w:sz w:val="16"/>
      <w:vertAlign w:val="subscript"/>
    </w:rPr>
  </w:style>
  <w:style w:type="character" w:customStyle="1" w:styleId="Superscript">
    <w:name w:val="Superscript"/>
    <w:basedOn w:val="DefaultParagraphFont"/>
    <w:rsid w:val="00615BA1"/>
    <w:rPr>
      <w:sz w:val="16"/>
      <w:vertAlign w:val="superscript"/>
    </w:rPr>
  </w:style>
  <w:style w:type="character" w:customStyle="1" w:styleId="Symbols">
    <w:name w:val="Symbols"/>
    <w:basedOn w:val="DefaultParagraphFont"/>
    <w:rsid w:val="00615BA1"/>
    <w:rPr>
      <w:rFonts w:ascii="Symbol" w:hAnsi="Symbol"/>
    </w:rPr>
  </w:style>
  <w:style w:type="character" w:customStyle="1" w:styleId="MenuOptions">
    <w:name w:val="Menu Options"/>
    <w:basedOn w:val="DefaultParagraphFont"/>
    <w:rsid w:val="00615BA1"/>
    <w:rPr>
      <w:rFonts w:ascii="Arial Narrow" w:hAnsi="Arial Narrow"/>
      <w:smallCaps/>
    </w:rPr>
  </w:style>
  <w:style w:type="character" w:customStyle="1" w:styleId="Buttons">
    <w:name w:val="Buttons"/>
    <w:basedOn w:val="DefaultParagraphFont"/>
    <w:rsid w:val="00615BA1"/>
    <w:rPr>
      <w:b/>
    </w:rPr>
  </w:style>
  <w:style w:type="character" w:customStyle="1" w:styleId="Underlined">
    <w:name w:val="Underlined"/>
    <w:basedOn w:val="DefaultParagraphFont"/>
    <w:rsid w:val="00615BA1"/>
    <w:rPr>
      <w:u w:val="single"/>
    </w:rPr>
  </w:style>
  <w:style w:type="paragraph" w:customStyle="1" w:styleId="TableBodyTextRight">
    <w:name w:val="Table Body Text Right"/>
    <w:basedOn w:val="TableBodyText"/>
    <w:rsid w:val="00615BA1"/>
    <w:pPr>
      <w:widowControl w:val="0"/>
      <w:autoSpaceDE w:val="0"/>
      <w:autoSpaceDN w:val="0"/>
      <w:adjustRightInd w:val="0"/>
      <w:jc w:val="right"/>
    </w:pPr>
    <w:rPr>
      <w:rFonts w:cs="Arial"/>
      <w:szCs w:val="18"/>
    </w:rPr>
  </w:style>
  <w:style w:type="paragraph" w:customStyle="1" w:styleId="CopyrightText">
    <w:name w:val="Copyright Text"/>
    <w:basedOn w:val="BodyText"/>
    <w:rsid w:val="00615BA1"/>
    <w:rPr>
      <w:sz w:val="18"/>
    </w:rPr>
  </w:style>
  <w:style w:type="paragraph" w:customStyle="1" w:styleId="BodySmallRight">
    <w:name w:val="Body Small Right"/>
    <w:basedOn w:val="BodyTextRight"/>
    <w:rsid w:val="00615BA1"/>
    <w:rPr>
      <w:sz w:val="18"/>
      <w:szCs w:val="18"/>
    </w:rPr>
  </w:style>
  <w:style w:type="paragraph" w:customStyle="1" w:styleId="MarginEdition">
    <w:name w:val="Margin Edition"/>
    <w:basedOn w:val="MarginNote"/>
    <w:rsid w:val="00615BA1"/>
    <w:pPr>
      <w:spacing w:before="0" w:after="0"/>
    </w:pPr>
    <w:rPr>
      <w:rFonts w:ascii="Times New Roman" w:hAnsi="Times New Roman"/>
      <w:color w:val="999999"/>
    </w:rPr>
  </w:style>
  <w:style w:type="paragraph" w:customStyle="1" w:styleId="Spacer">
    <w:name w:val="Spacer"/>
    <w:basedOn w:val="Normal"/>
    <w:rsid w:val="00615BA1"/>
    <w:rPr>
      <w:sz w:val="2"/>
      <w:szCs w:val="2"/>
    </w:rPr>
  </w:style>
  <w:style w:type="character" w:customStyle="1" w:styleId="Small">
    <w:name w:val="Small"/>
    <w:basedOn w:val="DefaultParagraphFont"/>
    <w:rsid w:val="00615BA1"/>
    <w:rPr>
      <w:sz w:val="16"/>
    </w:rPr>
  </w:style>
  <w:style w:type="paragraph" w:customStyle="1" w:styleId="WideTable">
    <w:name w:val="Wide Table"/>
    <w:basedOn w:val="Normal"/>
    <w:rsid w:val="00615BA1"/>
    <w:pPr>
      <w:ind w:left="-1418"/>
    </w:pPr>
    <w:rPr>
      <w:sz w:val="2"/>
      <w:szCs w:val="2"/>
    </w:rPr>
  </w:style>
  <w:style w:type="character" w:styleId="PageNumber">
    <w:name w:val="page number"/>
    <w:basedOn w:val="DefaultParagraphFont"/>
    <w:rsid w:val="00615BA1"/>
  </w:style>
  <w:style w:type="paragraph" w:styleId="Quote">
    <w:name w:val="Quote"/>
    <w:basedOn w:val="Heading1"/>
    <w:link w:val="QuoteChar"/>
    <w:qFormat/>
    <w:rsid w:val="00615BA1"/>
    <w:rPr>
      <w:b w:val="0"/>
      <w:sz w:val="72"/>
      <w:szCs w:val="72"/>
      <w:lang w:val="en-NZ"/>
    </w:rPr>
  </w:style>
  <w:style w:type="character" w:customStyle="1" w:styleId="QuoteChar">
    <w:name w:val="Quote Char"/>
    <w:basedOn w:val="DefaultParagraphFont"/>
    <w:link w:val="Quote"/>
    <w:rsid w:val="00615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BA1"/>
    <w:pPr>
      <w:pageBreakBefore/>
    </w:pPr>
  </w:style>
  <w:style w:type="paragraph" w:customStyle="1" w:styleId="Border">
    <w:name w:val="Border"/>
    <w:basedOn w:val="Normal"/>
    <w:qFormat/>
    <w:rsid w:val="00615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BA1"/>
    <w:rPr>
      <w:b/>
      <w:bCs/>
      <w:i/>
      <w:iCs/>
      <w:color w:val="auto"/>
    </w:rPr>
  </w:style>
  <w:style w:type="paragraph" w:styleId="IntenseQuote">
    <w:name w:val="Intense Quote"/>
    <w:basedOn w:val="Normal"/>
    <w:next w:val="Normal"/>
    <w:link w:val="IntenseQuoteChar"/>
    <w:uiPriority w:val="30"/>
    <w:qFormat/>
    <w:rsid w:val="00615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BA1"/>
    <w:rPr>
      <w:smallCaps/>
      <w:color w:val="auto"/>
      <w:u w:val="single"/>
    </w:rPr>
  </w:style>
  <w:style w:type="character" w:styleId="IntenseReference">
    <w:name w:val="Intense Reference"/>
    <w:basedOn w:val="DefaultParagraphFont"/>
    <w:uiPriority w:val="32"/>
    <w:qFormat/>
    <w:rsid w:val="00615BA1"/>
    <w:rPr>
      <w:b/>
      <w:bCs/>
      <w:smallCaps/>
      <w:color w:val="auto"/>
      <w:spacing w:val="5"/>
      <w:u w:val="single"/>
    </w:rPr>
  </w:style>
  <w:style w:type="paragraph" w:customStyle="1" w:styleId="2ColumnHeading">
    <w:name w:val="2Column Heading"/>
    <w:basedOn w:val="BodyText"/>
    <w:qFormat/>
    <w:rsid w:val="00615BA1"/>
    <w:pPr>
      <w:spacing w:after="60"/>
      <w:ind w:left="-2268"/>
    </w:pPr>
    <w:rPr>
      <w:b/>
    </w:rPr>
  </w:style>
  <w:style w:type="paragraph" w:customStyle="1" w:styleId="Heading1TOC">
    <w:name w:val="Heading1 TOC"/>
    <w:basedOn w:val="Normal"/>
    <w:qFormat/>
    <w:rsid w:val="00615BA1"/>
    <w:pPr>
      <w:spacing w:before="240" w:after="120"/>
    </w:pPr>
    <w:rPr>
      <w:rFonts w:ascii="Times New Roman" w:hAnsi="Times New Roman"/>
      <w:b/>
      <w:sz w:val="32"/>
    </w:rPr>
  </w:style>
  <w:style w:type="paragraph" w:customStyle="1" w:styleId="Heading2TOC">
    <w:name w:val="Heading2 TOC"/>
    <w:basedOn w:val="Normal"/>
    <w:qFormat/>
    <w:rsid w:val="00615BA1"/>
    <w:pPr>
      <w:spacing w:before="240" w:after="60"/>
    </w:pPr>
    <w:rPr>
      <w:rFonts w:ascii="Times New Roman" w:hAnsi="Times New Roman"/>
      <w:b/>
      <w:sz w:val="28"/>
    </w:rPr>
  </w:style>
  <w:style w:type="character" w:customStyle="1" w:styleId="Underline">
    <w:name w:val="Underline"/>
    <w:basedOn w:val="DefaultParagraphFont"/>
    <w:qFormat/>
    <w:rsid w:val="00615BA1"/>
    <w:rPr>
      <w:u w:val="single"/>
    </w:rPr>
  </w:style>
  <w:style w:type="character" w:customStyle="1" w:styleId="BoldandItalics">
    <w:name w:val="Bold and Italics"/>
    <w:qFormat/>
    <w:rsid w:val="00615BA1"/>
    <w:rPr>
      <w:b/>
      <w:i/>
      <w:u w:val="none"/>
    </w:rPr>
  </w:style>
  <w:style w:type="paragraph" w:styleId="BalloonText">
    <w:name w:val="Balloon Text"/>
    <w:basedOn w:val="Normal"/>
    <w:link w:val="BalloonTextChar"/>
    <w:rsid w:val="00615BA1"/>
    <w:rPr>
      <w:rFonts w:ascii="Tahoma" w:hAnsi="Tahoma" w:cs="Tahoma"/>
      <w:sz w:val="16"/>
      <w:szCs w:val="16"/>
    </w:rPr>
  </w:style>
  <w:style w:type="character" w:customStyle="1" w:styleId="BalloonTextChar">
    <w:name w:val="Balloon Text Char"/>
    <w:basedOn w:val="DefaultParagraphFont"/>
    <w:link w:val="BalloonText"/>
    <w:rsid w:val="00615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BA1"/>
    <w:rPr>
      <w:b/>
      <w:color w:val="660033"/>
      <w:spacing w:val="0"/>
    </w:rPr>
  </w:style>
  <w:style w:type="paragraph" w:customStyle="1" w:styleId="Nameditemlist">
    <w:name w:val="Named item list"/>
    <w:basedOn w:val="BodyText"/>
    <w:qFormat/>
    <w:rsid w:val="00615BA1"/>
    <w:pPr>
      <w:tabs>
        <w:tab w:val="left" w:pos="2835"/>
      </w:tabs>
      <w:ind w:left="2835" w:hanging="2835"/>
    </w:pPr>
  </w:style>
  <w:style w:type="paragraph" w:customStyle="1" w:styleId="BodyTextnopadding">
    <w:name w:val="Body Text no padding"/>
    <w:basedOn w:val="BodyText"/>
    <w:qFormat/>
    <w:rsid w:val="00615BA1"/>
    <w:pPr>
      <w:spacing w:before="0" w:after="0"/>
    </w:pPr>
  </w:style>
  <w:style w:type="paragraph" w:customStyle="1" w:styleId="BodyTextBold">
    <w:name w:val="Body Text Bold"/>
    <w:basedOn w:val="BodyText"/>
    <w:qFormat/>
    <w:rsid w:val="00615BA1"/>
    <w:rPr>
      <w:b/>
    </w:rPr>
  </w:style>
  <w:style w:type="character" w:styleId="Hyperlink">
    <w:name w:val="Hyperlink"/>
    <w:basedOn w:val="DefaultParagraphFont"/>
    <w:uiPriority w:val="99"/>
    <w:unhideWhenUsed/>
    <w:rsid w:val="00970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5822</Characters>
  <Application>Microsoft Office Word</Application>
  <DocSecurity>0</DocSecurity>
  <Lines>161</Lines>
  <Paragraphs>103</Paragraphs>
  <ScaleCrop>false</ScaleCrop>
  <Company>Author-it Software Corporation Ltd.</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MSTGN4018 Analyse TCF merchandising and marketing principles</dc:title>
  <dc:subject>Approved</dc:subject>
  <dc:creator>Skills Insight</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