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9B4" w:rsidP="005B49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MSTGN4018 Analyse TCF merchandising and marketing principles</w:t>
      </w:r>
      <w:r>
        <w:fldChar w:fldCharType="end"/>
      </w:r>
    </w:p>
    <w:p w:rsidR="005B49B4" w:rsidP="005B49B4">
      <w:pPr>
        <w:pStyle w:val="Version"/>
        <w:sectPr w:rsidSect="004D0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E47" w:rsidP="004D0E47">
      <w:pPr>
        <w:pStyle w:val="SuperHeading"/>
      </w:pPr>
      <w:r w:rsidRPr="004D0E47">
        <w:t>Assessment Requirements for MSTGN4018 Analyse TCF merchandising and marketing principles</w:t>
      </w:r>
    </w:p>
    <w:p w:rsidR="00000000" w:rsidRPr="004D0E47" w:rsidP="004D0E47">
      <w:pPr>
        <w:pStyle w:val="Heading1"/>
      </w:pPr>
      <w:bookmarkStart w:id="1" w:name="O_1256904"/>
      <w:bookmarkEnd w:id="1"/>
      <w:r w:rsidRPr="004D0E47">
        <w:t>Modification History</w:t>
      </w:r>
    </w:p>
    <w:p w:rsidR="005B49B4" w:rsidP="005B49B4">
      <w:pPr>
        <w:pStyle w:val="BodyText"/>
      </w:pPr>
      <w:r w:rsidRPr="004D0E47">
        <w:t>Release 1. Unit Code and Application changed. Elements and Performance Criteria simplified with Element 1 removed. Foundation Skills field populated. Range of Conditions removed with relevant information moved to other parts of unit. Assessment Requirement</w:t>
      </w:r>
      <w:r w:rsidRPr="004D0E47">
        <w:t>s clarified with generic foundation skills statements moved to appropriate section and duplication with Performance Criteria removed. Supersedes and is equivalent to MSTGN4004 Analyse TCF merchandising and marketing principles.</w:t>
      </w:r>
    </w:p>
    <w:p w:rsidR="00000000" w:rsidRPr="004D0E47" w:rsidP="004D0E47">
      <w:pPr>
        <w:pStyle w:val="Heading1"/>
      </w:pPr>
      <w:bookmarkStart w:id="2" w:name="O_1256905"/>
      <w:bookmarkEnd w:id="2"/>
      <w:r w:rsidRPr="004D0E47">
        <w:t>Performa</w:t>
      </w:r>
      <w:r w:rsidRPr="004D0E47">
        <w:t>nce Evidence</w:t>
      </w:r>
    </w:p>
    <w:p w:rsidR="00000000" w:rsidRPr="004D0E47" w:rsidP="005B49B4">
      <w:pPr>
        <w:pStyle w:val="BodyText"/>
      </w:pPr>
      <w:r w:rsidRPr="004D0E47">
        <w:t>There must be evidence the candidate has completed the tasks outlined in the elements and performance criteria of this unit, and demonstrated the ability to:</w:t>
      </w:r>
    </w:p>
    <w:p w:rsidR="00000000" w:rsidRPr="004D0E47" w:rsidP="004D0E47">
      <w:pPr>
        <w:pStyle w:val="ListBullet"/>
      </w:pPr>
      <w:r w:rsidRPr="004D0E47">
        <w:t>use at least two different research strategies and assess and report on:</w:t>
      </w:r>
    </w:p>
    <w:p w:rsidR="00000000" w:rsidRPr="004D0E47" w:rsidP="004D0E47">
      <w:pPr>
        <w:pStyle w:val="ListBullet2"/>
      </w:pPr>
      <w:r w:rsidRPr="004D0E47">
        <w:t>three feat</w:t>
      </w:r>
      <w:r w:rsidRPr="004D0E47">
        <w:t>ures of:</w:t>
      </w:r>
    </w:p>
    <w:p w:rsidR="00000000" w:rsidRPr="004D0E47" w:rsidP="004D0E47">
      <w:pPr>
        <w:pStyle w:val="ListBullet3"/>
      </w:pPr>
      <w:r w:rsidRPr="004D0E47">
        <w:t>global textiles, clothing and footwear (TCF) market conditions, including supply chain</w:t>
      </w:r>
    </w:p>
    <w:p w:rsidR="00000000" w:rsidRPr="004D0E47" w:rsidP="004D0E47">
      <w:pPr>
        <w:pStyle w:val="ListBullet3"/>
      </w:pPr>
      <w:r w:rsidRPr="004D0E47">
        <w:t xml:space="preserve">domestic TCF market conditions </w:t>
      </w:r>
    </w:p>
    <w:p w:rsidR="00000000" w:rsidRPr="004D0E47" w:rsidP="004D0E47">
      <w:pPr>
        <w:pStyle w:val="ListBullet2"/>
      </w:pPr>
      <w:r w:rsidRPr="004D0E47">
        <w:t>four characteristics of the TCF market</w:t>
      </w:r>
    </w:p>
    <w:p w:rsidR="00000000" w:rsidRPr="004D0E47" w:rsidP="004D0E47">
      <w:pPr>
        <w:pStyle w:val="ListBullet2"/>
      </w:pPr>
      <w:r w:rsidRPr="004D0E47">
        <w:t>two features of an identified TCF product range that support effective marketing</w:t>
      </w:r>
    </w:p>
    <w:p w:rsidR="00000000" w:rsidRPr="004D0E47" w:rsidP="004D0E47">
      <w:pPr>
        <w:pStyle w:val="ListBullet2"/>
      </w:pPr>
      <w:r w:rsidRPr="004D0E47">
        <w:t>the following aspects of a TCF product and the implications for marketing and merchandising:</w:t>
      </w:r>
    </w:p>
    <w:p w:rsidR="00000000" w:rsidRPr="004D0E47" w:rsidP="004D0E47">
      <w:pPr>
        <w:pStyle w:val="ListBullet3"/>
      </w:pPr>
      <w:r w:rsidRPr="004D0E47">
        <w:t>technical specifications</w:t>
      </w:r>
    </w:p>
    <w:p w:rsidR="00000000" w:rsidRPr="004D0E47" w:rsidP="004D0E47">
      <w:pPr>
        <w:pStyle w:val="ListBullet3"/>
      </w:pPr>
      <w:r w:rsidRPr="004D0E47">
        <w:t>strengths</w:t>
      </w:r>
    </w:p>
    <w:p w:rsidR="00000000" w:rsidRPr="004D0E47" w:rsidP="004D0E47">
      <w:pPr>
        <w:pStyle w:val="ListBullet3"/>
      </w:pPr>
      <w:r w:rsidRPr="004D0E47">
        <w:t>weaknesses</w:t>
      </w:r>
    </w:p>
    <w:p w:rsidR="00000000" w:rsidRPr="004D0E47" w:rsidP="004D0E47">
      <w:pPr>
        <w:pStyle w:val="ListBullet3"/>
      </w:pPr>
      <w:r w:rsidRPr="004D0E47">
        <w:t>opportunities</w:t>
      </w:r>
    </w:p>
    <w:p w:rsidR="005B49B4" w:rsidP="004D0E47">
      <w:pPr>
        <w:pStyle w:val="ListBullet3"/>
      </w:pPr>
      <w:r w:rsidRPr="004D0E47">
        <w:t>threats.</w:t>
      </w:r>
    </w:p>
    <w:p w:rsidR="005B49B4" w:rsidP="004D0E47">
      <w:pPr>
        <w:pStyle w:val="ListBullet3"/>
      </w:pPr>
    </w:p>
    <w:p w:rsidR="00000000" w:rsidRPr="004D0E47" w:rsidP="004D0E47">
      <w:pPr>
        <w:pStyle w:val="Heading1"/>
      </w:pPr>
      <w:bookmarkStart w:id="3" w:name="O_1256906"/>
      <w:bookmarkEnd w:id="3"/>
      <w:r w:rsidRPr="004D0E47">
        <w:t>Knowledge Evidence</w:t>
      </w:r>
    </w:p>
    <w:p w:rsidR="00000000" w:rsidRPr="004D0E47" w:rsidP="005B49B4">
      <w:pPr>
        <w:pStyle w:val="BodyText"/>
      </w:pPr>
      <w:r w:rsidRPr="004D0E47">
        <w:t>There must be evidence the candidate has knowledge of:</w:t>
      </w:r>
    </w:p>
    <w:p w:rsidR="00000000" w:rsidRPr="004D0E47" w:rsidP="004D0E47">
      <w:pPr>
        <w:pStyle w:val="ListBullet"/>
      </w:pPr>
      <w:r w:rsidRPr="004D0E47">
        <w:t>research strategies and methods used in TCF industry</w:t>
      </w:r>
    </w:p>
    <w:p w:rsidR="00000000" w:rsidRPr="004D0E47" w:rsidP="004D0E47">
      <w:pPr>
        <w:pStyle w:val="ListBullet"/>
      </w:pPr>
      <w:r w:rsidRPr="004D0E47">
        <w:t>characteristics of domestic and global TCF market conditions and the relationship between them, including:</w:t>
      </w:r>
    </w:p>
    <w:p w:rsidR="00000000" w:rsidRPr="004D0E47" w:rsidP="004D0E47">
      <w:pPr>
        <w:pStyle w:val="ListBullet2"/>
      </w:pPr>
      <w:r w:rsidRPr="004D0E47">
        <w:t>demographics</w:t>
      </w:r>
    </w:p>
    <w:p w:rsidR="00000000" w:rsidRPr="004D0E47" w:rsidP="004D0E47">
      <w:pPr>
        <w:pStyle w:val="ListBullet2"/>
      </w:pPr>
      <w:r w:rsidRPr="004D0E47">
        <w:t>economics</w:t>
      </w:r>
    </w:p>
    <w:p w:rsidR="00000000" w:rsidRPr="004D0E47" w:rsidP="004D0E47">
      <w:pPr>
        <w:pStyle w:val="ListBullet2"/>
      </w:pPr>
      <w:r w:rsidRPr="004D0E47">
        <w:t>location</w:t>
      </w:r>
    </w:p>
    <w:p w:rsidR="00000000" w:rsidRPr="004D0E47" w:rsidP="004D0E47">
      <w:pPr>
        <w:pStyle w:val="ListBullet2"/>
      </w:pPr>
      <w:r w:rsidRPr="004D0E47">
        <w:t>education</w:t>
      </w:r>
    </w:p>
    <w:p w:rsidR="00000000" w:rsidRPr="004D0E47" w:rsidP="004D0E47">
      <w:pPr>
        <w:pStyle w:val="ListBullet"/>
      </w:pPr>
      <w:r w:rsidRPr="004D0E47">
        <w:t>components of the TCF supply chain, including:</w:t>
      </w:r>
    </w:p>
    <w:p w:rsidR="00000000" w:rsidRPr="004D0E47" w:rsidP="004D0E47">
      <w:pPr>
        <w:pStyle w:val="ListBullet2"/>
      </w:pPr>
      <w:r w:rsidRPr="004D0E47">
        <w:t>de</w:t>
      </w:r>
      <w:r w:rsidRPr="004D0E47">
        <w:t>signers and product engineers</w:t>
      </w:r>
    </w:p>
    <w:p w:rsidR="00000000" w:rsidRPr="004D0E47" w:rsidP="004D0E47">
      <w:pPr>
        <w:pStyle w:val="ListBullet2"/>
      </w:pPr>
      <w:r w:rsidRPr="004D0E47">
        <w:t>manufacturers</w:t>
      </w:r>
    </w:p>
    <w:p w:rsidR="00000000" w:rsidRPr="004D0E47" w:rsidP="004D0E47">
      <w:pPr>
        <w:pStyle w:val="ListBullet2"/>
      </w:pPr>
      <w:r w:rsidRPr="004D0E47">
        <w:t>distributors, wholesalers, exporters and importers</w:t>
      </w:r>
    </w:p>
    <w:p w:rsidR="00000000" w:rsidRPr="004D0E47" w:rsidP="004D0E47">
      <w:pPr>
        <w:pStyle w:val="ListBullet2"/>
      </w:pPr>
      <w:r w:rsidRPr="004D0E47">
        <w:t>transporters</w:t>
      </w:r>
    </w:p>
    <w:p w:rsidR="00000000" w:rsidRPr="004D0E47" w:rsidP="004D0E47">
      <w:pPr>
        <w:pStyle w:val="ListBullet2"/>
      </w:pPr>
      <w:r w:rsidRPr="004D0E47">
        <w:t>sales, marketing and retail providers</w:t>
      </w:r>
    </w:p>
    <w:p w:rsidR="00000000" w:rsidRPr="004D0E47" w:rsidP="004D0E47">
      <w:pPr>
        <w:pStyle w:val="ListBullet"/>
      </w:pPr>
      <w:r w:rsidRPr="004D0E47">
        <w:t>range of products available in the TCF industry</w:t>
      </w:r>
    </w:p>
    <w:p w:rsidR="00000000" w:rsidRPr="004D0E47" w:rsidP="004D0E47">
      <w:pPr>
        <w:pStyle w:val="ListBullet"/>
      </w:pPr>
      <w:r w:rsidRPr="004D0E47">
        <w:t>segmentation of the TCF market</w:t>
      </w:r>
    </w:p>
    <w:p w:rsidR="00000000" w:rsidRPr="004D0E47" w:rsidP="004D0E47">
      <w:pPr>
        <w:pStyle w:val="ListBullet"/>
      </w:pPr>
      <w:r w:rsidRPr="004D0E47">
        <w:t xml:space="preserve">demographics of the TCF consumer  </w:t>
      </w:r>
    </w:p>
    <w:p w:rsidR="00000000" w:rsidRPr="004D0E47" w:rsidP="004D0E47">
      <w:pPr>
        <w:pStyle w:val="ListBullet"/>
      </w:pPr>
      <w:r w:rsidRPr="004D0E47">
        <w:t>technical aspects of TCF product</w:t>
      </w:r>
    </w:p>
    <w:p w:rsidR="00000000" w:rsidRPr="004D0E47" w:rsidP="004D0E47">
      <w:pPr>
        <w:pStyle w:val="ListBullet"/>
      </w:pPr>
      <w:r w:rsidRPr="004D0E47">
        <w:t>trends and the role of marketing and merchandising</w:t>
      </w:r>
    </w:p>
    <w:p w:rsidR="00000000" w:rsidRPr="004D0E47" w:rsidP="004D0E47">
      <w:pPr>
        <w:pStyle w:val="ListBullet"/>
      </w:pPr>
      <w:r w:rsidRPr="004D0E47">
        <w:t>characteristics of identified TCF product that make it suitable for marketing</w:t>
      </w:r>
    </w:p>
    <w:p w:rsidR="005B49B4" w:rsidP="004D0E47">
      <w:pPr>
        <w:pStyle w:val="ListBullet"/>
      </w:pPr>
      <w:r w:rsidRPr="004D0E47">
        <w:t>recording and reporting practices.</w:t>
      </w:r>
    </w:p>
    <w:p w:rsidR="005B49B4" w:rsidP="004D0E47">
      <w:pPr>
        <w:pStyle w:val="ListBullet"/>
      </w:pPr>
    </w:p>
    <w:p w:rsidR="00000000" w:rsidRPr="004D0E47" w:rsidP="004D0E47">
      <w:pPr>
        <w:pStyle w:val="Heading1"/>
      </w:pPr>
      <w:bookmarkStart w:id="4" w:name="O_1256907"/>
      <w:bookmarkEnd w:id="4"/>
      <w:r w:rsidRPr="004D0E47">
        <w:t>Asse</w:t>
      </w:r>
      <w:r w:rsidRPr="004D0E47">
        <w:t>ssment Conditions</w:t>
      </w:r>
    </w:p>
    <w:p w:rsidR="00000000" w:rsidRPr="004D0E47" w:rsidP="005B49B4">
      <w:pPr>
        <w:pStyle w:val="BodyText"/>
      </w:pPr>
      <w:r w:rsidRPr="004D0E47">
        <w:t>Skills must have been demonstrated in the workplace or in a simulated environment that reflects workplace conditions and contingencies. The following conditions must be met for this unit:</w:t>
      </w:r>
    </w:p>
    <w:p w:rsidR="00000000" w:rsidRPr="004D0E47" w:rsidP="004D0E47">
      <w:pPr>
        <w:pStyle w:val="ListBullet"/>
      </w:pPr>
      <w:r w:rsidRPr="004D0E47">
        <w:t>use of suitable facilities, equipment and resourc</w:t>
      </w:r>
      <w:r w:rsidRPr="004D0E47">
        <w:t>es, including:</w:t>
      </w:r>
    </w:p>
    <w:p w:rsidR="00000000" w:rsidRPr="004D0E47" w:rsidP="004D0E47">
      <w:pPr>
        <w:pStyle w:val="ListBullet2"/>
      </w:pPr>
      <w:r w:rsidRPr="004D0E47">
        <w:t>technology for research.</w:t>
      </w:r>
    </w:p>
    <w:p w:rsidR="005B49B4" w:rsidP="005B49B4">
      <w:pPr>
        <w:pStyle w:val="BodyText"/>
      </w:pPr>
      <w:r w:rsidRPr="004D0E47">
        <w:t>Assessors must satisfy the NVR/AQTF mandatory competency requirements for assessors.</w:t>
      </w:r>
    </w:p>
    <w:p w:rsidR="00000000" w:rsidRPr="004D0E47" w:rsidP="004D0E47">
      <w:pPr>
        <w:pStyle w:val="Heading1"/>
      </w:pPr>
      <w:bookmarkStart w:id="5" w:name="O_1256910"/>
      <w:bookmarkEnd w:id="5"/>
      <w:r w:rsidRPr="004D0E47">
        <w:t>Links</w:t>
      </w:r>
    </w:p>
    <w:p w:rsidR="00000000" w:rsidRPr="004D0E47" w:rsidP="005B49B4">
      <w:pPr>
        <w:pStyle w:val="BodyText"/>
      </w:pPr>
      <w:r w:rsidRPr="004D0E47">
        <w:t>Companion Volume implementation guides are found in VETNet –</w:t>
      </w:r>
      <w:r w:rsidRPr="004D0E47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F302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D0E47" w:rsidP="004D0E47"/>
    <w:sectPr w:rsidSect="004D0E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47" w:rsidRPr="005B49B4" w:rsidP="005B49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9B4" w:rsidP="004D0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9B4" w:rsidP="004D0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49B4" w:rsidP="004D0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9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E47" w:rsidRPr="005B49B4" w:rsidP="005B49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9B4" w:rsidRPr="002D2AF8" w:rsidP="004D0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MSTGN4018 Analyse TCF merchandising and marketing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B49B4" w:rsidP="004D0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8ED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0F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0E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E47"/>
  </w:style>
  <w:style w:type="character" w:customStyle="1" w:styleId="Heading1Char">
    <w:name w:val="Heading 1 Char"/>
    <w:basedOn w:val="DefaultParagraphFont"/>
    <w:link w:val="Heading1"/>
    <w:rsid w:val="004D0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E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E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E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0E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0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E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E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E47"/>
    <w:rPr>
      <w:b/>
      <w:spacing w:val="0"/>
    </w:rPr>
  </w:style>
  <w:style w:type="paragraph" w:customStyle="1" w:styleId="SuperTitle">
    <w:name w:val="SuperTitle"/>
    <w:basedOn w:val="Title"/>
    <w:rsid w:val="004D0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E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E47"/>
    <w:rPr>
      <w:i/>
    </w:rPr>
  </w:style>
  <w:style w:type="paragraph" w:styleId="Caption">
    <w:name w:val="caption"/>
    <w:basedOn w:val="BodyText"/>
    <w:next w:val="Normal"/>
    <w:qFormat/>
    <w:rsid w:val="004D0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E47"/>
  </w:style>
  <w:style w:type="paragraph" w:styleId="TableofFigures">
    <w:name w:val="table of figures"/>
    <w:basedOn w:val="Normal"/>
    <w:next w:val="Normal"/>
    <w:semiHidden/>
    <w:rsid w:val="004D0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E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0E47"/>
    <w:rPr>
      <w:rFonts w:ascii="Wingdings" w:hAnsi="Wingdings"/>
    </w:rPr>
  </w:style>
  <w:style w:type="paragraph" w:customStyle="1" w:styleId="TableHeading">
    <w:name w:val="Table Heading"/>
    <w:basedOn w:val="HeadingBase"/>
    <w:rsid w:val="004D0E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E47"/>
    <w:rPr>
      <w:color w:val="0033CC"/>
      <w:u w:val="none"/>
    </w:rPr>
  </w:style>
  <w:style w:type="paragraph" w:customStyle="1" w:styleId="BodyTextRight">
    <w:name w:val="Body Text Right"/>
    <w:basedOn w:val="BodyText"/>
    <w:rsid w:val="004D0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E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E47"/>
    <w:rPr>
      <w:sz w:val="32"/>
    </w:rPr>
  </w:style>
  <w:style w:type="paragraph" w:customStyle="1" w:styleId="HeadingProcedure">
    <w:name w:val="Heading Procedure"/>
    <w:basedOn w:val="HeadingBase"/>
    <w:next w:val="Normal"/>
    <w:rsid w:val="004D0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E47"/>
    <w:pPr>
      <w:spacing w:before="60" w:after="60"/>
    </w:pPr>
  </w:style>
  <w:style w:type="paragraph" w:styleId="ListContinue">
    <w:name w:val="List Continue"/>
    <w:basedOn w:val="List"/>
    <w:rsid w:val="004D0E47"/>
    <w:pPr>
      <w:ind w:firstLine="0"/>
    </w:pPr>
  </w:style>
  <w:style w:type="paragraph" w:customStyle="1" w:styleId="ListNote">
    <w:name w:val="List Note"/>
    <w:basedOn w:val="List"/>
    <w:rsid w:val="004D0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E47"/>
    <w:rPr>
      <w:rFonts w:ascii="Courier New" w:hAnsi="Courier New"/>
    </w:rPr>
  </w:style>
  <w:style w:type="paragraph" w:customStyle="1" w:styleId="NoteBullet">
    <w:name w:val="Note Bullet"/>
    <w:basedOn w:val="Note"/>
    <w:rsid w:val="004D0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E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0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E47"/>
    <w:rPr>
      <w:b/>
      <w:smallCaps/>
    </w:rPr>
  </w:style>
  <w:style w:type="paragraph" w:customStyle="1" w:styleId="TableListNumber">
    <w:name w:val="Table List Number"/>
    <w:basedOn w:val="ListNumber"/>
    <w:rsid w:val="004D0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E47"/>
    <w:pPr>
      <w:numPr>
        <w:numId w:val="10"/>
      </w:numPr>
    </w:pPr>
  </w:style>
  <w:style w:type="paragraph" w:customStyle="1" w:styleId="ListAlpha2">
    <w:name w:val="List Alpha 2"/>
    <w:basedOn w:val="List2"/>
    <w:rsid w:val="004D0E47"/>
    <w:pPr>
      <w:numPr>
        <w:numId w:val="9"/>
      </w:numPr>
    </w:pPr>
  </w:style>
  <w:style w:type="paragraph" w:styleId="List2">
    <w:name w:val="List 2"/>
    <w:basedOn w:val="BodyText"/>
    <w:rsid w:val="004D0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E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0E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0E47"/>
    <w:pPr>
      <w:numPr>
        <w:numId w:val="5"/>
      </w:numPr>
    </w:pPr>
  </w:style>
  <w:style w:type="paragraph" w:styleId="ListContinue2">
    <w:name w:val="List Continue 2"/>
    <w:basedOn w:val="List2"/>
    <w:rsid w:val="004D0E47"/>
    <w:pPr>
      <w:ind w:firstLine="0"/>
    </w:pPr>
  </w:style>
  <w:style w:type="paragraph" w:styleId="ListContinue3">
    <w:name w:val="List Continue 3"/>
    <w:basedOn w:val="List3"/>
    <w:rsid w:val="004D0E47"/>
    <w:pPr>
      <w:ind w:left="1021" w:firstLine="0"/>
    </w:pPr>
  </w:style>
  <w:style w:type="paragraph" w:styleId="ListContinue4">
    <w:name w:val="List Continue 4"/>
    <w:basedOn w:val="List4"/>
    <w:rsid w:val="004D0E47"/>
    <w:pPr>
      <w:ind w:firstLine="0"/>
    </w:pPr>
  </w:style>
  <w:style w:type="paragraph" w:styleId="ListContinue5">
    <w:name w:val="List Continue 5"/>
    <w:basedOn w:val="List5"/>
    <w:rsid w:val="004D0E47"/>
    <w:pPr>
      <w:ind w:firstLine="0"/>
    </w:pPr>
  </w:style>
  <w:style w:type="paragraph" w:styleId="ListNumber3">
    <w:name w:val="List Number 3"/>
    <w:basedOn w:val="List3"/>
    <w:rsid w:val="004D0E47"/>
    <w:pPr>
      <w:numPr>
        <w:numId w:val="6"/>
      </w:numPr>
    </w:pPr>
  </w:style>
  <w:style w:type="paragraph" w:styleId="ListNumber4">
    <w:name w:val="List Number 4"/>
    <w:basedOn w:val="List4"/>
    <w:rsid w:val="004D0E47"/>
    <w:pPr>
      <w:numPr>
        <w:numId w:val="7"/>
      </w:numPr>
    </w:pPr>
  </w:style>
  <w:style w:type="paragraph" w:styleId="ListNumber5">
    <w:name w:val="List Number 5"/>
    <w:basedOn w:val="List5"/>
    <w:rsid w:val="004D0E47"/>
    <w:pPr>
      <w:numPr>
        <w:numId w:val="8"/>
      </w:numPr>
    </w:pPr>
  </w:style>
  <w:style w:type="paragraph" w:styleId="BlockText">
    <w:name w:val="Block Text"/>
    <w:basedOn w:val="Normal"/>
    <w:rsid w:val="004D0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E47"/>
    <w:rPr>
      <w:sz w:val="16"/>
      <w:vertAlign w:val="superscript"/>
    </w:rPr>
  </w:style>
  <w:style w:type="character" w:customStyle="1" w:styleId="Symbols">
    <w:name w:val="Symbols"/>
    <w:basedOn w:val="DefaultParagraphFont"/>
    <w:rsid w:val="004D0E47"/>
    <w:rPr>
      <w:rFonts w:ascii="Symbol" w:hAnsi="Symbol"/>
    </w:rPr>
  </w:style>
  <w:style w:type="character" w:customStyle="1" w:styleId="MenuOptions">
    <w:name w:val="Menu Options"/>
    <w:basedOn w:val="DefaultParagraphFont"/>
    <w:rsid w:val="004D0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E47"/>
    <w:rPr>
      <w:b/>
    </w:rPr>
  </w:style>
  <w:style w:type="character" w:customStyle="1" w:styleId="Underlined">
    <w:name w:val="Underlined"/>
    <w:basedOn w:val="DefaultParagraphFont"/>
    <w:rsid w:val="004D0E47"/>
    <w:rPr>
      <w:u w:val="single"/>
    </w:rPr>
  </w:style>
  <w:style w:type="paragraph" w:customStyle="1" w:styleId="TableBodyTextRight">
    <w:name w:val="Table Body Text Right"/>
    <w:basedOn w:val="TableBodyText"/>
    <w:rsid w:val="004D0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E47"/>
    <w:rPr>
      <w:sz w:val="18"/>
    </w:rPr>
  </w:style>
  <w:style w:type="paragraph" w:customStyle="1" w:styleId="BodySmallRight">
    <w:name w:val="Body Small Right"/>
    <w:basedOn w:val="BodyTextRight"/>
    <w:rsid w:val="004D0E47"/>
    <w:rPr>
      <w:sz w:val="18"/>
      <w:szCs w:val="18"/>
    </w:rPr>
  </w:style>
  <w:style w:type="paragraph" w:customStyle="1" w:styleId="MarginEdition">
    <w:name w:val="Margin Edition"/>
    <w:basedOn w:val="MarginNote"/>
    <w:rsid w:val="004D0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E47"/>
    <w:rPr>
      <w:sz w:val="2"/>
      <w:szCs w:val="2"/>
    </w:rPr>
  </w:style>
  <w:style w:type="character" w:customStyle="1" w:styleId="Small">
    <w:name w:val="Small"/>
    <w:basedOn w:val="DefaultParagraphFont"/>
    <w:rsid w:val="004D0E47"/>
    <w:rPr>
      <w:sz w:val="16"/>
    </w:rPr>
  </w:style>
  <w:style w:type="paragraph" w:customStyle="1" w:styleId="WideTable">
    <w:name w:val="Wide Table"/>
    <w:basedOn w:val="Normal"/>
    <w:rsid w:val="004D0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E47"/>
  </w:style>
  <w:style w:type="paragraph" w:styleId="Quote">
    <w:name w:val="Quote"/>
    <w:basedOn w:val="Heading1"/>
    <w:link w:val="QuoteChar"/>
    <w:qFormat/>
    <w:rsid w:val="004D0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E47"/>
    <w:pPr>
      <w:pageBreakBefore/>
    </w:pPr>
  </w:style>
  <w:style w:type="paragraph" w:customStyle="1" w:styleId="Border">
    <w:name w:val="Border"/>
    <w:basedOn w:val="Normal"/>
    <w:qFormat/>
    <w:rsid w:val="004D0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E47"/>
    <w:rPr>
      <w:u w:val="single"/>
    </w:rPr>
  </w:style>
  <w:style w:type="character" w:customStyle="1" w:styleId="BoldandItalics">
    <w:name w:val="Bold and Italics"/>
    <w:qFormat/>
    <w:rsid w:val="004D0E47"/>
    <w:rPr>
      <w:b/>
      <w:i/>
      <w:u w:val="none"/>
    </w:rPr>
  </w:style>
  <w:style w:type="paragraph" w:styleId="BalloonText">
    <w:name w:val="Balloon Text"/>
    <w:basedOn w:val="Normal"/>
    <w:link w:val="BalloonTextChar"/>
    <w:rsid w:val="004D0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E47"/>
    <w:pPr>
      <w:spacing w:before="0" w:after="0"/>
    </w:pPr>
  </w:style>
  <w:style w:type="paragraph" w:customStyle="1" w:styleId="BodyTextBold">
    <w:name w:val="Body Text Bold"/>
    <w:basedOn w:val="BodyText"/>
    <w:qFormat/>
    <w:rsid w:val="004D0E47"/>
    <w:rPr>
      <w:b/>
    </w:rPr>
  </w:style>
  <w:style w:type="character" w:styleId="Hyperlink">
    <w:name w:val="Hyperlink"/>
    <w:basedOn w:val="DefaultParagraphFont"/>
    <w:uiPriority w:val="99"/>
    <w:unhideWhenUsed/>
    <w:rsid w:val="005B4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2491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MSTGN4018 Analyse TCF merchandising and marketing principles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