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65DC" w:rsidP="000765DC">
      <w:pPr>
        <w:pStyle w:val="Title"/>
      </w:pPr>
      <w:r>
        <w:fldChar w:fldCharType="begin"/>
      </w:r>
      <w:r>
        <w:instrText xml:space="preserve"> TITLE   \* MERGEFORMAT </w:instrText>
      </w:r>
      <w:r>
        <w:fldChar w:fldCharType="separate"/>
      </w:r>
      <w:r>
        <w:t>MSTGN4006 Apply TCF market supply systems</w:t>
      </w:r>
      <w:r>
        <w:fldChar w:fldCharType="end"/>
      </w:r>
    </w:p>
    <w:p w:rsidR="000765DC" w:rsidP="000765DC">
      <w:pPr>
        <w:pStyle w:val="Version"/>
        <w:sectPr w:rsidSect="008174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174F9" w:rsidP="008174F9">
      <w:pPr>
        <w:pStyle w:val="SuperHeading"/>
      </w:pPr>
      <w:r w:rsidRPr="008174F9">
        <w:t>MSTGN4006 Apply TCF market supply systems</w:t>
      </w:r>
    </w:p>
    <w:p w:rsidR="00000000" w:rsidRPr="008174F9" w:rsidP="008174F9">
      <w:pPr>
        <w:pStyle w:val="Heading1"/>
      </w:pPr>
      <w:bookmarkStart w:id="1" w:name="O_1050255"/>
      <w:bookmarkEnd w:id="1"/>
      <w:r w:rsidRPr="008174F9">
        <w:t>Modification History</w:t>
      </w:r>
    </w:p>
    <w:p w:rsidR="00000000" w:rsidRPr="008174F9" w:rsidP="000765DC">
      <w:pPr>
        <w:pStyle w:val="BodyText"/>
      </w:pPr>
      <w:r w:rsidRPr="008174F9">
        <w:t>Release 2. Supersedes and is equivalent to MSTGN4006 Apply TCF market supply systems (Release 1).</w:t>
      </w:r>
    </w:p>
    <w:p w:rsidR="00000000" w:rsidRPr="008174F9" w:rsidP="000765DC">
      <w:pPr>
        <w:pStyle w:val="BodyText"/>
      </w:pPr>
      <w:r w:rsidRPr="008174F9">
        <w:t>Pre-requisite unit, MSTGN2011 Identify fibres, fabrics and textiles used in the TCF industry, is</w:t>
      </w:r>
      <w:r w:rsidRPr="008174F9">
        <w:rPr>
          <w:rStyle w:val="SpecialBold"/>
        </w:rPr>
        <w:t xml:space="preserve"> </w:t>
      </w:r>
      <w:r w:rsidRPr="008174F9">
        <w:t>superseded by MSTGN2013 Identify fibres,</w:t>
      </w:r>
      <w:r w:rsidRPr="008174F9">
        <w:t xml:space="preserve"> fabrics and textiles used in the TCF industry.</w:t>
      </w:r>
    </w:p>
    <w:p w:rsidR="00000000" w:rsidRPr="008174F9" w:rsidP="000765DC">
      <w:pPr>
        <w:pStyle w:val="BodyText"/>
      </w:pPr>
      <w:r w:rsidRPr="008174F9">
        <w:t>Release 1. Supersedes and is equivalent to LMTGN4018A Apply textile clothing and footwear market supply systems.</w:t>
      </w:r>
    </w:p>
    <w:p w:rsidR="00000000" w:rsidRPr="008174F9" w:rsidP="008174F9">
      <w:pPr>
        <w:pStyle w:val="Heading1"/>
      </w:pPr>
      <w:bookmarkStart w:id="2" w:name="O_1050254"/>
      <w:bookmarkEnd w:id="2"/>
      <w:r w:rsidRPr="008174F9">
        <w:t>Application</w:t>
      </w:r>
    </w:p>
    <w:p w:rsidR="00000000" w:rsidRPr="008174F9" w:rsidP="000765DC">
      <w:pPr>
        <w:pStyle w:val="BodyText"/>
      </w:pPr>
      <w:r w:rsidRPr="008174F9">
        <w:t>This unit of competency covers the skills and knowledge required</w:t>
      </w:r>
      <w:r w:rsidRPr="008174F9">
        <w:t xml:space="preserve"> to apply systems of supply for the textiles, clothing and footwear (TCF) market. </w:t>
      </w:r>
    </w:p>
    <w:p w:rsidR="00000000" w:rsidRPr="008174F9" w:rsidP="000765DC">
      <w:pPr>
        <w:pStyle w:val="BodyText"/>
      </w:pPr>
      <w:r w:rsidRPr="008174F9">
        <w:t xml:space="preserve">The unit of competency applies to the supply of materials and resources, manufacture and distribution of TCF products and services. </w:t>
      </w:r>
    </w:p>
    <w:p w:rsidR="00000000" w:rsidRPr="008174F9" w:rsidP="000765DC">
      <w:pPr>
        <w:pStyle w:val="BodyText"/>
      </w:pPr>
      <w:r w:rsidRPr="008174F9">
        <w:t xml:space="preserve">This unit of competency is applicable </w:t>
      </w:r>
      <w:r w:rsidRPr="008174F9">
        <w:t>to all sectors of the TCF industry.</w:t>
      </w:r>
    </w:p>
    <w:p w:rsidR="00000000" w:rsidRPr="008174F9" w:rsidP="000765DC">
      <w:pPr>
        <w:pStyle w:val="BodyText"/>
      </w:pPr>
      <w:r w:rsidRPr="008174F9">
        <w:t>Work may be conducted in small to large scale enterprises and may involve individual and team activities.</w:t>
      </w:r>
    </w:p>
    <w:p w:rsidR="00000000" w:rsidRPr="008174F9" w:rsidP="000765DC">
      <w:pPr>
        <w:pStyle w:val="BodyText"/>
      </w:pPr>
      <w:r w:rsidRPr="008174F9">
        <w:t>No licensing, legislative or certification requirements apply to this unit at the time of publication.</w:t>
      </w:r>
    </w:p>
    <w:p w:rsidR="00000000" w:rsidRPr="008174F9" w:rsidP="008174F9">
      <w:pPr>
        <w:pStyle w:val="Heading1"/>
      </w:pPr>
      <w:bookmarkStart w:id="3" w:name="O_1050253"/>
      <w:bookmarkEnd w:id="3"/>
      <w:r w:rsidRPr="008174F9">
        <w:t>Pre-requisite Unit</w:t>
      </w:r>
    </w:p>
    <w:tbl>
      <w:tblPr>
        <w:tblW w:w="0" w:type="auto"/>
        <w:tblLayout w:type="fixed"/>
        <w:tblCellMar>
          <w:left w:w="62" w:type="dxa"/>
          <w:right w:w="62" w:type="dxa"/>
        </w:tblCellMar>
        <w:tblLook w:val="0000"/>
      </w:tblPr>
      <w:tblGrid>
        <w:gridCol w:w="1260"/>
        <w:gridCol w:w="4950"/>
      </w:tblGrid>
      <w:tr w:rsidTr="008174F9">
        <w:tblPrEx>
          <w:tblW w:w="0" w:type="auto"/>
          <w:tblLayout w:type="fixed"/>
          <w:tblCellMar>
            <w:left w:w="62" w:type="dxa"/>
            <w:right w:w="62" w:type="dxa"/>
          </w:tblCellMar>
          <w:tblLook w:val="0000"/>
        </w:tblPrEx>
        <w:tc>
          <w:tcPr>
            <w:tcW w:w="1260" w:type="dxa"/>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MSTGN2013</w:t>
            </w:r>
          </w:p>
        </w:tc>
        <w:tc>
          <w:tcPr>
            <w:tcW w:w="4950" w:type="dxa"/>
            <w:tcBorders>
              <w:top w:val="nil"/>
              <w:left w:val="nil"/>
              <w:bottom w:val="nil"/>
              <w:right w:val="nil"/>
            </w:tcBorders>
            <w:tcMar>
              <w:top w:w="0" w:type="dxa"/>
              <w:left w:w="62" w:type="dxa"/>
              <w:bottom w:w="0" w:type="dxa"/>
              <w:right w:w="62" w:type="dxa"/>
            </w:tcMar>
          </w:tcPr>
          <w:p w:rsidR="00000000" w:rsidRPr="008174F9" w:rsidP="008174F9">
            <w:pPr>
              <w:pStyle w:val="BodyText"/>
            </w:pPr>
            <w:r w:rsidRPr="008174F9">
              <w:t>Identify fabrics, fibres and textiles used in TCF industry</w:t>
            </w:r>
          </w:p>
        </w:tc>
      </w:tr>
    </w:tbl>
    <w:p w:rsidR="00000000" w:rsidRPr="008174F9" w:rsidP="008174F9">
      <w:pPr>
        <w:pStyle w:val="BodyText"/>
      </w:pPr>
    </w:p>
    <w:p w:rsidR="00000000" w:rsidRPr="008174F9" w:rsidP="008174F9">
      <w:pPr>
        <w:pStyle w:val="AllowPageBreak"/>
      </w:pPr>
    </w:p>
    <w:p w:rsidR="00000000" w:rsidRPr="008174F9" w:rsidP="008174F9">
      <w:pPr>
        <w:pStyle w:val="Heading1"/>
      </w:pPr>
      <w:bookmarkStart w:id="4" w:name="O_1050252"/>
      <w:bookmarkEnd w:id="4"/>
      <w:r w:rsidRPr="008174F9">
        <w:t>Competency Field</w:t>
      </w:r>
    </w:p>
    <w:p w:rsidR="00000000" w:rsidRPr="008174F9" w:rsidP="000765DC">
      <w:pPr>
        <w:pStyle w:val="BodyText"/>
      </w:pPr>
      <w:r w:rsidRPr="008174F9">
        <w:t>Generic</w:t>
      </w:r>
    </w:p>
    <w:p w:rsidR="00000000" w:rsidRPr="008174F9" w:rsidP="008174F9">
      <w:pPr>
        <w:pStyle w:val="Heading1"/>
      </w:pPr>
      <w:bookmarkStart w:id="5" w:name="O_1050251"/>
      <w:bookmarkEnd w:id="5"/>
      <w:r w:rsidRPr="008174F9">
        <w:t>Unit Sector</w:t>
      </w:r>
    </w:p>
    <w:p w:rsidR="00000000" w:rsidRPr="008174F9" w:rsidP="000765DC">
      <w:pPr>
        <w:pStyle w:val="BodyText"/>
      </w:pPr>
      <w:r w:rsidRPr="008174F9">
        <w:t>Not applicable</w:t>
      </w:r>
    </w:p>
    <w:p w:rsidR="00000000" w:rsidRPr="008174F9" w:rsidP="008174F9">
      <w:pPr>
        <w:pStyle w:val="Heading1"/>
      </w:pPr>
      <w:bookmarkStart w:id="6" w:name="O_1050250"/>
      <w:bookmarkEnd w:id="6"/>
      <w:r w:rsidRPr="008174F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174F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Elements desc</w:t>
            </w:r>
            <w:r w:rsidRPr="008174F9">
              <w:t>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Performance criteria describe the performance needed to demonstrate achievement of the element.</w:t>
            </w:r>
          </w:p>
        </w:tc>
      </w:tr>
      <w:tr w:rsidTr="008174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174F9" w:rsidP="008174F9">
            <w:pPr>
              <w:pStyle w:val="BodyText"/>
            </w:pPr>
            <w:r w:rsidRPr="008174F9">
              <w:t>1</w:t>
            </w:r>
          </w:p>
        </w:tc>
        <w:tc>
          <w:tcPr>
            <w:tcW w:w="1962" w:type="dxa"/>
            <w:vMerge w:val="restart"/>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1.1</w:t>
            </w:r>
          </w:p>
        </w:tc>
        <w:tc>
          <w:tcPr>
            <w:tcW w:w="5610" w:type="dxa"/>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Follow standard operating procedures (SOPs)</w:t>
            </w:r>
          </w:p>
        </w:tc>
      </w:tr>
      <w:tr w:rsidTr="008174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1.2</w:t>
            </w:r>
          </w:p>
        </w:tc>
        <w:tc>
          <w:tcPr>
            <w:tcW w:w="5610" w:type="dxa"/>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Comply with work health and safety (WHS) requirements at all times</w:t>
            </w:r>
          </w:p>
        </w:tc>
      </w:tr>
      <w:tr w:rsidTr="008174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1.3</w:t>
            </w:r>
          </w:p>
        </w:tc>
        <w:tc>
          <w:tcPr>
            <w:tcW w:w="5610" w:type="dxa"/>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Use appropriate personal protective equipment (PPE) in accordance with SOPs</w:t>
            </w:r>
          </w:p>
        </w:tc>
      </w:tr>
      <w:tr w:rsidTr="008174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1.4</w:t>
            </w:r>
          </w:p>
        </w:tc>
        <w:tc>
          <w:tcPr>
            <w:tcW w:w="5610" w:type="dxa"/>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Identify job requirements from specifications, drawings, job sheets or work instructions</w:t>
            </w:r>
          </w:p>
        </w:tc>
      </w:tr>
      <w:tr w:rsidTr="008174F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8174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174F9" w:rsidP="008174F9">
            <w:pPr>
              <w:pStyle w:val="BodyText"/>
            </w:pPr>
            <w:r w:rsidRPr="008174F9">
              <w:t>2</w:t>
            </w:r>
          </w:p>
        </w:tc>
        <w:tc>
          <w:tcPr>
            <w:tcW w:w="1962" w:type="dxa"/>
            <w:vMerge w:val="restart"/>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rPr>
                <w:rStyle w:val="SpecialBold"/>
              </w:rPr>
              <w:t>Prepare to participate in the TCF supply chain</w:t>
            </w:r>
          </w:p>
        </w:tc>
        <w:tc>
          <w:tcPr>
            <w:tcW w:w="770" w:type="dxa"/>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2.1</w:t>
            </w:r>
          </w:p>
        </w:tc>
        <w:tc>
          <w:tcPr>
            <w:tcW w:w="5610" w:type="dxa"/>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Identify goods and services included within the TCF supply chain</w:t>
            </w:r>
          </w:p>
        </w:tc>
      </w:tr>
      <w:tr w:rsidTr="008174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2.2</w:t>
            </w:r>
          </w:p>
        </w:tc>
        <w:tc>
          <w:tcPr>
            <w:tcW w:w="5610" w:type="dxa"/>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 xml:space="preserve">Identify TCF products and the origins of raw material for TCF products </w:t>
            </w:r>
          </w:p>
        </w:tc>
      </w:tr>
      <w:tr w:rsidTr="008174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2.3</w:t>
            </w:r>
          </w:p>
        </w:tc>
        <w:tc>
          <w:tcPr>
            <w:tcW w:w="5610" w:type="dxa"/>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Identify TCF personnel expertise used in the supply chain and their role in supply</w:t>
            </w:r>
          </w:p>
        </w:tc>
      </w:tr>
      <w:tr w:rsidTr="008174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2.4</w:t>
            </w:r>
          </w:p>
        </w:tc>
        <w:tc>
          <w:tcPr>
            <w:tcW w:w="5610" w:type="dxa"/>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Identify marketing and sales functions and their contributions to the supply chain</w:t>
            </w:r>
          </w:p>
        </w:tc>
      </w:tr>
      <w:tr w:rsidTr="008174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2.5</w:t>
            </w:r>
          </w:p>
        </w:tc>
        <w:tc>
          <w:tcPr>
            <w:tcW w:w="5610" w:type="dxa"/>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Assess the strengths and weaknesses of domestic and international supply arr</w:t>
            </w:r>
            <w:r w:rsidRPr="008174F9">
              <w:t xml:space="preserve">angements for TCF products </w:t>
            </w:r>
          </w:p>
        </w:tc>
      </w:tr>
      <w:tr w:rsidTr="008174F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8174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174F9" w:rsidP="008174F9">
            <w:pPr>
              <w:pStyle w:val="BodyText"/>
            </w:pPr>
            <w:r w:rsidRPr="008174F9">
              <w:t>3</w:t>
            </w:r>
          </w:p>
        </w:tc>
        <w:tc>
          <w:tcPr>
            <w:tcW w:w="1962" w:type="dxa"/>
            <w:vMerge w:val="restart"/>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rPr>
                <w:rStyle w:val="SpecialBold"/>
              </w:rPr>
              <w:t>Participate in TCF supply chain operations</w:t>
            </w:r>
          </w:p>
        </w:tc>
        <w:tc>
          <w:tcPr>
            <w:tcW w:w="770" w:type="dxa"/>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3.1</w:t>
            </w:r>
          </w:p>
        </w:tc>
        <w:tc>
          <w:tcPr>
            <w:tcW w:w="5610" w:type="dxa"/>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Identify and specify supply criteria for selected TCF products</w:t>
            </w:r>
          </w:p>
        </w:tc>
      </w:tr>
      <w:tr w:rsidTr="008174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3.2</w:t>
            </w:r>
          </w:p>
        </w:tc>
        <w:tc>
          <w:tcPr>
            <w:tcW w:w="5610" w:type="dxa"/>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Identify quality indicators for TCF materials and products</w:t>
            </w:r>
          </w:p>
        </w:tc>
      </w:tr>
      <w:tr w:rsidTr="008174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3.3</w:t>
            </w:r>
          </w:p>
        </w:tc>
        <w:tc>
          <w:tcPr>
            <w:tcW w:w="5610" w:type="dxa"/>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Conduct routine tests to as</w:t>
            </w:r>
            <w:r w:rsidRPr="008174F9">
              <w:t>sess the quality of materials and products</w:t>
            </w:r>
          </w:p>
        </w:tc>
      </w:tr>
      <w:tr w:rsidTr="008174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3.4</w:t>
            </w:r>
          </w:p>
        </w:tc>
        <w:tc>
          <w:tcPr>
            <w:tcW w:w="5610" w:type="dxa"/>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 xml:space="preserve">Analyse and interpret specifications for materials and </w:t>
            </w:r>
            <w:r w:rsidRPr="008174F9">
              <w:t xml:space="preserve">products </w:t>
            </w:r>
          </w:p>
        </w:tc>
      </w:tr>
      <w:tr w:rsidTr="008174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3.5</w:t>
            </w:r>
          </w:p>
        </w:tc>
        <w:tc>
          <w:tcPr>
            <w:tcW w:w="5610" w:type="dxa"/>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Use appropriate TCF industry terminology to communicate effectively and document processes in domestic and/or international supply cha</w:t>
            </w:r>
            <w:r w:rsidRPr="008174F9">
              <w:t>in operations</w:t>
            </w:r>
          </w:p>
        </w:tc>
      </w:tr>
      <w:tr w:rsidTr="008174F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8174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174F9" w:rsidP="008174F9">
            <w:pPr>
              <w:pStyle w:val="BodyText"/>
            </w:pPr>
            <w:r w:rsidRPr="008174F9">
              <w:t>4</w:t>
            </w:r>
          </w:p>
        </w:tc>
        <w:tc>
          <w:tcPr>
            <w:tcW w:w="1962" w:type="dxa"/>
            <w:vMerge w:val="restart"/>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rPr>
                <w:rStyle w:val="SpecialBold"/>
              </w:rPr>
              <w:t>Evaluate supply chain arrangements</w:t>
            </w:r>
          </w:p>
        </w:tc>
        <w:tc>
          <w:tcPr>
            <w:tcW w:w="770" w:type="dxa"/>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4.1</w:t>
            </w:r>
          </w:p>
        </w:tc>
        <w:tc>
          <w:tcPr>
            <w:tcW w:w="5610" w:type="dxa"/>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Use appropriate electronic and digital tools and communication and records systems in TCF supply systems and evaluate their role in a supply chain</w:t>
            </w:r>
          </w:p>
        </w:tc>
      </w:tr>
      <w:tr w:rsidTr="008174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4.2</w:t>
            </w:r>
          </w:p>
        </w:tc>
        <w:tc>
          <w:tcPr>
            <w:tcW w:w="5610" w:type="dxa"/>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 xml:space="preserve">Analyse TCF supply chain conditions and established supply relationships </w:t>
            </w:r>
          </w:p>
        </w:tc>
      </w:tr>
      <w:tr w:rsidTr="008174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4.3</w:t>
            </w:r>
          </w:p>
        </w:tc>
        <w:tc>
          <w:tcPr>
            <w:tcW w:w="5610" w:type="dxa"/>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Compare key performance benchmarks with current flow rates</w:t>
            </w:r>
          </w:p>
        </w:tc>
      </w:tr>
      <w:tr w:rsidTr="008174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4.4</w:t>
            </w:r>
          </w:p>
        </w:tc>
        <w:tc>
          <w:tcPr>
            <w:tcW w:w="5610" w:type="dxa"/>
            <w:tcBorders>
              <w:top w:val="nil"/>
              <w:left w:val="nil"/>
              <w:bottom w:val="nil"/>
              <w:right w:val="nil"/>
            </w:tcBorders>
            <w:tcMar>
              <w:top w:w="0" w:type="dxa"/>
              <w:left w:w="62" w:type="dxa"/>
              <w:bottom w:w="0" w:type="dxa"/>
              <w:right w:w="62" w:type="dxa"/>
            </w:tcMar>
          </w:tcPr>
          <w:p w:rsidR="00000000" w:rsidRPr="008174F9" w:rsidP="008174F9">
            <w:pPr>
              <w:pStyle w:val="BodyText"/>
            </w:pPr>
            <w:r w:rsidRPr="008174F9">
              <w:t xml:space="preserve">Determine strengths and weaknesses in current supply arrangements </w:t>
            </w:r>
          </w:p>
        </w:tc>
      </w:tr>
    </w:tbl>
    <w:p w:rsidR="00000000" w:rsidRPr="008174F9" w:rsidP="008174F9">
      <w:pPr>
        <w:pStyle w:val="BodyText"/>
      </w:pPr>
    </w:p>
    <w:p w:rsidR="00000000" w:rsidRPr="008174F9" w:rsidP="008174F9">
      <w:pPr>
        <w:pStyle w:val="AllowPageBreak"/>
      </w:pPr>
    </w:p>
    <w:p w:rsidR="00000000" w:rsidRPr="008174F9" w:rsidP="008174F9">
      <w:pPr>
        <w:pStyle w:val="Heading1"/>
      </w:pPr>
      <w:bookmarkStart w:id="7" w:name="O_1050249"/>
      <w:bookmarkEnd w:id="7"/>
      <w:r w:rsidRPr="008174F9">
        <w:t>Foundation Skills</w:t>
      </w:r>
    </w:p>
    <w:p w:rsidR="00000000" w:rsidRPr="008174F9" w:rsidP="000765DC">
      <w:pPr>
        <w:pStyle w:val="BodyText"/>
      </w:pPr>
      <w:r w:rsidRPr="008174F9">
        <w:t>This section describes those required skills (language, literacy and numeracy) that are essential to performance.</w:t>
      </w:r>
    </w:p>
    <w:p w:rsidR="00000000" w:rsidRPr="008174F9" w:rsidP="000765DC">
      <w:pPr>
        <w:pStyle w:val="BodyText"/>
      </w:pPr>
      <w:r w:rsidRPr="008174F9">
        <w:t>Foundation skills essential to performance are explicit in the performance criteria of this unit of competency.</w:t>
      </w:r>
    </w:p>
    <w:p w:rsidR="00000000" w:rsidRPr="008174F9" w:rsidP="008174F9">
      <w:pPr>
        <w:pStyle w:val="Heading1"/>
      </w:pPr>
      <w:bookmarkStart w:id="8" w:name="O_1050248"/>
      <w:bookmarkEnd w:id="8"/>
      <w:r w:rsidRPr="008174F9">
        <w:t>Range of C</w:t>
      </w:r>
      <w:r w:rsidRPr="008174F9">
        <w:t>onditions</w:t>
      </w:r>
    </w:p>
    <w:tbl>
      <w:tblPr>
        <w:tblW w:w="0" w:type="auto"/>
        <w:tblCellMar>
          <w:left w:w="62" w:type="dxa"/>
          <w:right w:w="62" w:type="dxa"/>
        </w:tblCellMar>
        <w:tblLook w:val="0000"/>
      </w:tblPr>
      <w:tblGrid>
        <w:gridCol w:w="2163"/>
        <w:gridCol w:w="7033"/>
      </w:tblGrid>
      <w:tr w:rsidTr="000765D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t>This field allows for different work environments and conditions that may affect performance. Essential operating conditions that may be present (depending on the work situation, needs of the candidate, accessibility of the item, and local indust</w:t>
            </w:r>
            <w:r w:rsidRPr="008174F9">
              <w:t>ry and regional contexts) are included.</w:t>
            </w:r>
          </w:p>
        </w:tc>
      </w:tr>
      <w:tr w:rsidTr="000765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174F9" w:rsidP="008174F9">
            <w:pPr>
              <w:pStyle w:val="ListBullet"/>
            </w:pPr>
            <w:r w:rsidRPr="008174F9">
              <w:t>requirements prescribed by legislation, awards, agreements and conditions of employment</w:t>
            </w:r>
          </w:p>
          <w:p w:rsidR="00000000" w:rsidRPr="008174F9" w:rsidP="008174F9">
            <w:pPr>
              <w:pStyle w:val="ListBullet"/>
            </w:pPr>
            <w:r w:rsidRPr="008174F9">
              <w:t>SOPs</w:t>
            </w:r>
          </w:p>
          <w:p w:rsidR="00000000" w:rsidRPr="008174F9" w:rsidP="008174F9">
            <w:pPr>
              <w:pStyle w:val="ListBullet"/>
            </w:pPr>
            <w:r w:rsidRPr="008174F9">
              <w:t>work instructions</w:t>
            </w:r>
          </w:p>
          <w:p w:rsidR="00000000" w:rsidRPr="008174F9" w:rsidP="008174F9">
            <w:pPr>
              <w:pStyle w:val="ListBullet"/>
            </w:pPr>
            <w:r w:rsidRPr="008174F9">
              <w:t>oral, written and visual communication</w:t>
            </w:r>
          </w:p>
          <w:p w:rsidR="00000000" w:rsidRPr="008174F9" w:rsidP="008174F9">
            <w:pPr>
              <w:pStyle w:val="ListBullet"/>
            </w:pPr>
            <w:r w:rsidRPr="008174F9">
              <w:t>quality practices, including responsibility for maintenance of own work quality and contribution to quality improvement of team or section output</w:t>
            </w:r>
          </w:p>
          <w:p w:rsidR="00000000" w:rsidRPr="008174F9" w:rsidP="008174F9">
            <w:pPr>
              <w:pStyle w:val="ListBullet"/>
            </w:pPr>
            <w:r w:rsidRPr="008174F9">
              <w:t>housekeeping</w:t>
            </w:r>
          </w:p>
          <w:p w:rsidR="00000000" w:rsidRPr="008174F9" w:rsidP="008174F9">
            <w:pPr>
              <w:pStyle w:val="ListBullet"/>
            </w:pPr>
            <w:r w:rsidRPr="008174F9">
              <w:t>tasks related to environmental protection, waste disposal, pollution control and recycling</w:t>
            </w:r>
          </w:p>
          <w:p w:rsidR="00000000" w:rsidRPr="008174F9" w:rsidP="008174F9">
            <w:pPr>
              <w:pStyle w:val="ListBullet"/>
            </w:pPr>
            <w:r w:rsidRPr="008174F9">
              <w:t>WHS pr</w:t>
            </w:r>
            <w:r w:rsidRPr="008174F9">
              <w:t>actices</w:t>
            </w:r>
          </w:p>
          <w:p w:rsidR="00000000" w:rsidP="008174F9">
            <w:pPr>
              <w:pStyle w:val="BodyText"/>
              <w:rPr>
                <w:lang w:val="en-NZ"/>
              </w:rPr>
            </w:pPr>
          </w:p>
        </w:tc>
      </w:tr>
      <w:tr w:rsidTr="000765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8174F9" w:rsidP="008174F9">
            <w:pPr>
              <w:pStyle w:val="ListBullet"/>
            </w:pPr>
            <w:r w:rsidRPr="008174F9">
              <w:t>the relevant industry or Australian Standards that are current at the time this unit is being undertaken</w:t>
            </w:r>
          </w:p>
          <w:p w:rsidR="00000000" w:rsidP="008174F9">
            <w:pPr>
              <w:pStyle w:val="BodyText"/>
              <w:rPr>
                <w:lang w:val="en-NZ"/>
              </w:rPr>
            </w:pPr>
          </w:p>
        </w:tc>
      </w:tr>
      <w:tr w:rsidTr="000765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rPr>
                <w:rStyle w:val="SpecialBold"/>
              </w:rPr>
              <w:t>TCF products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174F9" w:rsidP="008174F9">
            <w:pPr>
              <w:pStyle w:val="ListBullet"/>
            </w:pPr>
            <w:r w:rsidRPr="008174F9">
              <w:t>clothing</w:t>
            </w:r>
          </w:p>
          <w:p w:rsidR="00000000" w:rsidRPr="008174F9" w:rsidP="008174F9">
            <w:pPr>
              <w:pStyle w:val="ListBullet"/>
            </w:pPr>
            <w:r w:rsidRPr="008174F9">
              <w:t>fashion items</w:t>
            </w:r>
          </w:p>
          <w:p w:rsidR="00000000" w:rsidRPr="008174F9" w:rsidP="008174F9">
            <w:pPr>
              <w:pStyle w:val="ListBullet"/>
            </w:pPr>
            <w:r w:rsidRPr="008174F9">
              <w:t>textiles</w:t>
            </w:r>
          </w:p>
          <w:p w:rsidR="00000000" w:rsidRPr="008174F9" w:rsidP="008174F9">
            <w:pPr>
              <w:pStyle w:val="ListBullet"/>
            </w:pPr>
            <w:r w:rsidRPr="008174F9">
              <w:t xml:space="preserve">footwear </w:t>
            </w:r>
          </w:p>
          <w:p w:rsidR="00000000" w:rsidRPr="008174F9" w:rsidP="008174F9">
            <w:pPr>
              <w:pStyle w:val="ListBullet"/>
            </w:pPr>
            <w:r w:rsidRPr="008174F9">
              <w:t xml:space="preserve">leather products </w:t>
            </w:r>
          </w:p>
          <w:p w:rsidR="00000000" w:rsidRPr="008174F9" w:rsidP="008174F9">
            <w:pPr>
              <w:pStyle w:val="ListBullet"/>
            </w:pPr>
            <w:r w:rsidRPr="008174F9">
              <w:t>accessories</w:t>
            </w:r>
          </w:p>
          <w:p w:rsidR="00000000" w:rsidP="008174F9">
            <w:pPr>
              <w:pStyle w:val="BodyText"/>
              <w:rPr>
                <w:lang w:val="en-NZ"/>
              </w:rPr>
            </w:pPr>
          </w:p>
        </w:tc>
      </w:tr>
      <w:tr w:rsidTr="000765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rPr>
                <w:rStyle w:val="SpecialBold"/>
              </w:rPr>
              <w:t>TCF personnel expertise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174F9" w:rsidP="008174F9">
            <w:pPr>
              <w:pStyle w:val="ListBullet"/>
            </w:pPr>
            <w:r w:rsidRPr="008174F9">
              <w:t>quality assurance personnel</w:t>
            </w:r>
          </w:p>
          <w:p w:rsidR="00000000" w:rsidRPr="008174F9" w:rsidP="008174F9">
            <w:pPr>
              <w:pStyle w:val="ListBullet"/>
            </w:pPr>
            <w:r w:rsidRPr="008174F9">
              <w:t>test and laboratory experts</w:t>
            </w:r>
          </w:p>
          <w:p w:rsidR="00000000" w:rsidRPr="008174F9" w:rsidP="008174F9">
            <w:pPr>
              <w:pStyle w:val="ListBullet"/>
            </w:pPr>
            <w:r w:rsidRPr="008174F9">
              <w:t>designers</w:t>
            </w:r>
          </w:p>
          <w:p w:rsidR="00000000" w:rsidRPr="008174F9" w:rsidP="008174F9">
            <w:pPr>
              <w:pStyle w:val="ListBullet"/>
            </w:pPr>
            <w:r w:rsidRPr="008174F9">
              <w:t>researchers</w:t>
            </w:r>
          </w:p>
          <w:p w:rsidR="00000000" w:rsidRPr="008174F9" w:rsidP="008174F9">
            <w:pPr>
              <w:pStyle w:val="ListBullet"/>
            </w:pPr>
            <w:r w:rsidRPr="008174F9">
              <w:t>importers</w:t>
            </w:r>
          </w:p>
          <w:p w:rsidR="00000000" w:rsidRPr="008174F9" w:rsidP="008174F9">
            <w:pPr>
              <w:pStyle w:val="ListBullet"/>
            </w:pPr>
            <w:r w:rsidRPr="008174F9">
              <w:t>exporters</w:t>
            </w:r>
          </w:p>
          <w:p w:rsidR="00000000" w:rsidRPr="008174F9" w:rsidP="008174F9">
            <w:pPr>
              <w:pStyle w:val="ListBullet"/>
            </w:pPr>
            <w:r w:rsidRPr="008174F9">
              <w:t>transporters</w:t>
            </w:r>
          </w:p>
          <w:p w:rsidR="00000000" w:rsidP="008174F9">
            <w:pPr>
              <w:pStyle w:val="BodyText"/>
              <w:rPr>
                <w:lang w:val="en-NZ"/>
              </w:rPr>
            </w:pPr>
          </w:p>
        </w:tc>
      </w:tr>
      <w:tr w:rsidTr="000765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rPr>
                <w:rStyle w:val="SpecialBold"/>
              </w:rPr>
              <w:t>Supply criteria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174F9" w:rsidP="008174F9">
            <w:pPr>
              <w:pStyle w:val="ListBullet"/>
            </w:pPr>
            <w:r w:rsidRPr="008174F9">
              <w:t>availability of raw materials</w:t>
            </w:r>
          </w:p>
          <w:p w:rsidR="00000000" w:rsidRPr="008174F9" w:rsidP="008174F9">
            <w:pPr>
              <w:pStyle w:val="ListBullet"/>
            </w:pPr>
            <w:r w:rsidRPr="008174F9">
              <w:t>timelines</w:t>
            </w:r>
          </w:p>
          <w:p w:rsidR="00000000" w:rsidRPr="008174F9" w:rsidP="008174F9">
            <w:pPr>
              <w:pStyle w:val="ListBullet"/>
            </w:pPr>
            <w:r w:rsidRPr="008174F9">
              <w:t>quality standards</w:t>
            </w:r>
          </w:p>
          <w:p w:rsidR="00000000" w:rsidRPr="008174F9" w:rsidP="008174F9">
            <w:pPr>
              <w:pStyle w:val="ListBullet"/>
            </w:pPr>
            <w:r w:rsidRPr="008174F9">
              <w:t>colour</w:t>
            </w:r>
          </w:p>
          <w:p w:rsidR="00000000" w:rsidRPr="008174F9" w:rsidP="008174F9">
            <w:pPr>
              <w:pStyle w:val="ListBullet"/>
            </w:pPr>
            <w:r w:rsidRPr="008174F9">
              <w:t>quantity</w:t>
            </w:r>
          </w:p>
          <w:p w:rsidR="00000000" w:rsidRPr="008174F9" w:rsidP="008174F9">
            <w:pPr>
              <w:pStyle w:val="ListBullet"/>
            </w:pPr>
            <w:r w:rsidRPr="008174F9">
              <w:t>reliability</w:t>
            </w:r>
          </w:p>
          <w:p w:rsidR="00000000" w:rsidRPr="008174F9" w:rsidP="008174F9">
            <w:pPr>
              <w:pStyle w:val="ListBullet"/>
            </w:pPr>
            <w:r w:rsidRPr="008174F9">
              <w:t>communication channels</w:t>
            </w:r>
          </w:p>
          <w:p w:rsidR="00000000" w:rsidRPr="008174F9" w:rsidP="008174F9">
            <w:pPr>
              <w:pStyle w:val="ListBullet"/>
            </w:pPr>
            <w:r w:rsidRPr="008174F9">
              <w:t>reputation</w:t>
            </w:r>
          </w:p>
          <w:p w:rsidR="00000000" w:rsidRPr="008174F9" w:rsidP="008174F9">
            <w:pPr>
              <w:pStyle w:val="ListBullet"/>
            </w:pPr>
            <w:r w:rsidRPr="008174F9">
              <w:t xml:space="preserve">price </w:t>
            </w:r>
          </w:p>
          <w:p w:rsidR="00000000" w:rsidRPr="008174F9" w:rsidP="008174F9">
            <w:pPr>
              <w:pStyle w:val="ListBullet"/>
            </w:pPr>
            <w:r w:rsidRPr="008174F9">
              <w:t>delivery schedule</w:t>
            </w:r>
          </w:p>
          <w:p w:rsidR="00000000" w:rsidP="008174F9">
            <w:pPr>
              <w:pStyle w:val="BodyText"/>
              <w:rPr>
                <w:lang w:val="en-NZ"/>
              </w:rPr>
            </w:pPr>
          </w:p>
        </w:tc>
      </w:tr>
      <w:tr w:rsidTr="000765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74F9">
            <w:pPr>
              <w:pStyle w:val="BodyText"/>
              <w:rPr>
                <w:lang w:val="en-NZ"/>
              </w:rPr>
            </w:pPr>
            <w:r w:rsidRPr="008174F9">
              <w:rPr>
                <w:rStyle w:val="SpecialBold"/>
              </w:rPr>
              <w:t>Routine tests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174F9" w:rsidP="008174F9">
            <w:pPr>
              <w:pStyle w:val="ListBullet"/>
            </w:pPr>
            <w:r w:rsidRPr="008174F9">
              <w:t>visual inspection</w:t>
            </w:r>
          </w:p>
          <w:p w:rsidR="00000000" w:rsidRPr="008174F9" w:rsidP="008174F9">
            <w:pPr>
              <w:pStyle w:val="ListBullet"/>
            </w:pPr>
            <w:r w:rsidRPr="008174F9">
              <w:t>tactile analysis</w:t>
            </w:r>
          </w:p>
          <w:p w:rsidR="00000000" w:rsidRPr="008174F9" w:rsidP="008174F9">
            <w:pPr>
              <w:pStyle w:val="ListBullet"/>
            </w:pPr>
            <w:r w:rsidRPr="008174F9">
              <w:t>acetone</w:t>
            </w:r>
          </w:p>
          <w:p w:rsidR="00000000" w:rsidRPr="008174F9" w:rsidP="008174F9">
            <w:pPr>
              <w:pStyle w:val="ListBullet"/>
            </w:pPr>
            <w:r w:rsidRPr="008174F9">
              <w:t>burn test</w:t>
            </w:r>
          </w:p>
          <w:p w:rsidR="00000000" w:rsidRPr="008174F9" w:rsidP="008174F9">
            <w:pPr>
              <w:pStyle w:val="ListBullet"/>
            </w:pPr>
            <w:r w:rsidRPr="008174F9">
              <w:t>microscopy</w:t>
            </w:r>
          </w:p>
        </w:tc>
      </w:tr>
    </w:tbl>
    <w:p w:rsidR="00000000" w:rsidRPr="008174F9" w:rsidP="008174F9">
      <w:pPr>
        <w:pStyle w:val="BodyText"/>
      </w:pPr>
    </w:p>
    <w:p w:rsidR="00000000" w:rsidRPr="008174F9" w:rsidP="008174F9">
      <w:pPr>
        <w:pStyle w:val="AllowPageBreak"/>
      </w:pPr>
    </w:p>
    <w:p w:rsidR="00000000" w:rsidRPr="008174F9" w:rsidP="008174F9">
      <w:pPr>
        <w:pStyle w:val="Heading1"/>
      </w:pPr>
      <w:bookmarkStart w:id="9" w:name="O_1050247"/>
      <w:bookmarkEnd w:id="9"/>
      <w:r w:rsidRPr="008174F9">
        <w:t>Unit Mapping Information</w:t>
      </w:r>
    </w:p>
    <w:p w:rsidR="00000000" w:rsidRPr="008174F9" w:rsidP="000765DC">
      <w:pPr>
        <w:pStyle w:val="BodyText"/>
      </w:pPr>
      <w:r w:rsidRPr="008174F9">
        <w:t>Release 2. Supersedes and is equivalent to MSTGN4006 Apply TCF marke</w:t>
      </w:r>
      <w:r w:rsidRPr="008174F9">
        <w:t>t supply systems (Release 1).</w:t>
      </w:r>
    </w:p>
    <w:p w:rsidR="00000000" w:rsidRPr="008174F9" w:rsidP="000765DC">
      <w:pPr>
        <w:pStyle w:val="BodyText"/>
      </w:pPr>
      <w:r w:rsidRPr="008174F9">
        <w:t>Release 1. Supersedes and is equivalent to LMTGN4018A Apply textile clothing and footwear market supply systems.</w:t>
      </w:r>
    </w:p>
    <w:p w:rsidR="00000000" w:rsidRPr="008174F9" w:rsidP="008174F9">
      <w:pPr>
        <w:pStyle w:val="Heading1"/>
      </w:pPr>
      <w:bookmarkStart w:id="10" w:name="O_1050256"/>
      <w:bookmarkEnd w:id="10"/>
      <w:r w:rsidRPr="008174F9">
        <w:t>Links</w:t>
      </w:r>
    </w:p>
    <w:p w:rsidR="00000000" w:rsidRPr="008174F9" w:rsidP="000765DC">
      <w:pPr>
        <w:pStyle w:val="BodyText"/>
      </w:pPr>
      <w:r w:rsidRPr="008174F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733DF">
        <w:rPr>
          <w:rStyle w:val="Hyperlink"/>
        </w:rPr>
        <w:t>https://vetnet.gov.au/Pages/TrainingDocs.aspx?q=a203ec5c-de7d-406b-b3e1-8f1a9b76e92e</w:t>
      </w:r>
      <w:r>
        <w:fldChar w:fldCharType="end"/>
      </w:r>
    </w:p>
    <w:p w:rsidR="00000000" w:rsidRPr="008174F9" w:rsidP="008174F9"/>
    <w:sectPr w:rsidSect="008174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4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4F9" w:rsidRPr="000765DC" w:rsidP="000765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4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5DC" w:rsidP="008174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65DC" w:rsidP="008174F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65DC" w:rsidP="008174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4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5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74F9" w:rsidRPr="000765DC" w:rsidP="000765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4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5DC" w:rsidRPr="002D2AF8" w:rsidP="008174F9">
    <w:pPr>
      <w:pStyle w:val="Header"/>
      <w:framePr w:wrap="around"/>
    </w:pPr>
    <w:r>
      <w:fldChar w:fldCharType="begin"/>
    </w:r>
    <w:r>
      <w:instrText xml:space="preserve"> TITLE   \* MERGEFORMAT </w:instrText>
    </w:r>
    <w:r>
      <w:fldChar w:fldCharType="separate"/>
    </w:r>
    <w:r>
      <w:t>MSTGN4006 Apply TCF market supply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0765DC" w:rsidP="008174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76ED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3452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4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74F9"/>
    <w:pPr>
      <w:spacing w:before="360" w:after="60"/>
      <w:outlineLvl w:val="0"/>
    </w:pPr>
    <w:rPr>
      <w:sz w:val="32"/>
    </w:rPr>
  </w:style>
  <w:style w:type="paragraph" w:styleId="Heading2">
    <w:name w:val="heading 2"/>
    <w:basedOn w:val="HeadingBase"/>
    <w:next w:val="BodyText"/>
    <w:link w:val="Heading2Char"/>
    <w:qFormat/>
    <w:rsid w:val="008174F9"/>
    <w:pPr>
      <w:keepLines/>
      <w:spacing w:before="240" w:after="120"/>
      <w:outlineLvl w:val="1"/>
    </w:pPr>
    <w:rPr>
      <w:sz w:val="28"/>
      <w:szCs w:val="40"/>
    </w:rPr>
  </w:style>
  <w:style w:type="paragraph" w:styleId="Heading3">
    <w:name w:val="heading 3"/>
    <w:basedOn w:val="HeadingBase"/>
    <w:next w:val="BodyText"/>
    <w:link w:val="Heading3Char"/>
    <w:qFormat/>
    <w:rsid w:val="008174F9"/>
    <w:pPr>
      <w:spacing w:before="180" w:after="120"/>
      <w:outlineLvl w:val="2"/>
    </w:pPr>
    <w:rPr>
      <w:spacing w:val="-10"/>
      <w:kern w:val="32"/>
    </w:rPr>
  </w:style>
  <w:style w:type="paragraph" w:styleId="Heading4">
    <w:name w:val="heading 4"/>
    <w:basedOn w:val="HeadingBase"/>
    <w:next w:val="BodyText"/>
    <w:link w:val="Heading4Char"/>
    <w:qFormat/>
    <w:rsid w:val="008174F9"/>
    <w:pPr>
      <w:spacing w:before="160" w:after="120"/>
      <w:outlineLvl w:val="3"/>
    </w:pPr>
    <w:rPr>
      <w:sz w:val="22"/>
    </w:rPr>
  </w:style>
  <w:style w:type="paragraph" w:styleId="Heading5">
    <w:name w:val="heading 5"/>
    <w:basedOn w:val="HeadingBase"/>
    <w:next w:val="Normal"/>
    <w:link w:val="Heading5Char"/>
    <w:qFormat/>
    <w:rsid w:val="008174F9"/>
    <w:pPr>
      <w:spacing w:before="80"/>
      <w:outlineLvl w:val="4"/>
    </w:pPr>
    <w:rPr>
      <w:color w:val="918585"/>
      <w:sz w:val="20"/>
    </w:rPr>
  </w:style>
  <w:style w:type="paragraph" w:styleId="Heading6">
    <w:name w:val="heading 6"/>
    <w:basedOn w:val="HeadingBase"/>
    <w:next w:val="Normal"/>
    <w:link w:val="Heading6Char"/>
    <w:qFormat/>
    <w:rsid w:val="008174F9"/>
    <w:pPr>
      <w:spacing w:before="60"/>
      <w:outlineLvl w:val="5"/>
    </w:pPr>
    <w:rPr>
      <w:color w:val="918585"/>
      <w:sz w:val="20"/>
    </w:rPr>
  </w:style>
  <w:style w:type="paragraph" w:styleId="Heading7">
    <w:name w:val="heading 7"/>
    <w:basedOn w:val="Normal"/>
    <w:next w:val="Normal"/>
    <w:link w:val="Heading7Char"/>
    <w:qFormat/>
    <w:rsid w:val="008174F9"/>
    <w:pPr>
      <w:ind w:left="720"/>
      <w:outlineLvl w:val="6"/>
    </w:pPr>
    <w:rPr>
      <w:i/>
    </w:rPr>
  </w:style>
  <w:style w:type="paragraph" w:styleId="Heading8">
    <w:name w:val="heading 8"/>
    <w:basedOn w:val="Normal"/>
    <w:next w:val="Normal"/>
    <w:link w:val="Heading8Char"/>
    <w:qFormat/>
    <w:rsid w:val="008174F9"/>
    <w:pPr>
      <w:ind w:left="720"/>
      <w:outlineLvl w:val="7"/>
    </w:pPr>
    <w:rPr>
      <w:i/>
    </w:rPr>
  </w:style>
  <w:style w:type="paragraph" w:styleId="Heading9">
    <w:name w:val="heading 9"/>
    <w:basedOn w:val="Normal"/>
    <w:next w:val="Normal"/>
    <w:link w:val="Heading9Char"/>
    <w:qFormat/>
    <w:rsid w:val="008174F9"/>
    <w:pPr>
      <w:ind w:left="720"/>
      <w:outlineLvl w:val="8"/>
    </w:pPr>
    <w:rPr>
      <w:i/>
    </w:rPr>
  </w:style>
  <w:style w:type="character" w:default="1" w:styleId="DefaultParagraphFont">
    <w:name w:val="Default Paragraph Font"/>
    <w:uiPriority w:val="1"/>
    <w:unhideWhenUsed/>
    <w:rsid w:val="008174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74F9"/>
  </w:style>
  <w:style w:type="character" w:customStyle="1" w:styleId="Heading1Char">
    <w:name w:val="Heading 1 Char"/>
    <w:basedOn w:val="DefaultParagraphFont"/>
    <w:link w:val="Heading1"/>
    <w:rsid w:val="008174F9"/>
    <w:rPr>
      <w:rFonts w:ascii="Times New Roman" w:eastAsia="Times New Roman" w:hAnsi="Times New Roman" w:cs="Times New Roman"/>
      <w:b/>
      <w:sz w:val="32"/>
      <w:szCs w:val="20"/>
      <w:lang w:eastAsia="en-US"/>
    </w:rPr>
  </w:style>
  <w:style w:type="paragraph" w:styleId="BodyText">
    <w:name w:val="Body Text"/>
    <w:basedOn w:val="Normal"/>
    <w:link w:val="BodyTextChar"/>
    <w:rsid w:val="008174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74F9"/>
    <w:rPr>
      <w:rFonts w:ascii="Times New Roman" w:eastAsia="Times New Roman" w:hAnsi="Times New Roman" w:cs="Times New Roman"/>
      <w:sz w:val="24"/>
      <w:lang w:eastAsia="en-US"/>
    </w:rPr>
  </w:style>
  <w:style w:type="paragraph" w:styleId="ListBullet">
    <w:name w:val="List Bullet"/>
    <w:basedOn w:val="List"/>
    <w:rsid w:val="008174F9"/>
    <w:pPr>
      <w:numPr>
        <w:numId w:val="11"/>
      </w:numPr>
      <w:tabs>
        <w:tab w:val="clear" w:pos="340"/>
      </w:tabs>
      <w:spacing w:before="40" w:after="40"/>
    </w:pPr>
  </w:style>
  <w:style w:type="character" w:customStyle="1" w:styleId="SpecialBold">
    <w:name w:val="Special Bold"/>
    <w:basedOn w:val="DefaultParagraphFont"/>
    <w:rsid w:val="008174F9"/>
    <w:rPr>
      <w:b/>
      <w:spacing w:val="0"/>
    </w:rPr>
  </w:style>
  <w:style w:type="paragraph" w:customStyle="1" w:styleId="SuperHeading">
    <w:name w:val="SuperHeading"/>
    <w:basedOn w:val="Normal"/>
    <w:rsid w:val="008174F9"/>
    <w:pPr>
      <w:spacing w:before="240" w:after="120"/>
      <w:outlineLvl w:val="0"/>
    </w:pPr>
    <w:rPr>
      <w:rFonts w:ascii="Times New Roman" w:hAnsi="Times New Roman"/>
      <w:b/>
      <w:sz w:val="32"/>
    </w:rPr>
  </w:style>
  <w:style w:type="paragraph" w:customStyle="1" w:styleId="AllowPageBreak">
    <w:name w:val="AllowPageBreak"/>
    <w:rsid w:val="008174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74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74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74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74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74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74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74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74F9"/>
    <w:rPr>
      <w:rFonts w:ascii="Courier New" w:eastAsia="Times New Roman" w:hAnsi="Courier New" w:cs="Times New Roman"/>
      <w:i/>
      <w:szCs w:val="20"/>
      <w:lang w:eastAsia="en-US"/>
    </w:rPr>
  </w:style>
  <w:style w:type="paragraph" w:customStyle="1" w:styleId="HeadingBase">
    <w:name w:val="Heading Base"/>
    <w:rsid w:val="008174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74F9"/>
    <w:pPr>
      <w:tabs>
        <w:tab w:val="right" w:leader="dot" w:pos="9072"/>
      </w:tabs>
      <w:ind w:left="567"/>
    </w:pPr>
    <w:rPr>
      <w:szCs w:val="22"/>
    </w:rPr>
  </w:style>
  <w:style w:type="paragraph" w:customStyle="1" w:styleId="TOCBase">
    <w:name w:val="TOC Base"/>
    <w:rsid w:val="008174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74F9"/>
    <w:pPr>
      <w:tabs>
        <w:tab w:val="right" w:leader="dot" w:pos="9072"/>
      </w:tabs>
      <w:spacing w:before="40" w:after="40"/>
      <w:ind w:left="284"/>
    </w:pPr>
    <w:rPr>
      <w:rFonts w:ascii="Times New Roman" w:hAnsi="Times New Roman"/>
    </w:rPr>
  </w:style>
  <w:style w:type="paragraph" w:styleId="TOC1">
    <w:name w:val="toc 1"/>
    <w:basedOn w:val="TOCBase"/>
    <w:next w:val="Normal"/>
    <w:rsid w:val="008174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74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74F9"/>
    <w:rPr>
      <w:rFonts w:ascii="Times New Roman" w:eastAsia="Times New Roman" w:hAnsi="Times New Roman" w:cs="Times New Roman"/>
      <w:sz w:val="16"/>
      <w:lang w:eastAsia="en-US"/>
    </w:rPr>
  </w:style>
  <w:style w:type="paragraph" w:styleId="Title">
    <w:name w:val="Title"/>
    <w:basedOn w:val="HeadingBase"/>
    <w:link w:val="TitleChar"/>
    <w:qFormat/>
    <w:rsid w:val="008174F9"/>
    <w:pPr>
      <w:spacing w:before="5040"/>
      <w:jc w:val="center"/>
    </w:pPr>
    <w:rPr>
      <w:sz w:val="48"/>
      <w:szCs w:val="72"/>
      <w:lang w:val="en-US"/>
    </w:rPr>
  </w:style>
  <w:style w:type="character" w:customStyle="1" w:styleId="TitleChar">
    <w:name w:val="Title Char"/>
    <w:basedOn w:val="DefaultParagraphFont"/>
    <w:link w:val="Title"/>
    <w:rsid w:val="008174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74F9"/>
    <w:pPr>
      <w:tabs>
        <w:tab w:val="left" w:pos="3600"/>
        <w:tab w:val="left" w:pos="3958"/>
      </w:tabs>
    </w:pPr>
  </w:style>
  <w:style w:type="paragraph" w:styleId="List">
    <w:name w:val="List"/>
    <w:basedOn w:val="BodyText"/>
    <w:next w:val="BodyText"/>
    <w:rsid w:val="008174F9"/>
    <w:pPr>
      <w:tabs>
        <w:tab w:val="left" w:pos="340"/>
      </w:tabs>
      <w:spacing w:before="60" w:after="60"/>
      <w:ind w:left="340" w:hanging="340"/>
    </w:pPr>
  </w:style>
  <w:style w:type="paragraph" w:customStyle="1" w:styleId="Note">
    <w:name w:val="Note"/>
    <w:basedOn w:val="BodyText"/>
    <w:rsid w:val="008174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74F9"/>
    <w:pPr>
      <w:framePr w:wrap="auto" w:hAnchor="text" w:y="6049"/>
    </w:pPr>
    <w:rPr>
      <w:color w:val="000000"/>
      <w:sz w:val="40"/>
    </w:rPr>
  </w:style>
  <w:style w:type="paragraph" w:customStyle="1" w:styleId="TOCTitle">
    <w:name w:val="TOCTitle"/>
    <w:basedOn w:val="Heading1"/>
    <w:rsid w:val="008174F9"/>
    <w:pPr>
      <w:spacing w:after="240"/>
      <w:jc w:val="center"/>
      <w:outlineLvl w:val="9"/>
    </w:pPr>
    <w:rPr>
      <w:caps/>
    </w:rPr>
  </w:style>
  <w:style w:type="paragraph" w:customStyle="1" w:styleId="Version">
    <w:name w:val="Version"/>
    <w:rsid w:val="008174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74F9"/>
    <w:pPr>
      <w:numPr>
        <w:numId w:val="12"/>
      </w:numPr>
      <w:tabs>
        <w:tab w:val="clear" w:pos="680"/>
      </w:tabs>
    </w:pPr>
  </w:style>
  <w:style w:type="paragraph" w:styleId="Index1">
    <w:name w:val="index 1"/>
    <w:basedOn w:val="Normal"/>
    <w:next w:val="Normal"/>
    <w:semiHidden/>
    <w:rsid w:val="008174F9"/>
    <w:pPr>
      <w:keepNext w:val="0"/>
      <w:tabs>
        <w:tab w:val="right" w:pos="4176"/>
      </w:tabs>
      <w:ind w:left="198" w:hanging="198"/>
    </w:pPr>
    <w:rPr>
      <w:rFonts w:ascii="Garamond" w:hAnsi="Garamond"/>
    </w:rPr>
  </w:style>
  <w:style w:type="paragraph" w:styleId="IndexHeading">
    <w:name w:val="index heading"/>
    <w:basedOn w:val="Normal"/>
    <w:next w:val="Index1"/>
    <w:semiHidden/>
    <w:rsid w:val="008174F9"/>
    <w:pPr>
      <w:spacing w:before="120" w:after="120"/>
    </w:pPr>
    <w:rPr>
      <w:rFonts w:ascii="Arial" w:hAnsi="Arial"/>
      <w:b/>
      <w:color w:val="918585"/>
      <w:sz w:val="24"/>
    </w:rPr>
  </w:style>
  <w:style w:type="paragraph" w:styleId="Header">
    <w:name w:val="header"/>
    <w:basedOn w:val="Normal"/>
    <w:link w:val="HeaderChar"/>
    <w:rsid w:val="008174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74F9"/>
    <w:rPr>
      <w:rFonts w:ascii="Times New Roman" w:eastAsia="Times New Roman" w:hAnsi="Times New Roman" w:cs="Times New Roman"/>
      <w:sz w:val="16"/>
      <w:szCs w:val="20"/>
      <w:lang w:val="en-GB" w:eastAsia="en-US"/>
    </w:rPr>
  </w:style>
  <w:style w:type="paragraph" w:customStyle="1" w:styleId="Chapter">
    <w:name w:val="Chapter"/>
    <w:basedOn w:val="Normal"/>
    <w:rsid w:val="008174F9"/>
    <w:pPr>
      <w:spacing w:before="240"/>
    </w:pPr>
    <w:rPr>
      <w:rFonts w:ascii="Times New Roman" w:hAnsi="Times New Roman"/>
      <w:smallCaps/>
      <w:spacing w:val="80"/>
      <w:sz w:val="28"/>
    </w:rPr>
  </w:style>
  <w:style w:type="paragraph" w:customStyle="1" w:styleId="InChapter">
    <w:name w:val="InChapter"/>
    <w:basedOn w:val="Heading3"/>
    <w:rsid w:val="008174F9"/>
    <w:pPr>
      <w:spacing w:after="240"/>
      <w:outlineLvl w:val="9"/>
    </w:pPr>
    <w:rPr>
      <w:noProof/>
    </w:rPr>
  </w:style>
  <w:style w:type="paragraph" w:styleId="Index2">
    <w:name w:val="index 2"/>
    <w:basedOn w:val="Normal"/>
    <w:next w:val="Normal"/>
    <w:semiHidden/>
    <w:rsid w:val="008174F9"/>
    <w:pPr>
      <w:tabs>
        <w:tab w:val="right" w:pos="4176"/>
      </w:tabs>
      <w:ind w:left="568" w:hanging="284"/>
    </w:pPr>
    <w:rPr>
      <w:rFonts w:ascii="Garamond" w:hAnsi="Garamond"/>
    </w:rPr>
  </w:style>
  <w:style w:type="paragraph" w:customStyle="1" w:styleId="Byline">
    <w:name w:val="Byline"/>
    <w:rsid w:val="008174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74F9"/>
    <w:pPr>
      <w:tabs>
        <w:tab w:val="clear" w:pos="3600"/>
        <w:tab w:val="clear" w:pos="3958"/>
      </w:tabs>
      <w:jc w:val="right"/>
    </w:pPr>
  </w:style>
  <w:style w:type="character" w:styleId="Emphasis">
    <w:name w:val="Emphasis"/>
    <w:basedOn w:val="DefaultParagraphFont"/>
    <w:qFormat/>
    <w:rsid w:val="008174F9"/>
    <w:rPr>
      <w:i/>
    </w:rPr>
  </w:style>
  <w:style w:type="paragraph" w:styleId="Caption">
    <w:name w:val="caption"/>
    <w:basedOn w:val="BodyText"/>
    <w:next w:val="Normal"/>
    <w:qFormat/>
    <w:rsid w:val="008174F9"/>
    <w:pPr>
      <w:framePr w:w="2268" w:hSpace="181" w:vSpace="181" w:wrap="around" w:vAnchor="text" w:hAnchor="page" w:x="1135" w:y="285" w:anchorLock="1"/>
    </w:pPr>
    <w:rPr>
      <w:i/>
    </w:rPr>
  </w:style>
  <w:style w:type="paragraph" w:customStyle="1" w:styleId="MiniTOCTitle">
    <w:name w:val="MiniTOCTitle"/>
    <w:basedOn w:val="Heading4"/>
    <w:rsid w:val="008174F9"/>
    <w:pPr>
      <w:spacing w:before="240"/>
      <w:outlineLvl w:val="9"/>
    </w:pPr>
    <w:rPr>
      <w:noProof/>
      <w:sz w:val="24"/>
    </w:rPr>
  </w:style>
  <w:style w:type="paragraph" w:customStyle="1" w:styleId="MiniTOCItem">
    <w:name w:val="MiniTOCItem"/>
    <w:basedOn w:val="ListBullet"/>
    <w:rsid w:val="008174F9"/>
    <w:pPr>
      <w:numPr>
        <w:numId w:val="0"/>
      </w:numPr>
      <w:tabs>
        <w:tab w:val="right" w:leader="dot" w:pos="6521"/>
      </w:tabs>
      <w:spacing w:before="0" w:after="0"/>
    </w:pPr>
  </w:style>
  <w:style w:type="paragraph" w:customStyle="1" w:styleId="TOFTitle">
    <w:name w:val="TOFTitle"/>
    <w:basedOn w:val="TOCTitle"/>
    <w:rsid w:val="008174F9"/>
  </w:style>
  <w:style w:type="paragraph" w:styleId="TableofFigures">
    <w:name w:val="table of figures"/>
    <w:basedOn w:val="Normal"/>
    <w:next w:val="Normal"/>
    <w:semiHidden/>
    <w:rsid w:val="008174F9"/>
    <w:pPr>
      <w:tabs>
        <w:tab w:val="right" w:leader="dot" w:pos="9072"/>
      </w:tabs>
      <w:ind w:left="970" w:hanging="403"/>
    </w:pPr>
    <w:rPr>
      <w:rFonts w:ascii="Times New Roman" w:hAnsi="Times New Roman"/>
      <w:b/>
    </w:rPr>
  </w:style>
  <w:style w:type="paragraph" w:styleId="ListNumber">
    <w:name w:val="List Number"/>
    <w:basedOn w:val="List"/>
    <w:rsid w:val="008174F9"/>
    <w:pPr>
      <w:numPr>
        <w:numId w:val="14"/>
      </w:numPr>
      <w:tabs>
        <w:tab w:val="clear" w:pos="340"/>
      </w:tabs>
    </w:pPr>
  </w:style>
  <w:style w:type="character" w:customStyle="1" w:styleId="WingdingSymbols">
    <w:name w:val="Wingding Symbols"/>
    <w:rsid w:val="008174F9"/>
    <w:rPr>
      <w:rFonts w:ascii="Wingdings" w:hAnsi="Wingdings"/>
    </w:rPr>
  </w:style>
  <w:style w:type="paragraph" w:customStyle="1" w:styleId="TableHeading">
    <w:name w:val="Table Heading"/>
    <w:basedOn w:val="HeadingBase"/>
    <w:rsid w:val="008174F9"/>
    <w:pPr>
      <w:keepLines/>
      <w:pBdr>
        <w:bottom w:val="single" w:sz="6" w:space="1" w:color="918585"/>
      </w:pBdr>
      <w:spacing w:before="240"/>
    </w:pPr>
  </w:style>
  <w:style w:type="character" w:customStyle="1" w:styleId="HotSpot">
    <w:name w:val="HotSpot"/>
    <w:rsid w:val="008174F9"/>
    <w:rPr>
      <w:color w:val="0033CC"/>
      <w:u w:val="none"/>
    </w:rPr>
  </w:style>
  <w:style w:type="paragraph" w:customStyle="1" w:styleId="BodyTextRight">
    <w:name w:val="Body Text Right"/>
    <w:basedOn w:val="BodyText"/>
    <w:rsid w:val="008174F9"/>
    <w:pPr>
      <w:spacing w:before="0" w:after="0"/>
      <w:jc w:val="right"/>
    </w:pPr>
  </w:style>
  <w:style w:type="paragraph" w:styleId="Index3">
    <w:name w:val="index 3"/>
    <w:basedOn w:val="ListNumber2"/>
    <w:next w:val="Normal"/>
    <w:semiHidden/>
    <w:rsid w:val="008174F9"/>
    <w:pPr>
      <w:numPr>
        <w:numId w:val="0"/>
      </w:numPr>
      <w:tabs>
        <w:tab w:val="right" w:leader="dot" w:pos="4176"/>
      </w:tabs>
    </w:pPr>
  </w:style>
  <w:style w:type="paragraph" w:styleId="ListNumber2">
    <w:name w:val="List Number 2"/>
    <w:basedOn w:val="List2"/>
    <w:rsid w:val="008174F9"/>
    <w:pPr>
      <w:numPr>
        <w:numId w:val="9"/>
      </w:numPr>
      <w:tabs>
        <w:tab w:val="clear" w:pos="1060"/>
      </w:tabs>
    </w:pPr>
  </w:style>
  <w:style w:type="paragraph" w:customStyle="1" w:styleId="MarginNote">
    <w:name w:val="Margin Note"/>
    <w:basedOn w:val="BodyText"/>
    <w:rsid w:val="008174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74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74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74F9"/>
    <w:rPr>
      <w:sz w:val="32"/>
    </w:rPr>
  </w:style>
  <w:style w:type="paragraph" w:customStyle="1" w:styleId="HeadingProcedure">
    <w:name w:val="Heading Procedure"/>
    <w:basedOn w:val="HeadingBase"/>
    <w:next w:val="Normal"/>
    <w:rsid w:val="008174F9"/>
    <w:pPr>
      <w:tabs>
        <w:tab w:val="left" w:pos="0"/>
      </w:tabs>
      <w:spacing w:before="120" w:after="60"/>
    </w:pPr>
    <w:rPr>
      <w:i/>
      <w:color w:val="918585"/>
      <w:sz w:val="22"/>
    </w:rPr>
  </w:style>
  <w:style w:type="paragraph" w:customStyle="1" w:styleId="TableBodyText">
    <w:name w:val="Table Body Text"/>
    <w:basedOn w:val="BodyText"/>
    <w:rsid w:val="008174F9"/>
    <w:pPr>
      <w:spacing w:before="60" w:after="60"/>
    </w:pPr>
  </w:style>
  <w:style w:type="paragraph" w:styleId="ListContinue">
    <w:name w:val="List Continue"/>
    <w:basedOn w:val="List"/>
    <w:rsid w:val="008174F9"/>
    <w:pPr>
      <w:ind w:firstLine="0"/>
    </w:pPr>
  </w:style>
  <w:style w:type="paragraph" w:customStyle="1" w:styleId="ListNote">
    <w:name w:val="List Note"/>
    <w:basedOn w:val="List"/>
    <w:rsid w:val="008174F9"/>
    <w:pPr>
      <w:pBdr>
        <w:top w:val="single" w:sz="6" w:space="2" w:color="918585"/>
        <w:bottom w:val="single" w:sz="6" w:space="2" w:color="918585"/>
      </w:pBdr>
      <w:tabs>
        <w:tab w:val="left" w:pos="1021"/>
      </w:tabs>
      <w:ind w:firstLine="0"/>
    </w:pPr>
  </w:style>
  <w:style w:type="paragraph" w:customStyle="1" w:styleId="Warning">
    <w:name w:val="Warning"/>
    <w:basedOn w:val="BodyText"/>
    <w:rsid w:val="008174F9"/>
    <w:pPr>
      <w:shd w:val="clear" w:color="auto" w:fill="D9D9D9"/>
      <w:tabs>
        <w:tab w:val="left" w:pos="992"/>
      </w:tabs>
      <w:ind w:left="119" w:right="119"/>
    </w:pPr>
    <w:rPr>
      <w:sz w:val="20"/>
    </w:rPr>
  </w:style>
  <w:style w:type="paragraph" w:customStyle="1" w:styleId="MarginIcons">
    <w:name w:val="Margin Icons"/>
    <w:basedOn w:val="BodyText"/>
    <w:rsid w:val="008174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74F9"/>
    <w:rPr>
      <w:rFonts w:ascii="Courier New" w:hAnsi="Courier New"/>
    </w:rPr>
  </w:style>
  <w:style w:type="paragraph" w:customStyle="1" w:styleId="NoteBullet">
    <w:name w:val="Note Bullet"/>
    <w:basedOn w:val="Note"/>
    <w:rsid w:val="008174F9"/>
    <w:pPr>
      <w:tabs>
        <w:tab w:val="clear" w:pos="680"/>
      </w:tabs>
      <w:spacing w:before="60" w:after="60"/>
    </w:pPr>
  </w:style>
  <w:style w:type="paragraph" w:customStyle="1" w:styleId="SubHeading2">
    <w:name w:val="SubHeading2"/>
    <w:basedOn w:val="HeadingBase"/>
    <w:rsid w:val="008174F9"/>
    <w:pPr>
      <w:spacing w:before="240" w:after="60"/>
    </w:pPr>
    <w:rPr>
      <w:sz w:val="20"/>
    </w:rPr>
  </w:style>
  <w:style w:type="paragraph" w:customStyle="1" w:styleId="SubHeading1">
    <w:name w:val="SubHeading1"/>
    <w:basedOn w:val="HeadingBase"/>
    <w:rsid w:val="008174F9"/>
    <w:pPr>
      <w:spacing w:before="240" w:after="60"/>
    </w:pPr>
    <w:rPr>
      <w:color w:val="918585"/>
      <w:sz w:val="22"/>
    </w:rPr>
  </w:style>
  <w:style w:type="paragraph" w:customStyle="1" w:styleId="SideHeading">
    <w:name w:val="Side Heading"/>
    <w:basedOn w:val="HeadingBase"/>
    <w:rsid w:val="008174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74F9"/>
    <w:pPr>
      <w:numPr>
        <w:numId w:val="10"/>
      </w:numPr>
    </w:pPr>
  </w:style>
  <w:style w:type="paragraph" w:styleId="PlainText">
    <w:name w:val="Plain Text"/>
    <w:basedOn w:val="Normal"/>
    <w:link w:val="PlainTextChar"/>
    <w:rsid w:val="008174F9"/>
    <w:rPr>
      <w:sz w:val="20"/>
    </w:rPr>
  </w:style>
  <w:style w:type="character" w:customStyle="1" w:styleId="PlainTextChar">
    <w:name w:val="Plain Text Char"/>
    <w:basedOn w:val="DefaultParagraphFont"/>
    <w:link w:val="PlainText"/>
    <w:rsid w:val="008174F9"/>
    <w:rPr>
      <w:rFonts w:ascii="Courier New" w:eastAsia="Times New Roman" w:hAnsi="Courier New" w:cs="Times New Roman"/>
      <w:sz w:val="20"/>
      <w:szCs w:val="20"/>
      <w:lang w:eastAsia="en-US"/>
    </w:rPr>
  </w:style>
  <w:style w:type="character" w:customStyle="1" w:styleId="MenuOption">
    <w:name w:val="Menu Option"/>
    <w:basedOn w:val="DefaultParagraphFont"/>
    <w:rsid w:val="008174F9"/>
    <w:rPr>
      <w:b/>
      <w:smallCaps/>
    </w:rPr>
  </w:style>
  <w:style w:type="paragraph" w:customStyle="1" w:styleId="TableListNumber">
    <w:name w:val="Table List Number"/>
    <w:basedOn w:val="ListNumber"/>
    <w:rsid w:val="008174F9"/>
    <w:pPr>
      <w:numPr>
        <w:numId w:val="0"/>
      </w:numPr>
    </w:pPr>
  </w:style>
  <w:style w:type="paragraph" w:styleId="TOC4">
    <w:name w:val="toc 4"/>
    <w:basedOn w:val="TOCBase"/>
    <w:next w:val="Normal"/>
    <w:semiHidden/>
    <w:rsid w:val="008174F9"/>
    <w:pPr>
      <w:tabs>
        <w:tab w:val="right" w:leader="dot" w:pos="9071"/>
      </w:tabs>
      <w:ind w:left="1701"/>
    </w:pPr>
  </w:style>
  <w:style w:type="paragraph" w:customStyle="1" w:styleId="ListAlpha">
    <w:name w:val="List Alpha"/>
    <w:basedOn w:val="List"/>
    <w:rsid w:val="008174F9"/>
    <w:pPr>
      <w:numPr>
        <w:numId w:val="8"/>
      </w:numPr>
    </w:pPr>
  </w:style>
  <w:style w:type="paragraph" w:customStyle="1" w:styleId="ListAlpha2">
    <w:name w:val="List Alpha 2"/>
    <w:basedOn w:val="List2"/>
    <w:rsid w:val="008174F9"/>
    <w:pPr>
      <w:numPr>
        <w:numId w:val="7"/>
      </w:numPr>
    </w:pPr>
  </w:style>
  <w:style w:type="paragraph" w:styleId="List2">
    <w:name w:val="List 2"/>
    <w:basedOn w:val="BodyText"/>
    <w:rsid w:val="008174F9"/>
    <w:pPr>
      <w:tabs>
        <w:tab w:val="left" w:pos="680"/>
      </w:tabs>
      <w:spacing w:before="60" w:after="60"/>
      <w:ind w:left="680" w:hanging="340"/>
    </w:pPr>
  </w:style>
  <w:style w:type="paragraph" w:styleId="List3">
    <w:name w:val="List 3"/>
    <w:basedOn w:val="BodyText"/>
    <w:rsid w:val="008174F9"/>
    <w:pPr>
      <w:tabs>
        <w:tab w:val="left" w:pos="1021"/>
      </w:tabs>
      <w:spacing w:before="60" w:after="60"/>
      <w:ind w:left="1020" w:hanging="340"/>
    </w:pPr>
  </w:style>
  <w:style w:type="paragraph" w:styleId="List4">
    <w:name w:val="List 4"/>
    <w:basedOn w:val="BodyText"/>
    <w:rsid w:val="008174F9"/>
    <w:pPr>
      <w:tabs>
        <w:tab w:val="left" w:pos="1361"/>
      </w:tabs>
      <w:spacing w:before="60" w:after="60"/>
      <w:ind w:left="1361" w:hanging="340"/>
    </w:pPr>
  </w:style>
  <w:style w:type="paragraph" w:styleId="List5">
    <w:name w:val="List 5"/>
    <w:basedOn w:val="BodyText"/>
    <w:rsid w:val="008174F9"/>
    <w:pPr>
      <w:tabs>
        <w:tab w:val="left" w:pos="1701"/>
      </w:tabs>
      <w:spacing w:before="60" w:after="60"/>
      <w:ind w:left="1701" w:hanging="340"/>
    </w:pPr>
  </w:style>
  <w:style w:type="paragraph" w:styleId="ListBullet3">
    <w:name w:val="List Bullet 3"/>
    <w:basedOn w:val="List3"/>
    <w:rsid w:val="008174F9"/>
    <w:pPr>
      <w:numPr>
        <w:numId w:val="13"/>
      </w:numPr>
      <w:tabs>
        <w:tab w:val="clear" w:pos="1021"/>
      </w:tabs>
      <w:ind w:left="1037" w:hanging="357"/>
    </w:pPr>
  </w:style>
  <w:style w:type="paragraph" w:styleId="ListBullet4">
    <w:name w:val="List Bullet 4"/>
    <w:basedOn w:val="List4"/>
    <w:rsid w:val="008174F9"/>
    <w:pPr>
      <w:numPr>
        <w:numId w:val="2"/>
      </w:numPr>
      <w:tabs>
        <w:tab w:val="clear" w:pos="1361"/>
      </w:tabs>
    </w:pPr>
  </w:style>
  <w:style w:type="paragraph" w:styleId="ListBullet5">
    <w:name w:val="List Bullet 5"/>
    <w:basedOn w:val="List5"/>
    <w:rsid w:val="008174F9"/>
    <w:pPr>
      <w:numPr>
        <w:numId w:val="3"/>
      </w:numPr>
    </w:pPr>
  </w:style>
  <w:style w:type="paragraph" w:styleId="ListContinue2">
    <w:name w:val="List Continue 2"/>
    <w:basedOn w:val="List2"/>
    <w:rsid w:val="008174F9"/>
    <w:pPr>
      <w:ind w:firstLine="0"/>
    </w:pPr>
  </w:style>
  <w:style w:type="paragraph" w:styleId="ListContinue3">
    <w:name w:val="List Continue 3"/>
    <w:basedOn w:val="List3"/>
    <w:rsid w:val="008174F9"/>
    <w:pPr>
      <w:ind w:left="1021" w:firstLine="0"/>
    </w:pPr>
  </w:style>
  <w:style w:type="paragraph" w:styleId="ListContinue4">
    <w:name w:val="List Continue 4"/>
    <w:basedOn w:val="List4"/>
    <w:rsid w:val="008174F9"/>
    <w:pPr>
      <w:ind w:firstLine="0"/>
    </w:pPr>
  </w:style>
  <w:style w:type="paragraph" w:styleId="ListContinue5">
    <w:name w:val="List Continue 5"/>
    <w:basedOn w:val="List5"/>
    <w:rsid w:val="008174F9"/>
    <w:pPr>
      <w:ind w:firstLine="0"/>
    </w:pPr>
  </w:style>
  <w:style w:type="paragraph" w:styleId="ListNumber3">
    <w:name w:val="List Number 3"/>
    <w:basedOn w:val="List3"/>
    <w:rsid w:val="008174F9"/>
    <w:pPr>
      <w:numPr>
        <w:numId w:val="4"/>
      </w:numPr>
    </w:pPr>
  </w:style>
  <w:style w:type="paragraph" w:styleId="ListNumber4">
    <w:name w:val="List Number 4"/>
    <w:basedOn w:val="List4"/>
    <w:rsid w:val="008174F9"/>
    <w:pPr>
      <w:numPr>
        <w:numId w:val="5"/>
      </w:numPr>
    </w:pPr>
  </w:style>
  <w:style w:type="paragraph" w:styleId="ListNumber5">
    <w:name w:val="List Number 5"/>
    <w:basedOn w:val="List5"/>
    <w:rsid w:val="008174F9"/>
    <w:pPr>
      <w:numPr>
        <w:numId w:val="6"/>
      </w:numPr>
    </w:pPr>
  </w:style>
  <w:style w:type="paragraph" w:styleId="BlockText">
    <w:name w:val="Block Text"/>
    <w:basedOn w:val="Normal"/>
    <w:rsid w:val="008174F9"/>
    <w:pPr>
      <w:spacing w:after="120"/>
      <w:ind w:left="1440" w:right="1440"/>
    </w:pPr>
  </w:style>
  <w:style w:type="character" w:customStyle="1" w:styleId="Subscript">
    <w:name w:val="Subscript"/>
    <w:basedOn w:val="DefaultParagraphFont"/>
    <w:rsid w:val="008174F9"/>
    <w:rPr>
      <w:sz w:val="16"/>
      <w:vertAlign w:val="subscript"/>
    </w:rPr>
  </w:style>
  <w:style w:type="character" w:customStyle="1" w:styleId="Superscript">
    <w:name w:val="Superscript"/>
    <w:basedOn w:val="DefaultParagraphFont"/>
    <w:rsid w:val="008174F9"/>
    <w:rPr>
      <w:sz w:val="16"/>
      <w:vertAlign w:val="superscript"/>
    </w:rPr>
  </w:style>
  <w:style w:type="character" w:customStyle="1" w:styleId="Symbols">
    <w:name w:val="Symbols"/>
    <w:basedOn w:val="DefaultParagraphFont"/>
    <w:rsid w:val="008174F9"/>
    <w:rPr>
      <w:rFonts w:ascii="Symbol" w:hAnsi="Symbol"/>
    </w:rPr>
  </w:style>
  <w:style w:type="character" w:customStyle="1" w:styleId="MenuOptions">
    <w:name w:val="Menu Options"/>
    <w:basedOn w:val="DefaultParagraphFont"/>
    <w:rsid w:val="008174F9"/>
    <w:rPr>
      <w:rFonts w:ascii="Arial Narrow" w:hAnsi="Arial Narrow"/>
      <w:smallCaps/>
    </w:rPr>
  </w:style>
  <w:style w:type="character" w:customStyle="1" w:styleId="Buttons">
    <w:name w:val="Buttons"/>
    <w:basedOn w:val="DefaultParagraphFont"/>
    <w:rsid w:val="008174F9"/>
    <w:rPr>
      <w:b/>
    </w:rPr>
  </w:style>
  <w:style w:type="character" w:customStyle="1" w:styleId="Underlined">
    <w:name w:val="Underlined"/>
    <w:basedOn w:val="DefaultParagraphFont"/>
    <w:rsid w:val="008174F9"/>
    <w:rPr>
      <w:u w:val="single"/>
    </w:rPr>
  </w:style>
  <w:style w:type="paragraph" w:customStyle="1" w:styleId="TableBodyTextRight">
    <w:name w:val="Table Body Text Right"/>
    <w:basedOn w:val="TableBodyText"/>
    <w:rsid w:val="008174F9"/>
    <w:pPr>
      <w:widowControl w:val="0"/>
      <w:autoSpaceDE w:val="0"/>
      <w:autoSpaceDN w:val="0"/>
      <w:adjustRightInd w:val="0"/>
      <w:jc w:val="right"/>
    </w:pPr>
    <w:rPr>
      <w:rFonts w:cs="Arial"/>
      <w:szCs w:val="18"/>
    </w:rPr>
  </w:style>
  <w:style w:type="paragraph" w:customStyle="1" w:styleId="CopyrightText">
    <w:name w:val="Copyright Text"/>
    <w:basedOn w:val="BodyText"/>
    <w:rsid w:val="008174F9"/>
    <w:rPr>
      <w:sz w:val="18"/>
    </w:rPr>
  </w:style>
  <w:style w:type="paragraph" w:customStyle="1" w:styleId="BodySmallRight">
    <w:name w:val="Body Small Right"/>
    <w:basedOn w:val="BodyTextRight"/>
    <w:rsid w:val="008174F9"/>
    <w:rPr>
      <w:sz w:val="18"/>
      <w:szCs w:val="18"/>
    </w:rPr>
  </w:style>
  <w:style w:type="paragraph" w:customStyle="1" w:styleId="MarginEdition">
    <w:name w:val="Margin Edition"/>
    <w:basedOn w:val="MarginNote"/>
    <w:rsid w:val="008174F9"/>
    <w:pPr>
      <w:spacing w:before="0" w:after="0"/>
    </w:pPr>
    <w:rPr>
      <w:rFonts w:ascii="Times New Roman" w:hAnsi="Times New Roman"/>
      <w:color w:val="999999"/>
    </w:rPr>
  </w:style>
  <w:style w:type="paragraph" w:customStyle="1" w:styleId="Spacer">
    <w:name w:val="Spacer"/>
    <w:basedOn w:val="Normal"/>
    <w:rsid w:val="008174F9"/>
    <w:rPr>
      <w:sz w:val="2"/>
      <w:szCs w:val="2"/>
    </w:rPr>
  </w:style>
  <w:style w:type="character" w:customStyle="1" w:styleId="Small">
    <w:name w:val="Small"/>
    <w:basedOn w:val="DefaultParagraphFont"/>
    <w:rsid w:val="008174F9"/>
    <w:rPr>
      <w:sz w:val="16"/>
    </w:rPr>
  </w:style>
  <w:style w:type="paragraph" w:customStyle="1" w:styleId="WideTable">
    <w:name w:val="Wide Table"/>
    <w:basedOn w:val="Normal"/>
    <w:rsid w:val="008174F9"/>
    <w:pPr>
      <w:ind w:left="-1418"/>
    </w:pPr>
    <w:rPr>
      <w:sz w:val="2"/>
      <w:szCs w:val="2"/>
    </w:rPr>
  </w:style>
  <w:style w:type="character" w:styleId="PageNumber">
    <w:name w:val="page number"/>
    <w:basedOn w:val="DefaultParagraphFont"/>
    <w:rsid w:val="008174F9"/>
  </w:style>
  <w:style w:type="paragraph" w:styleId="Quote">
    <w:name w:val="Quote"/>
    <w:basedOn w:val="Heading1"/>
    <w:link w:val="QuoteChar"/>
    <w:qFormat/>
    <w:rsid w:val="008174F9"/>
    <w:rPr>
      <w:b w:val="0"/>
      <w:sz w:val="72"/>
      <w:szCs w:val="72"/>
      <w:lang w:val="en-NZ"/>
    </w:rPr>
  </w:style>
  <w:style w:type="character" w:customStyle="1" w:styleId="QuoteChar">
    <w:name w:val="Quote Char"/>
    <w:basedOn w:val="DefaultParagraphFont"/>
    <w:link w:val="Quote"/>
    <w:rsid w:val="008174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74F9"/>
    <w:pPr>
      <w:pageBreakBefore/>
    </w:pPr>
  </w:style>
  <w:style w:type="paragraph" w:customStyle="1" w:styleId="Border">
    <w:name w:val="Border"/>
    <w:basedOn w:val="Normal"/>
    <w:qFormat/>
    <w:rsid w:val="008174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74F9"/>
    <w:rPr>
      <w:b/>
      <w:bCs/>
      <w:i/>
      <w:iCs/>
      <w:color w:val="auto"/>
    </w:rPr>
  </w:style>
  <w:style w:type="paragraph" w:styleId="IntenseQuote">
    <w:name w:val="Intense Quote"/>
    <w:basedOn w:val="Normal"/>
    <w:next w:val="Normal"/>
    <w:link w:val="IntenseQuoteChar"/>
    <w:uiPriority w:val="30"/>
    <w:qFormat/>
    <w:rsid w:val="008174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74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74F9"/>
    <w:rPr>
      <w:smallCaps/>
      <w:color w:val="auto"/>
      <w:u w:val="single"/>
    </w:rPr>
  </w:style>
  <w:style w:type="character" w:styleId="IntenseReference">
    <w:name w:val="Intense Reference"/>
    <w:basedOn w:val="DefaultParagraphFont"/>
    <w:uiPriority w:val="32"/>
    <w:qFormat/>
    <w:rsid w:val="008174F9"/>
    <w:rPr>
      <w:b/>
      <w:bCs/>
      <w:smallCaps/>
      <w:color w:val="auto"/>
      <w:spacing w:val="5"/>
      <w:u w:val="single"/>
    </w:rPr>
  </w:style>
  <w:style w:type="paragraph" w:customStyle="1" w:styleId="2ColumnHeading">
    <w:name w:val="2Column Heading"/>
    <w:basedOn w:val="BodyText"/>
    <w:qFormat/>
    <w:rsid w:val="008174F9"/>
    <w:pPr>
      <w:spacing w:after="60"/>
      <w:ind w:left="-2268"/>
    </w:pPr>
    <w:rPr>
      <w:b/>
    </w:rPr>
  </w:style>
  <w:style w:type="paragraph" w:customStyle="1" w:styleId="Heading1TOC">
    <w:name w:val="Heading1 TOC"/>
    <w:basedOn w:val="Normal"/>
    <w:qFormat/>
    <w:rsid w:val="008174F9"/>
    <w:pPr>
      <w:spacing w:before="240" w:after="120"/>
    </w:pPr>
    <w:rPr>
      <w:rFonts w:ascii="Times New Roman" w:hAnsi="Times New Roman"/>
      <w:b/>
      <w:sz w:val="32"/>
    </w:rPr>
  </w:style>
  <w:style w:type="paragraph" w:customStyle="1" w:styleId="Heading2TOC">
    <w:name w:val="Heading2 TOC"/>
    <w:basedOn w:val="Normal"/>
    <w:qFormat/>
    <w:rsid w:val="008174F9"/>
    <w:pPr>
      <w:spacing w:before="240" w:after="60"/>
    </w:pPr>
    <w:rPr>
      <w:rFonts w:ascii="Times New Roman" w:hAnsi="Times New Roman"/>
      <w:b/>
      <w:sz w:val="28"/>
    </w:rPr>
  </w:style>
  <w:style w:type="character" w:customStyle="1" w:styleId="Underline">
    <w:name w:val="Underline"/>
    <w:basedOn w:val="DefaultParagraphFont"/>
    <w:qFormat/>
    <w:rsid w:val="008174F9"/>
    <w:rPr>
      <w:u w:val="single"/>
    </w:rPr>
  </w:style>
  <w:style w:type="character" w:customStyle="1" w:styleId="BoldandItalics">
    <w:name w:val="Bold and Italics"/>
    <w:qFormat/>
    <w:rsid w:val="008174F9"/>
    <w:rPr>
      <w:b/>
      <w:i/>
      <w:u w:val="none"/>
    </w:rPr>
  </w:style>
  <w:style w:type="paragraph" w:styleId="BalloonText">
    <w:name w:val="Balloon Text"/>
    <w:basedOn w:val="Normal"/>
    <w:link w:val="BalloonTextChar"/>
    <w:rsid w:val="008174F9"/>
    <w:rPr>
      <w:rFonts w:ascii="Tahoma" w:hAnsi="Tahoma" w:cs="Tahoma"/>
      <w:sz w:val="16"/>
      <w:szCs w:val="16"/>
    </w:rPr>
  </w:style>
  <w:style w:type="character" w:customStyle="1" w:styleId="BalloonTextChar">
    <w:name w:val="Balloon Text Char"/>
    <w:basedOn w:val="DefaultParagraphFont"/>
    <w:link w:val="BalloonText"/>
    <w:rsid w:val="008174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74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74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74F9"/>
    <w:rPr>
      <w:b/>
      <w:color w:val="660033"/>
      <w:spacing w:val="0"/>
    </w:rPr>
  </w:style>
  <w:style w:type="paragraph" w:customStyle="1" w:styleId="Nameditemlist">
    <w:name w:val="Named item list"/>
    <w:basedOn w:val="BodyText"/>
    <w:qFormat/>
    <w:rsid w:val="008174F9"/>
    <w:pPr>
      <w:tabs>
        <w:tab w:val="left" w:pos="2835"/>
      </w:tabs>
      <w:ind w:left="2835" w:hanging="2835"/>
    </w:pPr>
  </w:style>
  <w:style w:type="paragraph" w:customStyle="1" w:styleId="BodyTextnopadding">
    <w:name w:val="Body Text no padding"/>
    <w:basedOn w:val="BodyText"/>
    <w:qFormat/>
    <w:rsid w:val="008174F9"/>
    <w:pPr>
      <w:spacing w:before="0" w:after="0"/>
    </w:pPr>
  </w:style>
  <w:style w:type="paragraph" w:customStyle="1" w:styleId="BodyTextBold">
    <w:name w:val="Body Text Bold"/>
    <w:basedOn w:val="BodyText"/>
    <w:qFormat/>
    <w:rsid w:val="008174F9"/>
    <w:rPr>
      <w:b/>
    </w:rPr>
  </w:style>
  <w:style w:type="character" w:styleId="Hyperlink">
    <w:name w:val="Hyperlink"/>
    <w:basedOn w:val="DefaultParagraphFont"/>
    <w:uiPriority w:val="99"/>
    <w:unhideWhenUsed/>
    <w:rsid w:val="000765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781</Words>
  <Characters>4785</Characters>
  <Application>Microsoft Office Word</Application>
  <DocSecurity>0</DocSecurity>
  <Lines>265</Lines>
  <Paragraphs>142</Paragraphs>
  <ScaleCrop>false</ScaleCrop>
  <Company>Author-it Software Corporation Ltd.</Company>
  <LinksUpToDate>false</LinksUpToDate>
  <CharactersWithSpaces>5424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MSTGN4006 Apply TCF market supply systems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2021-07-21T08:31:00Z</dcterms:created>
  <dcterms:modified xsi:type="dcterms:W3CDTF">2021-07-21T08:31:00Z</dcterms:modified>
</cp:coreProperties>
</file>