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4BF" w:rsidP="00EA64BF">
      <w:pPr>
        <w:pStyle w:val="Title"/>
      </w:pPr>
      <w:r>
        <w:fldChar w:fldCharType="begin"/>
      </w:r>
      <w:r>
        <w:instrText xml:space="preserve"> TITLE   \* MERGEFORMAT </w:instrText>
      </w:r>
      <w:r>
        <w:fldChar w:fldCharType="separate"/>
      </w:r>
      <w:r>
        <w:t>MSTGN4006 Apply TCF market supply systems</w:t>
      </w:r>
      <w:r>
        <w:fldChar w:fldCharType="end"/>
      </w:r>
    </w:p>
    <w:p w:rsidR="00EA64BF" w:rsidP="00EA64BF">
      <w:pPr>
        <w:pStyle w:val="Version"/>
        <w:sectPr w:rsidSect="00D33C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3CAD" w:rsidP="00D33CAD">
      <w:pPr>
        <w:pStyle w:val="SuperHeading"/>
      </w:pPr>
      <w:r w:rsidRPr="00D33CAD">
        <w:t>MSTGN4006 Apply TCF market supply systems</w:t>
      </w:r>
    </w:p>
    <w:p w:rsidR="00000000" w:rsidRPr="00D33CAD" w:rsidP="00D33CAD">
      <w:pPr>
        <w:pStyle w:val="Heading1"/>
      </w:pPr>
      <w:bookmarkStart w:id="1" w:name="O_1050255"/>
      <w:bookmarkEnd w:id="1"/>
      <w:r w:rsidRPr="00D33CAD">
        <w:t>Modification History</w:t>
      </w:r>
    </w:p>
    <w:p w:rsidR="00000000" w:rsidRPr="00D33CAD" w:rsidP="00EA64BF">
      <w:pPr>
        <w:pStyle w:val="BodyText"/>
      </w:pPr>
      <w:r w:rsidRPr="00D33CAD">
        <w:t>Release 2. Supersedes and is equivalent to MSTGN4006 Apply TCF market supply systems (Release 1).</w:t>
      </w:r>
    </w:p>
    <w:p w:rsidR="00000000" w:rsidRPr="00D33CAD" w:rsidP="00EA64BF">
      <w:pPr>
        <w:pStyle w:val="BodyText"/>
      </w:pPr>
      <w:r w:rsidRPr="00D33CAD">
        <w:t>Pre-requisite unit, MSTGN2011 Identify fibres, fabrics and textiles used in the TCF industry, is</w:t>
      </w:r>
      <w:r w:rsidRPr="00D33CAD">
        <w:rPr>
          <w:rStyle w:val="SpecialBold"/>
        </w:rPr>
        <w:t xml:space="preserve"> </w:t>
      </w:r>
      <w:r w:rsidRPr="00D33CAD">
        <w:t>superseded by MSTGN2013 Identify fibres,</w:t>
      </w:r>
      <w:r w:rsidRPr="00D33CAD">
        <w:t xml:space="preserve"> fabrics and textiles used in the TCF industry.</w:t>
      </w:r>
    </w:p>
    <w:p w:rsidR="00000000" w:rsidRPr="00D33CAD" w:rsidP="00EA64BF">
      <w:pPr>
        <w:pStyle w:val="BodyText"/>
      </w:pPr>
      <w:r w:rsidRPr="00D33CAD">
        <w:t>Release 1. Supersedes and is equivalent to LMTGN4018A Apply textile clothing and footwear market supply systems.</w:t>
      </w:r>
    </w:p>
    <w:p w:rsidR="00000000" w:rsidRPr="00D33CAD" w:rsidP="00D33CAD">
      <w:pPr>
        <w:pStyle w:val="Heading1"/>
      </w:pPr>
      <w:bookmarkStart w:id="2" w:name="O_1050254"/>
      <w:bookmarkEnd w:id="2"/>
      <w:r w:rsidRPr="00D33CAD">
        <w:t>Application</w:t>
      </w:r>
    </w:p>
    <w:p w:rsidR="00000000" w:rsidRPr="00D33CAD" w:rsidP="00EA64BF">
      <w:pPr>
        <w:pStyle w:val="BodyText"/>
      </w:pPr>
      <w:r w:rsidRPr="00D33CAD">
        <w:t>This unit of competency covers the skills and knowledge required</w:t>
      </w:r>
      <w:r w:rsidRPr="00D33CAD">
        <w:t xml:space="preserve"> to apply systems of supply for the textiles, clothing and footwear (TCF) market. </w:t>
      </w:r>
    </w:p>
    <w:p w:rsidR="00000000" w:rsidRPr="00D33CAD" w:rsidP="00EA64BF">
      <w:pPr>
        <w:pStyle w:val="BodyText"/>
      </w:pPr>
      <w:r w:rsidRPr="00D33CAD">
        <w:t xml:space="preserve">The unit of competency applies to the supply of materials and resources, manufacture and distribution of TCF products and services. </w:t>
      </w:r>
    </w:p>
    <w:p w:rsidR="00000000" w:rsidRPr="00D33CAD" w:rsidP="00EA64BF">
      <w:pPr>
        <w:pStyle w:val="BodyText"/>
      </w:pPr>
      <w:r w:rsidRPr="00D33CAD">
        <w:t xml:space="preserve">This unit of competency is applicable </w:t>
      </w:r>
      <w:r w:rsidRPr="00D33CAD">
        <w:t>to all sectors of the TCF industry.</w:t>
      </w:r>
    </w:p>
    <w:p w:rsidR="00000000" w:rsidRPr="00D33CAD" w:rsidP="00EA64BF">
      <w:pPr>
        <w:pStyle w:val="BodyText"/>
      </w:pPr>
      <w:r w:rsidRPr="00D33CAD">
        <w:t>Work may be conducted in small to large scale enterprises and may involve individual and team activities.</w:t>
      </w:r>
    </w:p>
    <w:p w:rsidR="00000000" w:rsidRPr="00D33CAD" w:rsidP="00EA64BF">
      <w:pPr>
        <w:pStyle w:val="BodyText"/>
      </w:pPr>
      <w:r w:rsidRPr="00D33CAD">
        <w:t>No licensing, legislative or certification requirements apply to this unit at the time of publication.</w:t>
      </w:r>
    </w:p>
    <w:p w:rsidR="00000000" w:rsidRPr="00D33CAD" w:rsidP="00D33CAD">
      <w:pPr>
        <w:pStyle w:val="Heading1"/>
      </w:pPr>
      <w:bookmarkStart w:id="3" w:name="O_1050253"/>
      <w:bookmarkEnd w:id="3"/>
      <w:r w:rsidRPr="00D33CAD">
        <w:t>Pre-requisite Unit</w:t>
      </w:r>
    </w:p>
    <w:tbl>
      <w:tblPr>
        <w:tblW w:w="0" w:type="auto"/>
        <w:tblLayout w:type="fixed"/>
        <w:tblCellMar>
          <w:left w:w="62" w:type="dxa"/>
          <w:right w:w="62" w:type="dxa"/>
        </w:tblCellMar>
        <w:tblLook w:val="0000"/>
      </w:tblPr>
      <w:tblGrid>
        <w:gridCol w:w="1260"/>
        <w:gridCol w:w="4950"/>
      </w:tblGrid>
      <w:tr w:rsidTr="00D33CAD">
        <w:tblPrEx>
          <w:tblW w:w="0" w:type="auto"/>
          <w:tblLayout w:type="fixed"/>
          <w:tblCellMar>
            <w:left w:w="62" w:type="dxa"/>
            <w:right w:w="62" w:type="dxa"/>
          </w:tblCellMar>
          <w:tblLook w:val="0000"/>
        </w:tblPrEx>
        <w:tc>
          <w:tcPr>
            <w:tcW w:w="126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MSTGN2013</w:t>
            </w:r>
          </w:p>
        </w:tc>
        <w:tc>
          <w:tcPr>
            <w:tcW w:w="4950" w:type="dxa"/>
            <w:tcBorders>
              <w:top w:val="nil"/>
              <w:left w:val="nil"/>
              <w:bottom w:val="nil"/>
              <w:right w:val="nil"/>
            </w:tcBorders>
            <w:tcMar>
              <w:top w:w="0" w:type="dxa"/>
              <w:left w:w="62" w:type="dxa"/>
              <w:bottom w:w="0" w:type="dxa"/>
              <w:right w:w="62" w:type="dxa"/>
            </w:tcMar>
          </w:tcPr>
          <w:p w:rsidR="00000000" w:rsidRPr="00D33CAD" w:rsidP="00D33CAD">
            <w:pPr>
              <w:pStyle w:val="BodyText"/>
            </w:pPr>
            <w:r w:rsidRPr="00D33CAD">
              <w:t>Identify fabrics, fibres and textiles used in TCF industry</w:t>
            </w:r>
          </w:p>
        </w:tc>
      </w:tr>
    </w:tbl>
    <w:p w:rsidR="00000000" w:rsidRPr="00D33CAD" w:rsidP="00D33CAD">
      <w:pPr>
        <w:pStyle w:val="BodyText"/>
      </w:pPr>
    </w:p>
    <w:p w:rsidR="00000000" w:rsidRPr="00D33CAD" w:rsidP="00D33CAD">
      <w:pPr>
        <w:pStyle w:val="AllowPageBreak"/>
      </w:pPr>
    </w:p>
    <w:p w:rsidR="00000000" w:rsidRPr="00D33CAD" w:rsidP="00D33CAD">
      <w:pPr>
        <w:pStyle w:val="Heading1"/>
      </w:pPr>
      <w:bookmarkStart w:id="4" w:name="O_1050252"/>
      <w:bookmarkEnd w:id="4"/>
      <w:r w:rsidRPr="00D33CAD">
        <w:t>Competency Field</w:t>
      </w:r>
    </w:p>
    <w:p w:rsidR="00000000" w:rsidRPr="00D33CAD" w:rsidP="00EA64BF">
      <w:pPr>
        <w:pStyle w:val="BodyText"/>
      </w:pPr>
      <w:r w:rsidRPr="00D33CAD">
        <w:t>Generic</w:t>
      </w:r>
    </w:p>
    <w:p w:rsidR="00000000" w:rsidRPr="00D33CAD" w:rsidP="00D33CAD">
      <w:pPr>
        <w:pStyle w:val="Heading1"/>
      </w:pPr>
      <w:bookmarkStart w:id="5" w:name="O_1050251"/>
      <w:bookmarkEnd w:id="5"/>
      <w:r w:rsidRPr="00D33CAD">
        <w:t>Unit Sector</w:t>
      </w:r>
    </w:p>
    <w:p w:rsidR="00000000" w:rsidRPr="00D33CAD" w:rsidP="00EA64BF">
      <w:pPr>
        <w:pStyle w:val="BodyText"/>
      </w:pPr>
      <w:r w:rsidRPr="00D33CAD">
        <w:t>Not applicable</w:t>
      </w:r>
    </w:p>
    <w:p w:rsidR="00000000" w:rsidRPr="00D33CAD" w:rsidP="00D33CAD">
      <w:pPr>
        <w:pStyle w:val="Heading1"/>
      </w:pPr>
      <w:bookmarkStart w:id="6" w:name="O_1050250"/>
      <w:bookmarkEnd w:id="6"/>
      <w:r w:rsidRPr="00D33C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3CA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Performance criteria describe the performance needed to demonstrate achievement of the element.</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3CAD" w:rsidP="00D33CAD">
            <w:pPr>
              <w:pStyle w:val="BodyText"/>
            </w:pPr>
            <w:r w:rsidRPr="00D33CAD">
              <w:t>1</w:t>
            </w:r>
          </w:p>
        </w:tc>
        <w:tc>
          <w:tcPr>
            <w:tcW w:w="1962" w:type="dxa"/>
            <w:vMerge w:val="restart"/>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1.1</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Follow standard operating procedures (SOPs)</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1.2</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Comply with work health and safety (WHS) requirements at all times</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1.3</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Use appropriate personal protective equipment (PPE) in accordance with SOPs</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1.4</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Identify job requirements from specifications, drawings, job sheets or work instructions</w:t>
            </w:r>
          </w:p>
        </w:tc>
      </w:tr>
      <w:tr w:rsidTr="00D33C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3CAD">
            <w:pPr>
              <w:pStyle w:val="BodyText"/>
              <w:rPr>
                <w:lang w:val="en-NZ"/>
              </w:rPr>
            </w:pP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3CAD" w:rsidP="00D33CAD">
            <w:pPr>
              <w:pStyle w:val="BodyText"/>
            </w:pPr>
            <w:r w:rsidRPr="00D33CAD">
              <w:t>2</w:t>
            </w:r>
          </w:p>
        </w:tc>
        <w:tc>
          <w:tcPr>
            <w:tcW w:w="1962" w:type="dxa"/>
            <w:vMerge w:val="restart"/>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Prepare to participate in the TCF supply chain</w:t>
            </w: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2.1</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Identify goods and services included within the TCF supply chain</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2.2</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 xml:space="preserve">Identify TCF products and the origins of raw material for TCF products </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2.3</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Identify TCF personnel expertise used in the supply ch</w:t>
            </w:r>
            <w:r w:rsidRPr="00D33CAD">
              <w:t>ain and their role in supply</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2.4</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Identify marketing and sales functions and their contributions to the supply chain</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2.5</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 xml:space="preserve">Assess the strengths and weaknesses of domestic and international supply arrangements for TCF products </w:t>
            </w:r>
          </w:p>
        </w:tc>
      </w:tr>
      <w:tr w:rsidTr="00D33C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3CAD">
            <w:pPr>
              <w:pStyle w:val="BodyText"/>
              <w:rPr>
                <w:lang w:val="en-NZ"/>
              </w:rPr>
            </w:pP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3CAD" w:rsidP="00D33CAD">
            <w:pPr>
              <w:pStyle w:val="BodyText"/>
            </w:pPr>
            <w:r w:rsidRPr="00D33CAD">
              <w:t>3</w:t>
            </w:r>
          </w:p>
        </w:tc>
        <w:tc>
          <w:tcPr>
            <w:tcW w:w="1962" w:type="dxa"/>
            <w:vMerge w:val="restart"/>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Participate in TCF supply chain operations</w:t>
            </w: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3.1</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Identify and specify supply criteria for selected TCF products</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3.2</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Identify quality indicators for TCF materials and products</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3.3</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Conduct routine tests to assess the quality of materials and products</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3.4</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 xml:space="preserve">Analyse and interpret specifications for materials and </w:t>
            </w:r>
            <w:r w:rsidRPr="00D33CAD">
              <w:t xml:space="preserve">products </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3.5</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Use appropriate TCF industry terminology to communicate effectively and document processes in domestic and/or international supply chain operations</w:t>
            </w:r>
          </w:p>
        </w:tc>
      </w:tr>
      <w:tr w:rsidTr="00D33C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3CAD">
            <w:pPr>
              <w:pStyle w:val="BodyText"/>
              <w:rPr>
                <w:lang w:val="en-NZ"/>
              </w:rPr>
            </w:pP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3CAD" w:rsidP="00D33CAD">
            <w:pPr>
              <w:pStyle w:val="BodyText"/>
            </w:pPr>
            <w:r w:rsidRPr="00D33CAD">
              <w:t>4</w:t>
            </w:r>
          </w:p>
        </w:tc>
        <w:tc>
          <w:tcPr>
            <w:tcW w:w="1962" w:type="dxa"/>
            <w:vMerge w:val="restart"/>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Evaluate supply chain ar</w:t>
            </w:r>
            <w:r w:rsidRPr="00D33CAD">
              <w:rPr>
                <w:rStyle w:val="SpecialBold"/>
              </w:rPr>
              <w:t>rangements</w:t>
            </w: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4.1</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Use appropriate electronic and digital tools and communication and records systems in TCF supply systems and evaluate their role in a supply chain</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4.2</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 xml:space="preserve">Analyse TCF supply chain conditions and established supply relationships </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4.3</w:t>
            </w:r>
          </w:p>
        </w:tc>
        <w:tc>
          <w:tcPr>
            <w:tcW w:w="561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Compare key performance benchmarks with current flow rates</w:t>
            </w:r>
          </w:p>
        </w:tc>
      </w:tr>
      <w:tr w:rsidTr="00D3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4.4</w:t>
            </w:r>
          </w:p>
        </w:tc>
        <w:tc>
          <w:tcPr>
            <w:tcW w:w="5610" w:type="dxa"/>
            <w:tcBorders>
              <w:top w:val="nil"/>
              <w:left w:val="nil"/>
              <w:bottom w:val="nil"/>
              <w:right w:val="nil"/>
            </w:tcBorders>
            <w:tcMar>
              <w:top w:w="0" w:type="dxa"/>
              <w:left w:w="62" w:type="dxa"/>
              <w:bottom w:w="0" w:type="dxa"/>
              <w:right w:w="62" w:type="dxa"/>
            </w:tcMar>
          </w:tcPr>
          <w:p w:rsidR="00000000" w:rsidRPr="00D33CAD" w:rsidP="00D33CAD">
            <w:pPr>
              <w:pStyle w:val="BodyText"/>
            </w:pPr>
            <w:r w:rsidRPr="00D33CAD">
              <w:t xml:space="preserve">Determine strengths and weaknesses in current supply arrangements </w:t>
            </w:r>
          </w:p>
        </w:tc>
      </w:tr>
    </w:tbl>
    <w:p w:rsidR="00000000" w:rsidRPr="00D33CAD" w:rsidP="00D33CAD">
      <w:pPr>
        <w:pStyle w:val="BodyText"/>
      </w:pPr>
    </w:p>
    <w:p w:rsidR="00000000" w:rsidRPr="00D33CAD" w:rsidP="00D33CAD">
      <w:pPr>
        <w:pStyle w:val="AllowPageBreak"/>
      </w:pPr>
    </w:p>
    <w:p w:rsidR="00000000" w:rsidRPr="00D33CAD" w:rsidP="00D33CAD">
      <w:pPr>
        <w:pStyle w:val="Heading1"/>
      </w:pPr>
      <w:bookmarkStart w:id="7" w:name="O_1050249"/>
      <w:bookmarkEnd w:id="7"/>
      <w:r w:rsidRPr="00D33CAD">
        <w:t>Foundation Skills</w:t>
      </w:r>
    </w:p>
    <w:p w:rsidR="00000000" w:rsidRPr="00D33CAD" w:rsidP="00EA64BF">
      <w:pPr>
        <w:pStyle w:val="BodyText"/>
      </w:pPr>
      <w:r w:rsidRPr="00D33CAD">
        <w:t>This section describes those required skills (language, literacy and numeracy) that are essential to performance.</w:t>
      </w:r>
    </w:p>
    <w:p w:rsidR="00000000" w:rsidRPr="00D33CAD" w:rsidP="00EA64BF">
      <w:pPr>
        <w:pStyle w:val="BodyText"/>
      </w:pPr>
      <w:r w:rsidRPr="00D33CAD">
        <w:t>Foundation skills essential to performance are explicit in the performance criteria of this unit of competency.</w:t>
      </w:r>
    </w:p>
    <w:p w:rsidR="00000000" w:rsidRPr="00D33CAD" w:rsidP="00D33CAD">
      <w:pPr>
        <w:pStyle w:val="Heading1"/>
      </w:pPr>
      <w:bookmarkStart w:id="8" w:name="O_1050248"/>
      <w:bookmarkEnd w:id="8"/>
      <w:r w:rsidRPr="00D33CAD">
        <w:t>Range of C</w:t>
      </w:r>
      <w:r w:rsidRPr="00D33CAD">
        <w:t>onditions</w:t>
      </w:r>
    </w:p>
    <w:tbl>
      <w:tblPr>
        <w:tblW w:w="0" w:type="auto"/>
        <w:tblCellMar>
          <w:left w:w="62" w:type="dxa"/>
          <w:right w:w="62" w:type="dxa"/>
        </w:tblCellMar>
        <w:tblLook w:val="0000"/>
      </w:tblPr>
      <w:tblGrid>
        <w:gridCol w:w="2163"/>
        <w:gridCol w:w="7033"/>
      </w:tblGrid>
      <w:tr w:rsidTr="00EA64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t>This field allows for different work environments and conditions that may affect performance. Essential operating conditions that may be present (depending on the work situation, needs of the candidate, accessibility of the item, and local indust</w:t>
            </w:r>
            <w:r w:rsidRPr="00D33CAD">
              <w:t>ry and regional contexts) are included.</w:t>
            </w:r>
          </w:p>
        </w:tc>
      </w:tr>
      <w:tr w:rsidTr="00EA64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3CAD" w:rsidP="00D33CAD">
            <w:pPr>
              <w:pStyle w:val="ListBullet"/>
            </w:pPr>
            <w:r w:rsidRPr="00D33CAD">
              <w:t>requirements prescribed by legislation, awards, agreements and conditions of employment</w:t>
            </w:r>
          </w:p>
          <w:p w:rsidR="00000000" w:rsidRPr="00D33CAD" w:rsidP="00D33CAD">
            <w:pPr>
              <w:pStyle w:val="ListBullet"/>
            </w:pPr>
            <w:r w:rsidRPr="00D33CAD">
              <w:t>SOPs</w:t>
            </w:r>
          </w:p>
          <w:p w:rsidR="00000000" w:rsidRPr="00D33CAD" w:rsidP="00D33CAD">
            <w:pPr>
              <w:pStyle w:val="ListBullet"/>
            </w:pPr>
            <w:r w:rsidRPr="00D33CAD">
              <w:t>work instructions</w:t>
            </w:r>
          </w:p>
          <w:p w:rsidR="00000000" w:rsidRPr="00D33CAD" w:rsidP="00D33CAD">
            <w:pPr>
              <w:pStyle w:val="ListBullet"/>
            </w:pPr>
            <w:r w:rsidRPr="00D33CAD">
              <w:t>oral, written and visual communication</w:t>
            </w:r>
          </w:p>
          <w:p w:rsidR="00000000" w:rsidRPr="00D33CAD" w:rsidP="00D33CAD">
            <w:pPr>
              <w:pStyle w:val="ListBullet"/>
            </w:pPr>
            <w:r w:rsidRPr="00D33CAD">
              <w:t>quality practices, including responsibility for maintenance of own work quality and contribution to quality improvement of team or section output</w:t>
            </w:r>
          </w:p>
          <w:p w:rsidR="00000000" w:rsidRPr="00D33CAD" w:rsidP="00D33CAD">
            <w:pPr>
              <w:pStyle w:val="ListBullet"/>
            </w:pPr>
            <w:r w:rsidRPr="00D33CAD">
              <w:t>housekeeping</w:t>
            </w:r>
          </w:p>
          <w:p w:rsidR="00000000" w:rsidRPr="00D33CAD" w:rsidP="00D33CAD">
            <w:pPr>
              <w:pStyle w:val="ListBullet"/>
            </w:pPr>
            <w:r w:rsidRPr="00D33CAD">
              <w:t>tasks related to environmental protection, waste disposal, pollution control and recycling</w:t>
            </w:r>
          </w:p>
          <w:p w:rsidR="00000000" w:rsidRPr="00D33CAD" w:rsidP="00D33CAD">
            <w:pPr>
              <w:pStyle w:val="ListBullet"/>
            </w:pPr>
            <w:r w:rsidRPr="00D33CAD">
              <w:t>WHS pr</w:t>
            </w:r>
            <w:r w:rsidRPr="00D33CAD">
              <w:t>actices</w:t>
            </w:r>
          </w:p>
          <w:p w:rsidR="00000000" w:rsidP="00D33CAD">
            <w:pPr>
              <w:pStyle w:val="BodyText"/>
              <w:rPr>
                <w:lang w:val="en-NZ"/>
              </w:rPr>
            </w:pPr>
          </w:p>
        </w:tc>
      </w:tr>
      <w:tr w:rsidTr="00EA64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33CAD" w:rsidP="00D33CAD">
            <w:pPr>
              <w:pStyle w:val="ListBullet"/>
            </w:pPr>
            <w:r w:rsidRPr="00D33CAD">
              <w:t>the relevant industry or Australian Standards that are current at the time this unit is being undertaken</w:t>
            </w:r>
          </w:p>
          <w:p w:rsidR="00000000" w:rsidP="00D33CAD">
            <w:pPr>
              <w:pStyle w:val="BodyText"/>
              <w:rPr>
                <w:lang w:val="en-NZ"/>
              </w:rPr>
            </w:pPr>
          </w:p>
        </w:tc>
      </w:tr>
      <w:tr w:rsidTr="00EA64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TCF products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3CAD" w:rsidP="00D33CAD">
            <w:pPr>
              <w:pStyle w:val="ListBullet"/>
            </w:pPr>
            <w:r w:rsidRPr="00D33CAD">
              <w:t>clothing</w:t>
            </w:r>
          </w:p>
          <w:p w:rsidR="00000000" w:rsidRPr="00D33CAD" w:rsidP="00D33CAD">
            <w:pPr>
              <w:pStyle w:val="ListBullet"/>
            </w:pPr>
            <w:r w:rsidRPr="00D33CAD">
              <w:t>fashion items</w:t>
            </w:r>
          </w:p>
          <w:p w:rsidR="00000000" w:rsidRPr="00D33CAD" w:rsidP="00D33CAD">
            <w:pPr>
              <w:pStyle w:val="ListBullet"/>
            </w:pPr>
            <w:r w:rsidRPr="00D33CAD">
              <w:t>textiles</w:t>
            </w:r>
          </w:p>
          <w:p w:rsidR="00000000" w:rsidRPr="00D33CAD" w:rsidP="00D33CAD">
            <w:pPr>
              <w:pStyle w:val="ListBullet"/>
            </w:pPr>
            <w:r w:rsidRPr="00D33CAD">
              <w:t xml:space="preserve">footwear </w:t>
            </w:r>
          </w:p>
          <w:p w:rsidR="00000000" w:rsidRPr="00D33CAD" w:rsidP="00D33CAD">
            <w:pPr>
              <w:pStyle w:val="ListBullet"/>
            </w:pPr>
            <w:r w:rsidRPr="00D33CAD">
              <w:t xml:space="preserve">leather products </w:t>
            </w:r>
          </w:p>
          <w:p w:rsidR="00000000" w:rsidRPr="00D33CAD" w:rsidP="00D33CAD">
            <w:pPr>
              <w:pStyle w:val="ListBullet"/>
            </w:pPr>
            <w:r w:rsidRPr="00D33CAD">
              <w:t>accessories</w:t>
            </w:r>
          </w:p>
          <w:p w:rsidR="00000000" w:rsidP="00D33CAD">
            <w:pPr>
              <w:pStyle w:val="BodyText"/>
              <w:rPr>
                <w:lang w:val="en-NZ"/>
              </w:rPr>
            </w:pPr>
          </w:p>
        </w:tc>
      </w:tr>
      <w:tr w:rsidTr="00EA64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TCF personnel expertise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3CAD" w:rsidP="00D33CAD">
            <w:pPr>
              <w:pStyle w:val="ListBullet"/>
            </w:pPr>
            <w:r w:rsidRPr="00D33CAD">
              <w:t>quality assurance personnel</w:t>
            </w:r>
          </w:p>
          <w:p w:rsidR="00000000" w:rsidRPr="00D33CAD" w:rsidP="00D33CAD">
            <w:pPr>
              <w:pStyle w:val="ListBullet"/>
            </w:pPr>
            <w:r w:rsidRPr="00D33CAD">
              <w:t>test and laboratory experts</w:t>
            </w:r>
          </w:p>
          <w:p w:rsidR="00000000" w:rsidRPr="00D33CAD" w:rsidP="00D33CAD">
            <w:pPr>
              <w:pStyle w:val="ListBullet"/>
            </w:pPr>
            <w:r w:rsidRPr="00D33CAD">
              <w:t>designers</w:t>
            </w:r>
          </w:p>
          <w:p w:rsidR="00000000" w:rsidRPr="00D33CAD" w:rsidP="00D33CAD">
            <w:pPr>
              <w:pStyle w:val="ListBullet"/>
            </w:pPr>
            <w:r w:rsidRPr="00D33CAD">
              <w:t>researchers</w:t>
            </w:r>
          </w:p>
          <w:p w:rsidR="00000000" w:rsidRPr="00D33CAD" w:rsidP="00D33CAD">
            <w:pPr>
              <w:pStyle w:val="ListBullet"/>
            </w:pPr>
            <w:r w:rsidRPr="00D33CAD">
              <w:t>importers</w:t>
            </w:r>
          </w:p>
          <w:p w:rsidR="00000000" w:rsidRPr="00D33CAD" w:rsidP="00D33CAD">
            <w:pPr>
              <w:pStyle w:val="ListBullet"/>
            </w:pPr>
            <w:r w:rsidRPr="00D33CAD">
              <w:t>exporters</w:t>
            </w:r>
          </w:p>
          <w:p w:rsidR="00000000" w:rsidRPr="00D33CAD" w:rsidP="00D33CAD">
            <w:pPr>
              <w:pStyle w:val="ListBullet"/>
            </w:pPr>
            <w:r w:rsidRPr="00D33CAD">
              <w:t>transporters</w:t>
            </w:r>
          </w:p>
          <w:p w:rsidR="00000000" w:rsidP="00D33CAD">
            <w:pPr>
              <w:pStyle w:val="BodyText"/>
              <w:rPr>
                <w:lang w:val="en-NZ"/>
              </w:rPr>
            </w:pPr>
          </w:p>
        </w:tc>
      </w:tr>
      <w:tr w:rsidTr="00EA64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Supply criteria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3CAD" w:rsidP="00D33CAD">
            <w:pPr>
              <w:pStyle w:val="ListBullet"/>
            </w:pPr>
            <w:r w:rsidRPr="00D33CAD">
              <w:t>availability of raw materials</w:t>
            </w:r>
          </w:p>
          <w:p w:rsidR="00000000" w:rsidRPr="00D33CAD" w:rsidP="00D33CAD">
            <w:pPr>
              <w:pStyle w:val="ListBullet"/>
            </w:pPr>
            <w:r w:rsidRPr="00D33CAD">
              <w:t>timelines</w:t>
            </w:r>
          </w:p>
          <w:p w:rsidR="00000000" w:rsidRPr="00D33CAD" w:rsidP="00D33CAD">
            <w:pPr>
              <w:pStyle w:val="ListBullet"/>
            </w:pPr>
            <w:r w:rsidRPr="00D33CAD">
              <w:t>quality standards</w:t>
            </w:r>
          </w:p>
          <w:p w:rsidR="00000000" w:rsidRPr="00D33CAD" w:rsidP="00D33CAD">
            <w:pPr>
              <w:pStyle w:val="ListBullet"/>
            </w:pPr>
            <w:r w:rsidRPr="00D33CAD">
              <w:t>colour</w:t>
            </w:r>
          </w:p>
          <w:p w:rsidR="00000000" w:rsidRPr="00D33CAD" w:rsidP="00D33CAD">
            <w:pPr>
              <w:pStyle w:val="ListBullet"/>
            </w:pPr>
            <w:r w:rsidRPr="00D33CAD">
              <w:t>quantity</w:t>
            </w:r>
          </w:p>
          <w:p w:rsidR="00000000" w:rsidRPr="00D33CAD" w:rsidP="00D33CAD">
            <w:pPr>
              <w:pStyle w:val="ListBullet"/>
            </w:pPr>
            <w:r w:rsidRPr="00D33CAD">
              <w:t>reliability</w:t>
            </w:r>
          </w:p>
          <w:p w:rsidR="00000000" w:rsidRPr="00D33CAD" w:rsidP="00D33CAD">
            <w:pPr>
              <w:pStyle w:val="ListBullet"/>
            </w:pPr>
            <w:r w:rsidRPr="00D33CAD">
              <w:t>communication channels</w:t>
            </w:r>
          </w:p>
          <w:p w:rsidR="00000000" w:rsidRPr="00D33CAD" w:rsidP="00D33CAD">
            <w:pPr>
              <w:pStyle w:val="ListBullet"/>
            </w:pPr>
            <w:r w:rsidRPr="00D33CAD">
              <w:t>reputation</w:t>
            </w:r>
          </w:p>
          <w:p w:rsidR="00000000" w:rsidRPr="00D33CAD" w:rsidP="00D33CAD">
            <w:pPr>
              <w:pStyle w:val="ListBullet"/>
            </w:pPr>
            <w:r w:rsidRPr="00D33CAD">
              <w:t xml:space="preserve">price </w:t>
            </w:r>
          </w:p>
          <w:p w:rsidR="00000000" w:rsidRPr="00D33CAD" w:rsidP="00D33CAD">
            <w:pPr>
              <w:pStyle w:val="ListBullet"/>
            </w:pPr>
            <w:r w:rsidRPr="00D33CAD">
              <w:t>delivery schedule</w:t>
            </w:r>
          </w:p>
          <w:p w:rsidR="00000000" w:rsidP="00D33CAD">
            <w:pPr>
              <w:pStyle w:val="BodyText"/>
              <w:rPr>
                <w:lang w:val="en-NZ"/>
              </w:rPr>
            </w:pPr>
          </w:p>
        </w:tc>
      </w:tr>
      <w:tr w:rsidTr="00EA64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3CAD">
            <w:pPr>
              <w:pStyle w:val="BodyText"/>
              <w:rPr>
                <w:lang w:val="en-NZ"/>
              </w:rPr>
            </w:pPr>
            <w:r w:rsidRPr="00D33CAD">
              <w:rPr>
                <w:rStyle w:val="SpecialBold"/>
              </w:rPr>
              <w:t>Routine tests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3CAD" w:rsidP="00D33CAD">
            <w:pPr>
              <w:pStyle w:val="ListBullet"/>
            </w:pPr>
            <w:r w:rsidRPr="00D33CAD">
              <w:t>visual inspection</w:t>
            </w:r>
          </w:p>
          <w:p w:rsidR="00000000" w:rsidRPr="00D33CAD" w:rsidP="00D33CAD">
            <w:pPr>
              <w:pStyle w:val="ListBullet"/>
            </w:pPr>
            <w:r w:rsidRPr="00D33CAD">
              <w:t>tactile analysis</w:t>
            </w:r>
          </w:p>
          <w:p w:rsidR="00000000" w:rsidRPr="00D33CAD" w:rsidP="00D33CAD">
            <w:pPr>
              <w:pStyle w:val="ListBullet"/>
            </w:pPr>
            <w:r w:rsidRPr="00D33CAD">
              <w:t>acetone</w:t>
            </w:r>
          </w:p>
          <w:p w:rsidR="00000000" w:rsidRPr="00D33CAD" w:rsidP="00D33CAD">
            <w:pPr>
              <w:pStyle w:val="ListBullet"/>
            </w:pPr>
            <w:r w:rsidRPr="00D33CAD">
              <w:t>burn test</w:t>
            </w:r>
          </w:p>
          <w:p w:rsidR="00000000" w:rsidRPr="00D33CAD" w:rsidP="00D33CAD">
            <w:pPr>
              <w:pStyle w:val="ListBullet"/>
            </w:pPr>
            <w:r w:rsidRPr="00D33CAD">
              <w:t>microscopy</w:t>
            </w:r>
          </w:p>
        </w:tc>
      </w:tr>
    </w:tbl>
    <w:p w:rsidR="00000000" w:rsidRPr="00D33CAD" w:rsidP="00D33CAD">
      <w:pPr>
        <w:pStyle w:val="BodyText"/>
      </w:pPr>
    </w:p>
    <w:p w:rsidR="00000000" w:rsidRPr="00D33CAD" w:rsidP="00D33CAD">
      <w:pPr>
        <w:pStyle w:val="AllowPageBreak"/>
      </w:pPr>
    </w:p>
    <w:p w:rsidR="00000000" w:rsidRPr="00D33CAD" w:rsidP="00D33CAD">
      <w:pPr>
        <w:pStyle w:val="Heading1"/>
      </w:pPr>
      <w:bookmarkStart w:id="9" w:name="O_1050247"/>
      <w:bookmarkEnd w:id="9"/>
      <w:r w:rsidRPr="00D33CAD">
        <w:t>Unit Mapping Information</w:t>
      </w:r>
    </w:p>
    <w:p w:rsidR="00000000" w:rsidRPr="00D33CAD" w:rsidP="00EA64BF">
      <w:pPr>
        <w:pStyle w:val="BodyText"/>
      </w:pPr>
      <w:r w:rsidRPr="00D33CAD">
        <w:t>Release 2. Supersedes and is equivalent to MSTGN4006 Apply TCF market supply systems (Release 1).</w:t>
      </w:r>
    </w:p>
    <w:p w:rsidR="00000000" w:rsidRPr="00D33CAD" w:rsidP="00EA64BF">
      <w:pPr>
        <w:pStyle w:val="BodyText"/>
      </w:pPr>
      <w:r w:rsidRPr="00D33CAD">
        <w:t>Release 1. Supersedes and is equivalent to LMTGN4018A Apply textile clothing and footwear market supply systems.</w:t>
      </w:r>
    </w:p>
    <w:p w:rsidR="00000000" w:rsidRPr="00D33CAD" w:rsidP="00D33CAD">
      <w:pPr>
        <w:pStyle w:val="Heading1"/>
      </w:pPr>
      <w:bookmarkStart w:id="10" w:name="O_1050256"/>
      <w:bookmarkEnd w:id="10"/>
      <w:r w:rsidRPr="00D33CAD">
        <w:t>Links</w:t>
      </w:r>
    </w:p>
    <w:p w:rsidR="00000000" w:rsidRPr="00D33CAD" w:rsidP="00EA64BF">
      <w:pPr>
        <w:pStyle w:val="BodyText"/>
      </w:pPr>
      <w:r w:rsidRPr="00D33CAD">
        <w:t>Companion Volume imp</w:t>
      </w:r>
      <w:r w:rsidRPr="00D33CAD">
        <w:t xml:space="preserve">lementation guides are found in VETNet - </w:t>
      </w:r>
      <w:r>
        <w:fldChar w:fldCharType="begin"/>
      </w:r>
      <w:r>
        <w:instrText xml:space="preserve"> HYPERLINK "https://vetnet.gov.au/Pages/TrainingDocs.aspx?q=a203ec5c-de7d-406b-b3e1-8f1a9b76e92e" </w:instrText>
      </w:r>
      <w:r>
        <w:fldChar w:fldCharType="separate"/>
      </w:r>
      <w:r w:rsidRPr="006C2982">
        <w:rPr>
          <w:rStyle w:val="Hyperlink"/>
        </w:rPr>
        <w:t>https://vetnet.gov.au/Pages/TrainingDocs.aspx?q=a203ec5c-de7d-406b-b3e1-8f1a9b76e92e</w:t>
      </w:r>
      <w:r>
        <w:fldChar w:fldCharType="end"/>
      </w:r>
    </w:p>
    <w:p w:rsidR="00000000" w:rsidRPr="00D33CAD" w:rsidP="00EA64BF">
      <w:pPr>
        <w:pStyle w:val="BodyText"/>
        <w:sectPr w:rsidSect="00D33CAD">
          <w:headerReference w:type="default" r:id="rId10"/>
          <w:footerReference w:type="default" r:id="rId11"/>
          <w:pgSz w:w="11908" w:h="16833"/>
          <w:pgMar w:top="1702" w:right="1418" w:bottom="1702" w:left="1418" w:header="992" w:footer="992" w:gutter="0"/>
          <w:cols w:space="720"/>
          <w:noEndnote/>
          <w:docGrid w:linePitch="299"/>
        </w:sectPr>
      </w:pPr>
    </w:p>
    <w:p w:rsidR="00000000" w:rsidRPr="00D33CAD" w:rsidP="00D33CAD">
      <w:pPr>
        <w:pStyle w:val="SuperHeading"/>
      </w:pPr>
      <w:r w:rsidRPr="00D33CAD">
        <w:t>Assessment Requirements for MSTGN4006 Apply TCF market supply systems</w:t>
      </w:r>
    </w:p>
    <w:p w:rsidR="00000000" w:rsidRPr="00D33CAD" w:rsidP="00D33CAD">
      <w:pPr>
        <w:pStyle w:val="Heading1"/>
      </w:pPr>
      <w:bookmarkStart w:id="11" w:name="O_1050245"/>
      <w:bookmarkEnd w:id="11"/>
      <w:r w:rsidRPr="00D33CAD">
        <w:t>Modification History</w:t>
      </w:r>
    </w:p>
    <w:p w:rsidR="00000000" w:rsidRPr="00D33CAD" w:rsidP="00EA64BF">
      <w:pPr>
        <w:pStyle w:val="BodyText"/>
      </w:pPr>
      <w:r w:rsidRPr="00D33CAD">
        <w:t>Release 2. Supersedes and is equivalent to MSTGN4006 Apply TCF market supply systems (Release 1).</w:t>
      </w:r>
    </w:p>
    <w:p w:rsidR="00000000" w:rsidRPr="00D33CAD" w:rsidP="00EA64BF">
      <w:pPr>
        <w:pStyle w:val="BodyText"/>
      </w:pPr>
      <w:r w:rsidRPr="00D33CAD">
        <w:t>Pre-requisite unit, MSTGN2011 Identify fibres, fabrics and textiles used in the TCF industry, is</w:t>
      </w:r>
      <w:r w:rsidRPr="00D33CAD">
        <w:rPr>
          <w:rStyle w:val="SpecialBold"/>
        </w:rPr>
        <w:t xml:space="preserve"> </w:t>
      </w:r>
      <w:r w:rsidRPr="00D33CAD">
        <w:t>superseded by MSTGN2013 Identif</w:t>
      </w:r>
      <w:r w:rsidRPr="00D33CAD">
        <w:t>y fibres, fabrics and textiles used in the TCF industry.</w:t>
      </w:r>
    </w:p>
    <w:p w:rsidR="00000000" w:rsidRPr="00D33CAD" w:rsidP="00EA64BF">
      <w:pPr>
        <w:pStyle w:val="BodyText"/>
      </w:pPr>
      <w:r w:rsidRPr="00D33CAD">
        <w:t>Release 1. Supersedes and is equivalent to LMTGN4018A Apply textile clothing and footwear market supply systems.</w:t>
      </w:r>
    </w:p>
    <w:p w:rsidR="00000000" w:rsidRPr="00D33CAD" w:rsidP="00D33CAD">
      <w:pPr>
        <w:pStyle w:val="Heading1"/>
      </w:pPr>
      <w:bookmarkStart w:id="12" w:name="O_1050244"/>
      <w:bookmarkEnd w:id="12"/>
      <w:r w:rsidRPr="00D33CAD">
        <w:t>Performance Evidence</w:t>
      </w:r>
    </w:p>
    <w:p w:rsidR="00000000" w:rsidRPr="00D33CAD" w:rsidP="00EA64BF">
      <w:pPr>
        <w:pStyle w:val="BodyText"/>
      </w:pPr>
      <w:r w:rsidRPr="00D33CAD">
        <w:t>Evidence required  to demonstrate competence i</w:t>
      </w:r>
      <w:r w:rsidRPr="00D33CAD">
        <w:t>n this unit must be relevant to and satisfy the requirements of the elements and performance criteria and include:</w:t>
      </w:r>
    </w:p>
    <w:p w:rsidR="00000000" w:rsidRPr="00D33CAD" w:rsidP="00D33CAD">
      <w:pPr>
        <w:pStyle w:val="ListBullet"/>
      </w:pPr>
      <w:r w:rsidRPr="00D33CAD">
        <w:t xml:space="preserve">reading and following work instructions, standard operating procedures (SOPs), safe work practices </w:t>
      </w:r>
    </w:p>
    <w:p w:rsidR="00000000" w:rsidRPr="00D33CAD" w:rsidP="00D33CAD">
      <w:pPr>
        <w:pStyle w:val="ListBullet"/>
      </w:pPr>
      <w:r w:rsidRPr="00D33CAD">
        <w:t>applying relevant standards</w:t>
      </w:r>
    </w:p>
    <w:p w:rsidR="00000000" w:rsidRPr="00D33CAD" w:rsidP="00D33CAD">
      <w:pPr>
        <w:pStyle w:val="ListBullet"/>
      </w:pPr>
      <w:r w:rsidRPr="00D33CAD">
        <w:t xml:space="preserve">identifying </w:t>
      </w:r>
      <w:r w:rsidRPr="00D33CAD">
        <w:t>products, raw materials and personnel in TCF domestic and/or international supply chain systems for a TCF sector</w:t>
      </w:r>
    </w:p>
    <w:p w:rsidR="00000000" w:rsidRPr="00D33CAD" w:rsidP="00D33CAD">
      <w:pPr>
        <w:pStyle w:val="ListBullet"/>
      </w:pPr>
      <w:r w:rsidRPr="00D33CAD">
        <w:t>specifying the role of TCF suppliers and supply criteria for at least two (2) different TCF products</w:t>
      </w:r>
    </w:p>
    <w:p w:rsidR="00000000" w:rsidRPr="00D33CAD" w:rsidP="00D33CAD">
      <w:pPr>
        <w:pStyle w:val="ListBullet"/>
      </w:pPr>
      <w:r w:rsidRPr="00D33CAD">
        <w:t xml:space="preserve">identifying criteria for assessing </w:t>
      </w:r>
      <w:r w:rsidRPr="00D33CAD">
        <w:t>quality of TCF materials and products</w:t>
      </w:r>
    </w:p>
    <w:p w:rsidR="00000000" w:rsidRPr="00D33CAD" w:rsidP="00D33CAD">
      <w:pPr>
        <w:pStyle w:val="ListBullet"/>
      </w:pPr>
      <w:r w:rsidRPr="00D33CAD">
        <w:t xml:space="preserve">using appropriate electronic and digital tools and communication and records systems in domestic and/or international TCF supply systems to record supply details for at least two (2) identified TCF products </w:t>
      </w:r>
    </w:p>
    <w:p w:rsidR="00000000" w:rsidRPr="00D33CAD" w:rsidP="00D33CAD">
      <w:pPr>
        <w:pStyle w:val="ListBullet"/>
      </w:pPr>
      <w:r w:rsidRPr="00D33CAD">
        <w:t>using appr</w:t>
      </w:r>
      <w:r w:rsidRPr="00D33CAD">
        <w:t>opriate TCF industry terminology to communicate effectively and document processes in domestic and/or international supply chain operations</w:t>
      </w:r>
    </w:p>
    <w:p w:rsidR="00000000" w:rsidRPr="00D33CAD" w:rsidP="00D33CAD">
      <w:pPr>
        <w:pStyle w:val="ListBullet"/>
      </w:pPr>
      <w:r w:rsidRPr="00D33CAD">
        <w:t>evaluating current TCF supply chain arrangements and relationships, and assessing strengths and weaknesses</w:t>
      </w:r>
    </w:p>
    <w:p w:rsidR="00000000" w:rsidRPr="00D33CAD" w:rsidP="00D33CAD">
      <w:pPr>
        <w:pStyle w:val="ListBullet"/>
      </w:pPr>
      <w:r w:rsidRPr="00D33CAD">
        <w:t>documenti</w:t>
      </w:r>
      <w:r w:rsidRPr="00D33CAD">
        <w:t>ng processes in domestic and/or international supply chain.</w:t>
      </w:r>
    </w:p>
    <w:p w:rsidR="00000000" w:rsidRPr="00D33CAD" w:rsidP="00D33CAD">
      <w:pPr>
        <w:pStyle w:val="AllowPageBreak"/>
      </w:pPr>
    </w:p>
    <w:p w:rsidR="00000000" w:rsidRPr="00D33CAD" w:rsidP="00D33CAD">
      <w:pPr>
        <w:pStyle w:val="Heading1"/>
      </w:pPr>
      <w:bookmarkStart w:id="13" w:name="O_1050243"/>
      <w:bookmarkEnd w:id="13"/>
      <w:r w:rsidRPr="00D33CAD">
        <w:t>Knowledge Evidence</w:t>
      </w:r>
    </w:p>
    <w:p w:rsidR="00000000" w:rsidRPr="00D33CAD" w:rsidP="00EA64BF">
      <w:pPr>
        <w:pStyle w:val="BodyText"/>
      </w:pPr>
      <w:r w:rsidRPr="00D33CAD">
        <w:t>Evidence must be provided that demonstrates knowledge of:</w:t>
      </w:r>
    </w:p>
    <w:p w:rsidR="00000000" w:rsidRPr="00D33CAD" w:rsidP="00D33CAD">
      <w:pPr>
        <w:pStyle w:val="ListBullet"/>
      </w:pPr>
      <w:r w:rsidRPr="00D33CAD">
        <w:t>safe work practices and procedures and use of personal protective equipment (PPE)</w:t>
      </w:r>
    </w:p>
    <w:p w:rsidR="00000000" w:rsidRPr="00D33CAD" w:rsidP="00D33CAD">
      <w:pPr>
        <w:pStyle w:val="ListBullet"/>
      </w:pPr>
      <w:r w:rsidRPr="00D33CAD">
        <w:t>relevant Australi</w:t>
      </w:r>
      <w:r w:rsidRPr="00D33CAD">
        <w:t>an Standards</w:t>
      </w:r>
    </w:p>
    <w:p w:rsidR="00000000" w:rsidRPr="00D33CAD" w:rsidP="00D33CAD">
      <w:pPr>
        <w:pStyle w:val="ListBullet"/>
      </w:pPr>
      <w:r w:rsidRPr="00D33CAD">
        <w:t>components of TCF supply chain, such as:</w:t>
      </w:r>
    </w:p>
    <w:p w:rsidR="00000000" w:rsidRPr="00D33CAD" w:rsidP="00D33CAD">
      <w:pPr>
        <w:pStyle w:val="ListBullet2"/>
      </w:pPr>
      <w:r w:rsidRPr="00D33CAD">
        <w:t xml:space="preserve">product flow </w:t>
      </w:r>
    </w:p>
    <w:p w:rsidR="00000000" w:rsidRPr="00D33CAD" w:rsidP="00D33CAD">
      <w:pPr>
        <w:pStyle w:val="ListBullet2"/>
      </w:pPr>
      <w:r w:rsidRPr="00D33CAD">
        <w:t xml:space="preserve">raw material </w:t>
      </w:r>
    </w:p>
    <w:p w:rsidR="00000000" w:rsidRPr="00D33CAD" w:rsidP="00D33CAD">
      <w:pPr>
        <w:pStyle w:val="ListBullet2"/>
      </w:pPr>
      <w:r w:rsidRPr="00D33CAD">
        <w:t>production</w:t>
      </w:r>
    </w:p>
    <w:p w:rsidR="00000000" w:rsidRPr="00D33CAD" w:rsidP="00D33CAD">
      <w:pPr>
        <w:pStyle w:val="ListBullet2"/>
      </w:pPr>
      <w:r w:rsidRPr="00D33CAD">
        <w:t>distribution</w:t>
      </w:r>
    </w:p>
    <w:p w:rsidR="00000000" w:rsidRPr="00D33CAD" w:rsidP="00D33CAD">
      <w:pPr>
        <w:pStyle w:val="ListBullet2"/>
      </w:pPr>
      <w:r w:rsidRPr="00D33CAD">
        <w:t xml:space="preserve">marketing </w:t>
      </w:r>
    </w:p>
    <w:p w:rsidR="00000000" w:rsidRPr="00D33CAD" w:rsidP="00D33CAD">
      <w:pPr>
        <w:pStyle w:val="ListBullet2"/>
      </w:pPr>
      <w:r w:rsidRPr="00D33CAD">
        <w:t>customers</w:t>
      </w:r>
    </w:p>
    <w:p w:rsidR="00000000" w:rsidRPr="00D33CAD" w:rsidP="00D33CAD">
      <w:pPr>
        <w:pStyle w:val="ListBullet2"/>
      </w:pPr>
      <w:r w:rsidRPr="00D33CAD">
        <w:t>business support and administrators</w:t>
      </w:r>
    </w:p>
    <w:p w:rsidR="00000000" w:rsidRPr="00D33CAD" w:rsidP="00D33CAD">
      <w:pPr>
        <w:pStyle w:val="ListBullet"/>
      </w:pPr>
      <w:r w:rsidRPr="00D33CAD">
        <w:t>characteristics of fibres, fabrics and fashion and textile products</w:t>
      </w:r>
    </w:p>
    <w:p w:rsidR="00000000" w:rsidRPr="00D33CAD" w:rsidP="00D33CAD">
      <w:pPr>
        <w:pStyle w:val="ListBullet"/>
      </w:pPr>
      <w:r w:rsidRPr="00D33CAD">
        <w:t>information resources on fibres and fabrics</w:t>
      </w:r>
    </w:p>
    <w:p w:rsidR="00000000" w:rsidRPr="00D33CAD" w:rsidP="00D33CAD">
      <w:pPr>
        <w:pStyle w:val="ListBullet"/>
      </w:pPr>
      <w:r w:rsidRPr="00D33CAD">
        <w:t>TCF production processes</w:t>
      </w:r>
    </w:p>
    <w:p w:rsidR="00000000" w:rsidRPr="00D33CAD" w:rsidP="00D33CAD">
      <w:pPr>
        <w:pStyle w:val="ListBullet"/>
      </w:pPr>
      <w:r w:rsidRPr="00D33CAD">
        <w:t>supply criteria</w:t>
      </w:r>
    </w:p>
    <w:p w:rsidR="00000000" w:rsidRPr="00D33CAD" w:rsidP="00D33CAD">
      <w:pPr>
        <w:pStyle w:val="ListBullet"/>
      </w:pPr>
      <w:r w:rsidRPr="00D33CAD">
        <w:t>quality indicators, such as:</w:t>
      </w:r>
    </w:p>
    <w:p w:rsidR="00000000" w:rsidRPr="00D33CAD" w:rsidP="00D33CAD">
      <w:pPr>
        <w:pStyle w:val="ListBullet2"/>
      </w:pPr>
      <w:r w:rsidRPr="00D33CAD">
        <w:t>straightness of grain</w:t>
      </w:r>
    </w:p>
    <w:p w:rsidR="00000000" w:rsidRPr="00D33CAD" w:rsidP="00D33CAD">
      <w:pPr>
        <w:pStyle w:val="ListBullet2"/>
      </w:pPr>
      <w:r w:rsidRPr="00D33CAD">
        <w:t>even/uneven yarn</w:t>
      </w:r>
    </w:p>
    <w:p w:rsidR="00000000" w:rsidRPr="00D33CAD" w:rsidP="00D33CAD">
      <w:pPr>
        <w:pStyle w:val="ListBullet2"/>
      </w:pPr>
      <w:r w:rsidRPr="00D33CAD">
        <w:t>slippage</w:t>
      </w:r>
    </w:p>
    <w:p w:rsidR="00000000" w:rsidRPr="00D33CAD" w:rsidP="00D33CAD">
      <w:pPr>
        <w:pStyle w:val="ListBullet2"/>
      </w:pPr>
      <w:r w:rsidRPr="00D33CAD">
        <w:t>length of fibres</w:t>
      </w:r>
    </w:p>
    <w:p w:rsidR="00000000" w:rsidRPr="00D33CAD" w:rsidP="00D33CAD">
      <w:pPr>
        <w:pStyle w:val="ListBullet2"/>
      </w:pPr>
      <w:r w:rsidRPr="00D33CAD">
        <w:t>pilling</w:t>
      </w:r>
    </w:p>
    <w:p w:rsidR="00000000" w:rsidRPr="00D33CAD" w:rsidP="00D33CAD">
      <w:pPr>
        <w:pStyle w:val="ListBullet2"/>
      </w:pPr>
      <w:r w:rsidRPr="00D33CAD">
        <w:t>fabric resilience</w:t>
      </w:r>
    </w:p>
    <w:p w:rsidR="00000000" w:rsidRPr="00D33CAD" w:rsidP="00D33CAD">
      <w:pPr>
        <w:pStyle w:val="ListBullet2"/>
      </w:pPr>
      <w:r w:rsidRPr="00D33CAD">
        <w:t>workability</w:t>
      </w:r>
    </w:p>
    <w:p w:rsidR="00000000" w:rsidRPr="00D33CAD" w:rsidP="00D33CAD">
      <w:pPr>
        <w:pStyle w:val="ListBullet2"/>
      </w:pPr>
      <w:r w:rsidRPr="00D33CAD">
        <w:t>wash testing</w:t>
      </w:r>
    </w:p>
    <w:p w:rsidR="00000000" w:rsidRPr="00D33CAD" w:rsidP="00D33CAD">
      <w:pPr>
        <w:pStyle w:val="ListBullet2"/>
      </w:pPr>
      <w:r w:rsidRPr="00D33CAD">
        <w:t>shade</w:t>
      </w:r>
    </w:p>
    <w:p w:rsidR="00000000" w:rsidRPr="00D33CAD" w:rsidP="00D33CAD">
      <w:pPr>
        <w:pStyle w:val="ListBullet2"/>
      </w:pPr>
      <w:r w:rsidRPr="00D33CAD">
        <w:t>tensile properties</w:t>
      </w:r>
    </w:p>
    <w:p w:rsidR="00000000" w:rsidRPr="00D33CAD" w:rsidP="00D33CAD">
      <w:pPr>
        <w:pStyle w:val="ListBullet2"/>
      </w:pPr>
      <w:r w:rsidRPr="00D33CAD">
        <w:t xml:space="preserve">handle </w:t>
      </w:r>
    </w:p>
    <w:p w:rsidR="00000000" w:rsidRPr="00D33CAD" w:rsidP="00D33CAD">
      <w:pPr>
        <w:pStyle w:val="ListBullet"/>
      </w:pPr>
      <w:r w:rsidRPr="00D33CAD">
        <w:t xml:space="preserve">test procedures to assess quality of materials and products </w:t>
      </w:r>
    </w:p>
    <w:p w:rsidR="00000000" w:rsidRPr="00D33CAD" w:rsidP="00D33CAD">
      <w:pPr>
        <w:pStyle w:val="ListBullet"/>
      </w:pPr>
      <w:r w:rsidRPr="00D33CAD">
        <w:t>electronic and digital tools used in TCF supply chain, such as:</w:t>
      </w:r>
    </w:p>
    <w:p w:rsidR="00000000" w:rsidRPr="00D33CAD" w:rsidP="00D33CAD">
      <w:pPr>
        <w:pStyle w:val="ListBullet2"/>
      </w:pPr>
      <w:r w:rsidRPr="00D33CAD">
        <w:t>point of sale systems</w:t>
      </w:r>
    </w:p>
    <w:p w:rsidR="00000000" w:rsidRPr="00D33CAD" w:rsidP="00D33CAD">
      <w:pPr>
        <w:pStyle w:val="ListBullet2"/>
      </w:pPr>
      <w:r w:rsidRPr="00D33CAD">
        <w:t>design software</w:t>
      </w:r>
    </w:p>
    <w:p w:rsidR="00000000" w:rsidRPr="00D33CAD" w:rsidP="00D33CAD">
      <w:pPr>
        <w:pStyle w:val="ListBullet2"/>
      </w:pPr>
      <w:r w:rsidRPr="00D33CAD">
        <w:t>computer-aided manufacturing programs</w:t>
      </w:r>
    </w:p>
    <w:p w:rsidR="00000000" w:rsidRPr="00D33CAD" w:rsidP="00D33CAD">
      <w:pPr>
        <w:pStyle w:val="ListBullet2"/>
      </w:pPr>
      <w:r w:rsidRPr="00D33CAD">
        <w:t>just in time (JIT) programs</w:t>
      </w:r>
    </w:p>
    <w:p w:rsidR="00000000" w:rsidRPr="00D33CAD" w:rsidP="00D33CAD">
      <w:pPr>
        <w:pStyle w:val="ListBullet2"/>
      </w:pPr>
      <w:r w:rsidRPr="00D33CAD">
        <w:t>bar coding systems</w:t>
      </w:r>
    </w:p>
    <w:p w:rsidR="00000000" w:rsidRPr="00D33CAD" w:rsidP="00D33CAD">
      <w:pPr>
        <w:pStyle w:val="ListBullet2"/>
      </w:pPr>
      <w:r w:rsidRPr="00D33CAD">
        <w:t>websites</w:t>
      </w:r>
    </w:p>
    <w:p w:rsidR="00000000" w:rsidRPr="00D33CAD" w:rsidP="00D33CAD">
      <w:pPr>
        <w:pStyle w:val="ListBullet2"/>
      </w:pPr>
      <w:r w:rsidRPr="00D33CAD">
        <w:t>electronic payment systems</w:t>
      </w:r>
    </w:p>
    <w:p w:rsidR="00000000" w:rsidRPr="00D33CAD" w:rsidP="00D33CAD">
      <w:pPr>
        <w:pStyle w:val="ListBullet2"/>
      </w:pPr>
      <w:r w:rsidRPr="00D33CAD">
        <w:t>stock control systems</w:t>
      </w:r>
    </w:p>
    <w:p w:rsidR="00000000" w:rsidRPr="00D33CAD" w:rsidP="00D33CAD">
      <w:pPr>
        <w:pStyle w:val="ListBullet2"/>
      </w:pPr>
      <w:r w:rsidRPr="00D33CAD">
        <w:t>digital applications</w:t>
      </w:r>
    </w:p>
    <w:p w:rsidR="00000000" w:rsidRPr="00D33CAD" w:rsidP="00D33CAD">
      <w:pPr>
        <w:pStyle w:val="ListBullet"/>
      </w:pPr>
      <w:r w:rsidRPr="00D33CAD">
        <w:t>electronic and digital communication and recording tools appropriate for TCF supply chain, such as:</w:t>
      </w:r>
    </w:p>
    <w:p w:rsidR="00000000" w:rsidRPr="00D33CAD" w:rsidP="00D33CAD">
      <w:pPr>
        <w:pStyle w:val="ListBullet2"/>
      </w:pPr>
      <w:r w:rsidRPr="00D33CAD">
        <w:t>email</w:t>
      </w:r>
    </w:p>
    <w:p w:rsidR="00000000" w:rsidRPr="00D33CAD" w:rsidP="00D33CAD">
      <w:pPr>
        <w:pStyle w:val="ListBullet2"/>
      </w:pPr>
      <w:r w:rsidRPr="00D33CAD">
        <w:t>websites</w:t>
      </w:r>
    </w:p>
    <w:p w:rsidR="00000000" w:rsidRPr="00D33CAD" w:rsidP="00D33CAD">
      <w:pPr>
        <w:pStyle w:val="ListBullet2"/>
      </w:pPr>
      <w:r w:rsidRPr="00D33CAD">
        <w:t>documentation systems</w:t>
      </w:r>
    </w:p>
    <w:p w:rsidR="00000000" w:rsidRPr="00D33CAD" w:rsidP="00D33CAD">
      <w:pPr>
        <w:pStyle w:val="ListBullet2"/>
      </w:pPr>
      <w:r w:rsidRPr="00D33CAD">
        <w:t>order systems</w:t>
      </w:r>
    </w:p>
    <w:p w:rsidR="00000000" w:rsidRPr="00D33CAD" w:rsidP="00D33CAD">
      <w:pPr>
        <w:pStyle w:val="ListBullet"/>
      </w:pPr>
      <w:r w:rsidRPr="00D33CAD">
        <w:t>cata</w:t>
      </w:r>
      <w:r w:rsidRPr="00D33CAD">
        <w:t>logues</w:t>
      </w:r>
    </w:p>
    <w:p w:rsidR="00000000" w:rsidRPr="00D33CAD" w:rsidP="00D33CAD">
      <w:pPr>
        <w:pStyle w:val="ListBullet"/>
      </w:pPr>
      <w:r w:rsidRPr="00D33CAD">
        <w:t>workplace procedures</w:t>
      </w:r>
    </w:p>
    <w:p w:rsidR="00000000" w:rsidRPr="00D33CAD" w:rsidP="00D33CAD">
      <w:pPr>
        <w:pStyle w:val="ListBullet"/>
      </w:pPr>
      <w:r w:rsidRPr="00D33CAD">
        <w:t>recording and reporting practices.</w:t>
      </w:r>
    </w:p>
    <w:p w:rsidR="00000000" w:rsidRPr="00D33CAD" w:rsidP="00D33CAD">
      <w:pPr>
        <w:pStyle w:val="AllowPageBreak"/>
      </w:pPr>
    </w:p>
    <w:p w:rsidR="00000000" w:rsidRPr="00D33CAD" w:rsidP="00D33CAD">
      <w:pPr>
        <w:pStyle w:val="Heading1"/>
      </w:pPr>
      <w:bookmarkStart w:id="14" w:name="O_1050242"/>
      <w:bookmarkEnd w:id="14"/>
      <w:r w:rsidRPr="00D33CAD">
        <w:t>Assessment Conditions</w:t>
      </w:r>
    </w:p>
    <w:p w:rsidR="00000000" w:rsidRPr="00D33CAD" w:rsidP="00D33CAD">
      <w:pPr>
        <w:pStyle w:val="ListBullet"/>
      </w:pPr>
      <w:r w:rsidRPr="00D33CAD">
        <w:t>Assessors must:</w:t>
      </w:r>
    </w:p>
    <w:p w:rsidR="00000000" w:rsidRPr="00D33CAD" w:rsidP="00D33CAD">
      <w:pPr>
        <w:pStyle w:val="ListBullet2"/>
      </w:pPr>
      <w:r w:rsidRPr="00D33CAD">
        <w:t>satisfy the assessor competency requirements that are in place at the time of the assessment, as set by the VET regulator</w:t>
      </w:r>
    </w:p>
    <w:p w:rsidR="00000000" w:rsidRPr="00D33CAD" w:rsidP="00D33CAD">
      <w:pPr>
        <w:pStyle w:val="ListBullet2"/>
      </w:pPr>
      <w:r w:rsidRPr="00D33CAD">
        <w:t>have vocational competency in applying TCF market supply systems, at least to the level being assessed, with relevant industry knowledge and experience.</w:t>
      </w:r>
    </w:p>
    <w:p w:rsidR="00000000" w:rsidRPr="00D33CAD" w:rsidP="00D33CAD">
      <w:pPr>
        <w:pStyle w:val="ListBullet"/>
      </w:pPr>
      <w:r w:rsidRPr="00D33CAD">
        <w:t>Assessment should occur in operational workplace situations. Where this is not possible, or where pers</w:t>
      </w:r>
      <w:r w:rsidRPr="00D33CAD">
        <w:t>onal safety or environmental damage are limiting factors, assessment must occur in a sufficiently rigorous simulated environment reflecting realistic operational workplace conditions. This must cover all aspects of workplace performance, including environm</w:t>
      </w:r>
      <w:r w:rsidRPr="00D33CAD">
        <w:t>ent, task skills, task management skills, contingency management skills and job role environment skills.</w:t>
      </w:r>
    </w:p>
    <w:p w:rsidR="00000000" w:rsidRPr="00D33CAD" w:rsidP="00D33CAD">
      <w:pPr>
        <w:pStyle w:val="ListBullet"/>
      </w:pPr>
      <w:r w:rsidRPr="00D33CAD">
        <w:t>Assessment processes and techniques must be appropriate to the language, literacy and numeracy requirements of the work being performed and the needs o</w:t>
      </w:r>
      <w:r w:rsidRPr="00D33CAD">
        <w:t>f the candidate.</w:t>
      </w:r>
    </w:p>
    <w:p w:rsidR="00000000" w:rsidRPr="00D33CAD" w:rsidP="00D33CAD">
      <w:pPr>
        <w:pStyle w:val="ListBullet"/>
      </w:pPr>
      <w:r w:rsidRPr="00D33CAD">
        <w:t>Conditions for assessment must include access to all tools, equipment, materials and documentation required, including relevant workplace procedures, product and manufacturing specifications associated with this unit.</w:t>
      </w:r>
    </w:p>
    <w:p w:rsidR="00000000" w:rsidRPr="00D33CAD" w:rsidP="00D33CAD">
      <w:pPr>
        <w:pStyle w:val="ListBullet"/>
      </w:pPr>
      <w:r w:rsidRPr="00D33CAD">
        <w:t>The unit is applicabl</w:t>
      </w:r>
      <w:r w:rsidRPr="00D33CAD">
        <w:t>e to all TCF sectors and assessment must ensure it is delivered to suit the industry it is being applied to.</w:t>
      </w:r>
    </w:p>
    <w:p w:rsidR="00000000" w:rsidRPr="00D33CAD" w:rsidP="00D33CAD">
      <w:pPr>
        <w:pStyle w:val="AllowPageBreak"/>
      </w:pPr>
    </w:p>
    <w:p w:rsidR="00000000" w:rsidRPr="00D33CAD" w:rsidP="00D33CAD">
      <w:pPr>
        <w:pStyle w:val="Heading1"/>
      </w:pPr>
      <w:bookmarkStart w:id="15" w:name="O_1050257"/>
      <w:bookmarkEnd w:id="15"/>
      <w:r w:rsidRPr="00D33CAD">
        <w:t>Links</w:t>
      </w:r>
    </w:p>
    <w:p w:rsidR="00000000" w:rsidRPr="00D33CAD" w:rsidP="00EA64BF">
      <w:pPr>
        <w:pStyle w:val="BodyText"/>
      </w:pPr>
      <w:r w:rsidRPr="00D33CA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C2982">
        <w:rPr>
          <w:rStyle w:val="Hyperlink"/>
        </w:rPr>
        <w:t>https://vetnet.gov.au/Pages/TrainingDocs.aspx?q=a203ec5c-de7d-406b-b3e1-8f1a9b76e92e</w:t>
      </w:r>
      <w:r>
        <w:fldChar w:fldCharType="end"/>
      </w:r>
    </w:p>
    <w:p w:rsidR="00000000" w:rsidRPr="00D33CAD" w:rsidP="00D33CAD"/>
    <w:sectPr w:rsidSect="00D33C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AD" w:rsidRPr="00EA64BF" w:rsidP="00EA6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4BF" w:rsidP="00D33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A64BF" w:rsidP="00D33C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64BF" w:rsidP="00D33C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AD" w:rsidP="00D33CAD">
    <w:pPr>
      <w:pStyle w:val="Footer"/>
      <w:framePr w:wrap="around"/>
    </w:pPr>
    <w:r>
      <w:fldChar w:fldCharType="begin"/>
    </w:r>
    <w:r>
      <w:instrText xml:space="preserve"> DOCPROPERTY  Subject  \* MERGEFORMAT </w:instrText>
    </w:r>
    <w:r>
      <w:fldChar w:fldCharType="separate"/>
    </w:r>
    <w:r w:rsidR="00EA64BF">
      <w:t>Approved</w:t>
    </w:r>
    <w:r w:rsidR="00EA64BF">
      <w:fldChar w:fldCharType="end"/>
    </w:r>
    <w:r>
      <w:tab/>
      <w:t xml:space="preserve">Page </w:t>
    </w:r>
    <w:r>
      <w:fldChar w:fldCharType="begin"/>
    </w:r>
    <w:r>
      <w:instrText xml:space="preserve"> PAGE  \* Arabic  \* MERGEFORMAT </w:instrText>
    </w:r>
    <w:r>
      <w:fldChar w:fldCharType="separate"/>
    </w:r>
    <w:r w:rsidR="00EA64B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64BF">
      <w:rPr>
        <w:noProof/>
      </w:rPr>
      <w:t>7</w:t>
    </w:r>
    <w:r>
      <w:rPr>
        <w:noProof/>
      </w:rPr>
      <w:fldChar w:fldCharType="end"/>
    </w:r>
  </w:p>
  <w:p w:rsidR="00D33CAD" w:rsidP="00D33CAD">
    <w:pPr>
      <w:pStyle w:val="Footer"/>
      <w:framePr w:wrap="around"/>
    </w:pPr>
    <w:r>
      <w:t xml:space="preserve">© Commonwealth of Australia, </w:t>
    </w:r>
    <w:r>
      <w:fldChar w:fldCharType="begin"/>
    </w:r>
    <w:r>
      <w:instrText xml:space="preserve"> DATE  \@ "yyyy"  \* MERGEFORMAT </w:instrText>
    </w:r>
    <w:r>
      <w:fldChar w:fldCharType="separate"/>
    </w:r>
    <w:r w:rsidR="00EA64BF">
      <w:rPr>
        <w:noProof/>
      </w:rPr>
      <w:t>2025</w:t>
    </w:r>
    <w:r>
      <w:fldChar w:fldCharType="end"/>
    </w:r>
    <w:r>
      <w:tab/>
    </w:r>
    <w:r>
      <w:fldChar w:fldCharType="begin"/>
    </w:r>
    <w:r>
      <w:instrText xml:space="preserve"> DOCPROPERTY  Author  \* MERGEFORMAT </w:instrText>
    </w:r>
    <w:r>
      <w:fldChar w:fldCharType="separate"/>
    </w:r>
    <w:r w:rsidR="00EA64BF">
      <w:t>Skills Insight</w:t>
    </w:r>
    <w:r w:rsidR="00EA64BF">
      <w:fldChar w:fldCharType="end"/>
    </w:r>
  </w:p>
  <w:p w:rsidR="00D33CAD" w:rsidP="00D33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CAD" w:rsidRPr="00EA64BF" w:rsidP="00EA6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4BF" w:rsidRPr="002D2AF8" w:rsidP="00D33CAD">
    <w:pPr>
      <w:pStyle w:val="Header"/>
      <w:framePr w:wrap="around"/>
    </w:pPr>
    <w:r>
      <w:fldChar w:fldCharType="begin"/>
    </w:r>
    <w:r>
      <w:instrText xml:space="preserve"> TITLE   \* MERGEFORMAT </w:instrText>
    </w:r>
    <w:r>
      <w:fldChar w:fldCharType="separate"/>
    </w:r>
    <w:r>
      <w:t>MSTGN4006 Apply TCF market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64BF" w:rsidP="00D33C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AD" w:rsidRPr="002D2AF8" w:rsidP="00D33CAD">
    <w:pPr>
      <w:pStyle w:val="Header"/>
      <w:framePr w:wrap="around"/>
    </w:pPr>
    <w:r>
      <w:fldChar w:fldCharType="begin"/>
    </w:r>
    <w:r>
      <w:instrText xml:space="preserve"> TITLE   \* MERGEFORMAT </w:instrText>
    </w:r>
    <w:r>
      <w:fldChar w:fldCharType="separate"/>
    </w:r>
    <w:r w:rsidR="00EA64BF">
      <w:t>MSTGN4006 Apply TCF market supply systems</w:t>
    </w:r>
    <w:r w:rsidR="00EA64BF">
      <w:fldChar w:fldCharType="end"/>
    </w:r>
    <w:r>
      <w:tab/>
      <w:t xml:space="preserve">Date this document was generated: </w:t>
    </w:r>
    <w:r>
      <w:fldChar w:fldCharType="begin"/>
    </w:r>
    <w:r>
      <w:instrText xml:space="preserve"> CREATEDATE  \@ "d MMMM yyyy"  \* MERGEFORMAT </w:instrText>
    </w:r>
    <w:r>
      <w:fldChar w:fldCharType="separate"/>
    </w:r>
    <w:r w:rsidR="00EA64BF">
      <w:rPr>
        <w:noProof/>
      </w:rPr>
      <w:t>2 March 2025</w:t>
    </w:r>
    <w:r>
      <w:fldChar w:fldCharType="end"/>
    </w:r>
  </w:p>
  <w:p w:rsidR="00D33CAD" w:rsidP="00D33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8C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3CD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8A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CAD"/>
    <w:pPr>
      <w:spacing w:before="360" w:after="60"/>
      <w:outlineLvl w:val="0"/>
    </w:pPr>
    <w:rPr>
      <w:sz w:val="32"/>
    </w:rPr>
  </w:style>
  <w:style w:type="paragraph" w:styleId="Heading2">
    <w:name w:val="heading 2"/>
    <w:basedOn w:val="HeadingBase"/>
    <w:next w:val="BodyText"/>
    <w:link w:val="Heading2Char"/>
    <w:qFormat/>
    <w:rsid w:val="00D33CAD"/>
    <w:pPr>
      <w:keepLines/>
      <w:spacing w:before="240" w:after="120"/>
      <w:outlineLvl w:val="1"/>
    </w:pPr>
    <w:rPr>
      <w:sz w:val="28"/>
      <w:szCs w:val="40"/>
    </w:rPr>
  </w:style>
  <w:style w:type="paragraph" w:styleId="Heading3">
    <w:name w:val="heading 3"/>
    <w:basedOn w:val="HeadingBase"/>
    <w:next w:val="BodyText"/>
    <w:link w:val="Heading3Char"/>
    <w:qFormat/>
    <w:rsid w:val="00D33CAD"/>
    <w:pPr>
      <w:spacing w:before="180" w:after="120"/>
      <w:outlineLvl w:val="2"/>
    </w:pPr>
    <w:rPr>
      <w:spacing w:val="-10"/>
      <w:kern w:val="32"/>
    </w:rPr>
  </w:style>
  <w:style w:type="paragraph" w:styleId="Heading4">
    <w:name w:val="heading 4"/>
    <w:basedOn w:val="HeadingBase"/>
    <w:next w:val="BodyText"/>
    <w:link w:val="Heading4Char"/>
    <w:qFormat/>
    <w:rsid w:val="00D33CAD"/>
    <w:pPr>
      <w:spacing w:before="160" w:after="120"/>
      <w:outlineLvl w:val="3"/>
    </w:pPr>
    <w:rPr>
      <w:sz w:val="22"/>
    </w:rPr>
  </w:style>
  <w:style w:type="paragraph" w:styleId="Heading5">
    <w:name w:val="heading 5"/>
    <w:basedOn w:val="HeadingBase"/>
    <w:next w:val="Normal"/>
    <w:link w:val="Heading5Char"/>
    <w:qFormat/>
    <w:rsid w:val="00D33CAD"/>
    <w:pPr>
      <w:spacing w:before="80"/>
      <w:outlineLvl w:val="4"/>
    </w:pPr>
    <w:rPr>
      <w:color w:val="918585"/>
      <w:sz w:val="20"/>
    </w:rPr>
  </w:style>
  <w:style w:type="paragraph" w:styleId="Heading6">
    <w:name w:val="heading 6"/>
    <w:basedOn w:val="HeadingBase"/>
    <w:next w:val="Normal"/>
    <w:link w:val="Heading6Char"/>
    <w:qFormat/>
    <w:rsid w:val="00D33CAD"/>
    <w:pPr>
      <w:spacing w:before="60"/>
      <w:outlineLvl w:val="5"/>
    </w:pPr>
    <w:rPr>
      <w:color w:val="918585"/>
      <w:sz w:val="20"/>
    </w:rPr>
  </w:style>
  <w:style w:type="paragraph" w:styleId="Heading7">
    <w:name w:val="heading 7"/>
    <w:basedOn w:val="Normal"/>
    <w:next w:val="Normal"/>
    <w:link w:val="Heading7Char"/>
    <w:qFormat/>
    <w:rsid w:val="00D33CAD"/>
    <w:pPr>
      <w:ind w:left="720"/>
      <w:outlineLvl w:val="6"/>
    </w:pPr>
    <w:rPr>
      <w:i/>
    </w:rPr>
  </w:style>
  <w:style w:type="paragraph" w:styleId="Heading8">
    <w:name w:val="heading 8"/>
    <w:basedOn w:val="Normal"/>
    <w:next w:val="Normal"/>
    <w:link w:val="Heading8Char"/>
    <w:qFormat/>
    <w:rsid w:val="00D33CAD"/>
    <w:pPr>
      <w:ind w:left="720"/>
      <w:outlineLvl w:val="7"/>
    </w:pPr>
    <w:rPr>
      <w:i/>
    </w:rPr>
  </w:style>
  <w:style w:type="paragraph" w:styleId="Heading9">
    <w:name w:val="heading 9"/>
    <w:basedOn w:val="Normal"/>
    <w:next w:val="Normal"/>
    <w:link w:val="Heading9Char"/>
    <w:qFormat/>
    <w:rsid w:val="00D33CAD"/>
    <w:pPr>
      <w:ind w:left="720"/>
      <w:outlineLvl w:val="8"/>
    </w:pPr>
    <w:rPr>
      <w:i/>
    </w:rPr>
  </w:style>
  <w:style w:type="character" w:default="1" w:styleId="DefaultParagraphFont">
    <w:name w:val="Default Paragraph Font"/>
    <w:uiPriority w:val="1"/>
    <w:unhideWhenUsed/>
    <w:rsid w:val="00D33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CAD"/>
  </w:style>
  <w:style w:type="character" w:customStyle="1" w:styleId="Heading1Char">
    <w:name w:val="Heading 1 Char"/>
    <w:basedOn w:val="DefaultParagraphFont"/>
    <w:link w:val="Heading1"/>
    <w:rsid w:val="00D33CAD"/>
    <w:rPr>
      <w:rFonts w:ascii="Times New Roman" w:eastAsia="Times New Roman" w:hAnsi="Times New Roman" w:cs="Times New Roman"/>
      <w:b/>
      <w:sz w:val="32"/>
      <w:szCs w:val="20"/>
      <w:lang w:eastAsia="en-US"/>
    </w:rPr>
  </w:style>
  <w:style w:type="paragraph" w:styleId="BodyText">
    <w:name w:val="Body Text"/>
    <w:basedOn w:val="Normal"/>
    <w:link w:val="BodyTextChar"/>
    <w:rsid w:val="00D33C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CAD"/>
    <w:rPr>
      <w:rFonts w:ascii="Times New Roman" w:eastAsia="Times New Roman" w:hAnsi="Times New Roman" w:cs="Times New Roman"/>
      <w:sz w:val="24"/>
      <w:lang w:eastAsia="en-US"/>
    </w:rPr>
  </w:style>
  <w:style w:type="paragraph" w:styleId="ListBullet">
    <w:name w:val="List Bullet"/>
    <w:basedOn w:val="List"/>
    <w:rsid w:val="00D33CAD"/>
    <w:pPr>
      <w:numPr>
        <w:numId w:val="12"/>
      </w:numPr>
      <w:tabs>
        <w:tab w:val="clear" w:pos="340"/>
      </w:tabs>
      <w:spacing w:before="40" w:after="40"/>
    </w:pPr>
  </w:style>
  <w:style w:type="character" w:customStyle="1" w:styleId="SpecialBold">
    <w:name w:val="Special Bold"/>
    <w:basedOn w:val="DefaultParagraphFont"/>
    <w:rsid w:val="00D33CAD"/>
    <w:rPr>
      <w:b/>
      <w:spacing w:val="0"/>
    </w:rPr>
  </w:style>
  <w:style w:type="paragraph" w:styleId="ListBullet2">
    <w:name w:val="List Bullet 2"/>
    <w:basedOn w:val="List2"/>
    <w:rsid w:val="00D33CAD"/>
    <w:pPr>
      <w:numPr>
        <w:numId w:val="13"/>
      </w:numPr>
      <w:tabs>
        <w:tab w:val="clear" w:pos="680"/>
      </w:tabs>
    </w:pPr>
  </w:style>
  <w:style w:type="paragraph" w:customStyle="1" w:styleId="SuperHeading">
    <w:name w:val="SuperHeading"/>
    <w:basedOn w:val="Normal"/>
    <w:rsid w:val="00D33CAD"/>
    <w:pPr>
      <w:spacing w:before="240" w:after="120"/>
      <w:outlineLvl w:val="0"/>
    </w:pPr>
    <w:rPr>
      <w:rFonts w:ascii="Times New Roman" w:hAnsi="Times New Roman"/>
      <w:b/>
      <w:sz w:val="32"/>
    </w:rPr>
  </w:style>
  <w:style w:type="paragraph" w:customStyle="1" w:styleId="AllowPageBreak">
    <w:name w:val="AllowPageBreak"/>
    <w:rsid w:val="00D33C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CAD"/>
    <w:rPr>
      <w:rFonts w:ascii="Courier New" w:eastAsia="Times New Roman" w:hAnsi="Courier New" w:cs="Times New Roman"/>
      <w:i/>
      <w:szCs w:val="20"/>
      <w:lang w:eastAsia="en-US"/>
    </w:rPr>
  </w:style>
  <w:style w:type="paragraph" w:customStyle="1" w:styleId="HeadingBase">
    <w:name w:val="Heading Base"/>
    <w:rsid w:val="00D33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CAD"/>
    <w:pPr>
      <w:tabs>
        <w:tab w:val="right" w:leader="dot" w:pos="9072"/>
      </w:tabs>
      <w:ind w:left="567"/>
    </w:pPr>
    <w:rPr>
      <w:szCs w:val="22"/>
    </w:rPr>
  </w:style>
  <w:style w:type="paragraph" w:customStyle="1" w:styleId="TOCBase">
    <w:name w:val="TOC Base"/>
    <w:rsid w:val="00D33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CAD"/>
    <w:pPr>
      <w:tabs>
        <w:tab w:val="right" w:leader="dot" w:pos="9072"/>
      </w:tabs>
      <w:spacing w:before="40" w:after="40"/>
      <w:ind w:left="284"/>
    </w:pPr>
    <w:rPr>
      <w:rFonts w:ascii="Times New Roman" w:hAnsi="Times New Roman"/>
    </w:rPr>
  </w:style>
  <w:style w:type="paragraph" w:styleId="TOC1">
    <w:name w:val="toc 1"/>
    <w:basedOn w:val="TOCBase"/>
    <w:next w:val="Normal"/>
    <w:rsid w:val="00D33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CAD"/>
    <w:rPr>
      <w:rFonts w:ascii="Times New Roman" w:eastAsia="Times New Roman" w:hAnsi="Times New Roman" w:cs="Times New Roman"/>
      <w:sz w:val="16"/>
      <w:lang w:eastAsia="en-US"/>
    </w:rPr>
  </w:style>
  <w:style w:type="paragraph" w:styleId="Title">
    <w:name w:val="Title"/>
    <w:basedOn w:val="HeadingBase"/>
    <w:link w:val="TitleChar"/>
    <w:qFormat/>
    <w:rsid w:val="00D33CAD"/>
    <w:pPr>
      <w:spacing w:before="5040"/>
      <w:jc w:val="center"/>
    </w:pPr>
    <w:rPr>
      <w:sz w:val="48"/>
      <w:szCs w:val="72"/>
      <w:lang w:val="en-US"/>
    </w:rPr>
  </w:style>
  <w:style w:type="character" w:customStyle="1" w:styleId="TitleChar">
    <w:name w:val="Title Char"/>
    <w:basedOn w:val="DefaultParagraphFont"/>
    <w:link w:val="Title"/>
    <w:rsid w:val="00D33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CAD"/>
    <w:pPr>
      <w:tabs>
        <w:tab w:val="left" w:pos="3600"/>
        <w:tab w:val="left" w:pos="3958"/>
      </w:tabs>
    </w:pPr>
  </w:style>
  <w:style w:type="paragraph" w:styleId="List">
    <w:name w:val="List"/>
    <w:basedOn w:val="BodyText"/>
    <w:next w:val="BodyText"/>
    <w:rsid w:val="00D33CAD"/>
    <w:pPr>
      <w:tabs>
        <w:tab w:val="left" w:pos="340"/>
      </w:tabs>
      <w:spacing w:before="60" w:after="60"/>
      <w:ind w:left="340" w:hanging="340"/>
    </w:pPr>
  </w:style>
  <w:style w:type="paragraph" w:customStyle="1" w:styleId="Note">
    <w:name w:val="Note"/>
    <w:basedOn w:val="BodyText"/>
    <w:rsid w:val="00D33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CAD"/>
    <w:pPr>
      <w:framePr w:wrap="auto" w:hAnchor="text" w:y="6049"/>
    </w:pPr>
    <w:rPr>
      <w:color w:val="000000"/>
      <w:sz w:val="40"/>
    </w:rPr>
  </w:style>
  <w:style w:type="paragraph" w:customStyle="1" w:styleId="TOCTitle">
    <w:name w:val="TOCTitle"/>
    <w:basedOn w:val="Heading1"/>
    <w:rsid w:val="00D33CAD"/>
    <w:pPr>
      <w:spacing w:after="240"/>
      <w:jc w:val="center"/>
      <w:outlineLvl w:val="9"/>
    </w:pPr>
    <w:rPr>
      <w:caps/>
    </w:rPr>
  </w:style>
  <w:style w:type="paragraph" w:customStyle="1" w:styleId="Version">
    <w:name w:val="Version"/>
    <w:rsid w:val="00D33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CAD"/>
    <w:pPr>
      <w:keepNext w:val="0"/>
      <w:tabs>
        <w:tab w:val="right" w:pos="4176"/>
      </w:tabs>
      <w:ind w:left="198" w:hanging="198"/>
    </w:pPr>
    <w:rPr>
      <w:rFonts w:ascii="Garamond" w:hAnsi="Garamond"/>
    </w:rPr>
  </w:style>
  <w:style w:type="paragraph" w:styleId="IndexHeading">
    <w:name w:val="index heading"/>
    <w:basedOn w:val="Normal"/>
    <w:next w:val="Index1"/>
    <w:semiHidden/>
    <w:rsid w:val="00D33CAD"/>
    <w:pPr>
      <w:spacing w:before="120" w:after="120"/>
    </w:pPr>
    <w:rPr>
      <w:rFonts w:ascii="Arial" w:hAnsi="Arial"/>
      <w:b/>
      <w:color w:val="918585"/>
      <w:sz w:val="24"/>
    </w:rPr>
  </w:style>
  <w:style w:type="paragraph" w:styleId="Header">
    <w:name w:val="header"/>
    <w:basedOn w:val="Normal"/>
    <w:link w:val="HeaderChar"/>
    <w:rsid w:val="00D33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CAD"/>
    <w:rPr>
      <w:rFonts w:ascii="Times New Roman" w:eastAsia="Times New Roman" w:hAnsi="Times New Roman" w:cs="Times New Roman"/>
      <w:sz w:val="16"/>
      <w:szCs w:val="20"/>
      <w:lang w:val="en-GB" w:eastAsia="en-US"/>
    </w:rPr>
  </w:style>
  <w:style w:type="paragraph" w:customStyle="1" w:styleId="Chapter">
    <w:name w:val="Chapter"/>
    <w:basedOn w:val="Normal"/>
    <w:rsid w:val="00D33CAD"/>
    <w:pPr>
      <w:spacing w:before="240"/>
    </w:pPr>
    <w:rPr>
      <w:rFonts w:ascii="Times New Roman" w:hAnsi="Times New Roman"/>
      <w:smallCaps/>
      <w:spacing w:val="80"/>
      <w:sz w:val="28"/>
    </w:rPr>
  </w:style>
  <w:style w:type="paragraph" w:customStyle="1" w:styleId="InChapter">
    <w:name w:val="InChapter"/>
    <w:basedOn w:val="Heading3"/>
    <w:rsid w:val="00D33CAD"/>
    <w:pPr>
      <w:spacing w:after="240"/>
      <w:outlineLvl w:val="9"/>
    </w:pPr>
    <w:rPr>
      <w:noProof/>
    </w:rPr>
  </w:style>
  <w:style w:type="paragraph" w:styleId="Index2">
    <w:name w:val="index 2"/>
    <w:basedOn w:val="Normal"/>
    <w:next w:val="Normal"/>
    <w:semiHidden/>
    <w:rsid w:val="00D33CAD"/>
    <w:pPr>
      <w:tabs>
        <w:tab w:val="right" w:pos="4176"/>
      </w:tabs>
      <w:ind w:left="568" w:hanging="284"/>
    </w:pPr>
    <w:rPr>
      <w:rFonts w:ascii="Garamond" w:hAnsi="Garamond"/>
    </w:rPr>
  </w:style>
  <w:style w:type="paragraph" w:customStyle="1" w:styleId="Byline">
    <w:name w:val="Byline"/>
    <w:rsid w:val="00D33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CAD"/>
    <w:pPr>
      <w:tabs>
        <w:tab w:val="clear" w:pos="3600"/>
        <w:tab w:val="clear" w:pos="3958"/>
      </w:tabs>
      <w:jc w:val="right"/>
    </w:pPr>
  </w:style>
  <w:style w:type="character" w:styleId="Emphasis">
    <w:name w:val="Emphasis"/>
    <w:basedOn w:val="DefaultParagraphFont"/>
    <w:qFormat/>
    <w:rsid w:val="00D33CAD"/>
    <w:rPr>
      <w:i/>
    </w:rPr>
  </w:style>
  <w:style w:type="paragraph" w:styleId="Caption">
    <w:name w:val="caption"/>
    <w:basedOn w:val="BodyText"/>
    <w:next w:val="Normal"/>
    <w:qFormat/>
    <w:rsid w:val="00D33CAD"/>
    <w:pPr>
      <w:framePr w:w="2268" w:hSpace="181" w:vSpace="181" w:wrap="around" w:vAnchor="text" w:hAnchor="page" w:x="1135" w:y="285" w:anchorLock="1"/>
    </w:pPr>
    <w:rPr>
      <w:i/>
    </w:rPr>
  </w:style>
  <w:style w:type="paragraph" w:customStyle="1" w:styleId="MiniTOCTitle">
    <w:name w:val="MiniTOCTitle"/>
    <w:basedOn w:val="Heading4"/>
    <w:rsid w:val="00D33CAD"/>
    <w:pPr>
      <w:spacing w:before="240"/>
      <w:outlineLvl w:val="9"/>
    </w:pPr>
    <w:rPr>
      <w:noProof/>
      <w:sz w:val="24"/>
    </w:rPr>
  </w:style>
  <w:style w:type="paragraph" w:customStyle="1" w:styleId="MiniTOCItem">
    <w:name w:val="MiniTOCItem"/>
    <w:basedOn w:val="ListBullet"/>
    <w:rsid w:val="00D33CAD"/>
    <w:pPr>
      <w:numPr>
        <w:numId w:val="0"/>
      </w:numPr>
      <w:tabs>
        <w:tab w:val="right" w:leader="dot" w:pos="6521"/>
      </w:tabs>
      <w:spacing w:before="0" w:after="0"/>
    </w:pPr>
  </w:style>
  <w:style w:type="paragraph" w:customStyle="1" w:styleId="TOFTitle">
    <w:name w:val="TOFTitle"/>
    <w:basedOn w:val="TOCTitle"/>
    <w:rsid w:val="00D33CAD"/>
  </w:style>
  <w:style w:type="paragraph" w:styleId="TableofFigures">
    <w:name w:val="table of figures"/>
    <w:basedOn w:val="Normal"/>
    <w:next w:val="Normal"/>
    <w:semiHidden/>
    <w:rsid w:val="00D33CAD"/>
    <w:pPr>
      <w:tabs>
        <w:tab w:val="right" w:leader="dot" w:pos="9072"/>
      </w:tabs>
      <w:ind w:left="970" w:hanging="403"/>
    </w:pPr>
    <w:rPr>
      <w:rFonts w:ascii="Times New Roman" w:hAnsi="Times New Roman"/>
      <w:b/>
    </w:rPr>
  </w:style>
  <w:style w:type="paragraph" w:styleId="ListNumber">
    <w:name w:val="List Number"/>
    <w:basedOn w:val="List"/>
    <w:rsid w:val="00D33CAD"/>
    <w:pPr>
      <w:numPr>
        <w:numId w:val="15"/>
      </w:numPr>
      <w:tabs>
        <w:tab w:val="clear" w:pos="340"/>
      </w:tabs>
    </w:pPr>
  </w:style>
  <w:style w:type="character" w:customStyle="1" w:styleId="WingdingSymbols">
    <w:name w:val="Wingding Symbols"/>
    <w:rsid w:val="00D33CAD"/>
    <w:rPr>
      <w:rFonts w:ascii="Wingdings" w:hAnsi="Wingdings"/>
    </w:rPr>
  </w:style>
  <w:style w:type="paragraph" w:customStyle="1" w:styleId="TableHeading">
    <w:name w:val="Table Heading"/>
    <w:basedOn w:val="HeadingBase"/>
    <w:rsid w:val="00D33CAD"/>
    <w:pPr>
      <w:keepLines/>
      <w:pBdr>
        <w:bottom w:val="single" w:sz="6" w:space="1" w:color="918585"/>
      </w:pBdr>
      <w:spacing w:before="240"/>
    </w:pPr>
  </w:style>
  <w:style w:type="character" w:customStyle="1" w:styleId="HotSpot">
    <w:name w:val="HotSpot"/>
    <w:rsid w:val="00D33CAD"/>
    <w:rPr>
      <w:color w:val="0033CC"/>
      <w:u w:val="none"/>
    </w:rPr>
  </w:style>
  <w:style w:type="paragraph" w:customStyle="1" w:styleId="BodyTextRight">
    <w:name w:val="Body Text Right"/>
    <w:basedOn w:val="BodyText"/>
    <w:rsid w:val="00D33CAD"/>
    <w:pPr>
      <w:spacing w:before="0" w:after="0"/>
      <w:jc w:val="right"/>
    </w:pPr>
  </w:style>
  <w:style w:type="paragraph" w:styleId="Index3">
    <w:name w:val="index 3"/>
    <w:basedOn w:val="ListNumber2"/>
    <w:next w:val="Normal"/>
    <w:semiHidden/>
    <w:rsid w:val="00D33CAD"/>
    <w:pPr>
      <w:numPr>
        <w:numId w:val="0"/>
      </w:numPr>
      <w:tabs>
        <w:tab w:val="right" w:leader="dot" w:pos="4176"/>
      </w:tabs>
    </w:pPr>
  </w:style>
  <w:style w:type="paragraph" w:styleId="ListNumber2">
    <w:name w:val="List Number 2"/>
    <w:basedOn w:val="List2"/>
    <w:rsid w:val="00D33CAD"/>
    <w:pPr>
      <w:numPr>
        <w:numId w:val="10"/>
      </w:numPr>
      <w:tabs>
        <w:tab w:val="clear" w:pos="1060"/>
      </w:tabs>
    </w:pPr>
  </w:style>
  <w:style w:type="paragraph" w:customStyle="1" w:styleId="MarginNote">
    <w:name w:val="Margin Note"/>
    <w:basedOn w:val="BodyText"/>
    <w:rsid w:val="00D33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CAD"/>
    <w:rPr>
      <w:sz w:val="32"/>
    </w:rPr>
  </w:style>
  <w:style w:type="paragraph" w:customStyle="1" w:styleId="HeadingProcedure">
    <w:name w:val="Heading Procedure"/>
    <w:basedOn w:val="HeadingBase"/>
    <w:next w:val="Normal"/>
    <w:rsid w:val="00D33CAD"/>
    <w:pPr>
      <w:tabs>
        <w:tab w:val="left" w:pos="0"/>
      </w:tabs>
      <w:spacing w:before="120" w:after="60"/>
    </w:pPr>
    <w:rPr>
      <w:i/>
      <w:color w:val="918585"/>
      <w:sz w:val="22"/>
    </w:rPr>
  </w:style>
  <w:style w:type="paragraph" w:customStyle="1" w:styleId="TableBodyText">
    <w:name w:val="Table Body Text"/>
    <w:basedOn w:val="BodyText"/>
    <w:rsid w:val="00D33CAD"/>
    <w:pPr>
      <w:spacing w:before="60" w:after="60"/>
    </w:pPr>
  </w:style>
  <w:style w:type="paragraph" w:styleId="ListContinue">
    <w:name w:val="List Continue"/>
    <w:basedOn w:val="List"/>
    <w:rsid w:val="00D33CAD"/>
    <w:pPr>
      <w:ind w:firstLine="0"/>
    </w:pPr>
  </w:style>
  <w:style w:type="paragraph" w:customStyle="1" w:styleId="ListNote">
    <w:name w:val="List Note"/>
    <w:basedOn w:val="List"/>
    <w:rsid w:val="00D33CAD"/>
    <w:pPr>
      <w:pBdr>
        <w:top w:val="single" w:sz="6" w:space="2" w:color="918585"/>
        <w:bottom w:val="single" w:sz="6" w:space="2" w:color="918585"/>
      </w:pBdr>
      <w:tabs>
        <w:tab w:val="left" w:pos="1021"/>
      </w:tabs>
      <w:ind w:firstLine="0"/>
    </w:pPr>
  </w:style>
  <w:style w:type="paragraph" w:customStyle="1" w:styleId="Warning">
    <w:name w:val="Warning"/>
    <w:basedOn w:val="BodyText"/>
    <w:rsid w:val="00D33CAD"/>
    <w:pPr>
      <w:shd w:val="clear" w:color="auto" w:fill="D9D9D9"/>
      <w:tabs>
        <w:tab w:val="left" w:pos="992"/>
      </w:tabs>
      <w:ind w:left="119" w:right="119"/>
    </w:pPr>
    <w:rPr>
      <w:sz w:val="20"/>
    </w:rPr>
  </w:style>
  <w:style w:type="paragraph" w:customStyle="1" w:styleId="MarginIcons">
    <w:name w:val="Margin Icons"/>
    <w:basedOn w:val="BodyText"/>
    <w:rsid w:val="00D33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CAD"/>
    <w:rPr>
      <w:rFonts w:ascii="Courier New" w:hAnsi="Courier New"/>
    </w:rPr>
  </w:style>
  <w:style w:type="paragraph" w:customStyle="1" w:styleId="NoteBullet">
    <w:name w:val="Note Bullet"/>
    <w:basedOn w:val="Note"/>
    <w:rsid w:val="00D33CAD"/>
    <w:pPr>
      <w:tabs>
        <w:tab w:val="clear" w:pos="680"/>
      </w:tabs>
      <w:spacing w:before="60" w:after="60"/>
    </w:pPr>
  </w:style>
  <w:style w:type="paragraph" w:customStyle="1" w:styleId="SubHeading2">
    <w:name w:val="SubHeading2"/>
    <w:basedOn w:val="HeadingBase"/>
    <w:rsid w:val="00D33CAD"/>
    <w:pPr>
      <w:spacing w:before="240" w:after="60"/>
    </w:pPr>
    <w:rPr>
      <w:sz w:val="20"/>
    </w:rPr>
  </w:style>
  <w:style w:type="paragraph" w:customStyle="1" w:styleId="SubHeading1">
    <w:name w:val="SubHeading1"/>
    <w:basedOn w:val="HeadingBase"/>
    <w:rsid w:val="00D33CAD"/>
    <w:pPr>
      <w:spacing w:before="240" w:after="60"/>
    </w:pPr>
    <w:rPr>
      <w:color w:val="918585"/>
      <w:sz w:val="22"/>
    </w:rPr>
  </w:style>
  <w:style w:type="paragraph" w:customStyle="1" w:styleId="SideHeading">
    <w:name w:val="Side Heading"/>
    <w:basedOn w:val="HeadingBase"/>
    <w:rsid w:val="00D33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CAD"/>
    <w:pPr>
      <w:tabs>
        <w:tab w:val="num" w:pos="360"/>
      </w:tabs>
    </w:pPr>
  </w:style>
  <w:style w:type="paragraph" w:styleId="PlainText">
    <w:name w:val="Plain Text"/>
    <w:basedOn w:val="Normal"/>
    <w:link w:val="PlainTextChar"/>
    <w:rsid w:val="00D33CAD"/>
    <w:rPr>
      <w:sz w:val="20"/>
    </w:rPr>
  </w:style>
  <w:style w:type="character" w:customStyle="1" w:styleId="PlainTextChar">
    <w:name w:val="Plain Text Char"/>
    <w:basedOn w:val="DefaultParagraphFont"/>
    <w:link w:val="PlainText"/>
    <w:rsid w:val="00D33CAD"/>
    <w:rPr>
      <w:rFonts w:ascii="Courier New" w:eastAsia="Times New Roman" w:hAnsi="Courier New" w:cs="Times New Roman"/>
      <w:sz w:val="20"/>
      <w:szCs w:val="20"/>
      <w:lang w:eastAsia="en-US"/>
    </w:rPr>
  </w:style>
  <w:style w:type="character" w:customStyle="1" w:styleId="MenuOption">
    <w:name w:val="Menu Option"/>
    <w:basedOn w:val="DefaultParagraphFont"/>
    <w:rsid w:val="00D33CAD"/>
    <w:rPr>
      <w:b/>
      <w:smallCaps/>
    </w:rPr>
  </w:style>
  <w:style w:type="paragraph" w:customStyle="1" w:styleId="TableListNumber">
    <w:name w:val="Table List Number"/>
    <w:basedOn w:val="ListNumber"/>
    <w:rsid w:val="00D33CAD"/>
    <w:pPr>
      <w:numPr>
        <w:numId w:val="0"/>
      </w:numPr>
    </w:pPr>
  </w:style>
  <w:style w:type="paragraph" w:styleId="TOC4">
    <w:name w:val="toc 4"/>
    <w:basedOn w:val="TOCBase"/>
    <w:next w:val="Normal"/>
    <w:semiHidden/>
    <w:rsid w:val="00D33CAD"/>
    <w:pPr>
      <w:tabs>
        <w:tab w:val="right" w:leader="dot" w:pos="9071"/>
      </w:tabs>
      <w:ind w:left="1701"/>
    </w:pPr>
  </w:style>
  <w:style w:type="paragraph" w:customStyle="1" w:styleId="ListAlpha">
    <w:name w:val="List Alpha"/>
    <w:basedOn w:val="List"/>
    <w:rsid w:val="00D33CAD"/>
    <w:pPr>
      <w:numPr>
        <w:numId w:val="9"/>
      </w:numPr>
    </w:pPr>
  </w:style>
  <w:style w:type="paragraph" w:customStyle="1" w:styleId="ListAlpha2">
    <w:name w:val="List Alpha 2"/>
    <w:basedOn w:val="List2"/>
    <w:rsid w:val="00D33CAD"/>
    <w:pPr>
      <w:numPr>
        <w:numId w:val="8"/>
      </w:numPr>
    </w:pPr>
  </w:style>
  <w:style w:type="paragraph" w:styleId="List2">
    <w:name w:val="List 2"/>
    <w:basedOn w:val="BodyText"/>
    <w:rsid w:val="00D33CAD"/>
    <w:pPr>
      <w:tabs>
        <w:tab w:val="left" w:pos="680"/>
      </w:tabs>
      <w:spacing w:before="60" w:after="60"/>
      <w:ind w:left="680" w:hanging="340"/>
    </w:pPr>
  </w:style>
  <w:style w:type="paragraph" w:styleId="List3">
    <w:name w:val="List 3"/>
    <w:basedOn w:val="BodyText"/>
    <w:rsid w:val="00D33CAD"/>
    <w:pPr>
      <w:tabs>
        <w:tab w:val="left" w:pos="1021"/>
      </w:tabs>
      <w:spacing w:before="60" w:after="60"/>
      <w:ind w:left="1020" w:hanging="340"/>
    </w:pPr>
  </w:style>
  <w:style w:type="paragraph" w:styleId="List4">
    <w:name w:val="List 4"/>
    <w:basedOn w:val="BodyText"/>
    <w:rsid w:val="00D33CAD"/>
    <w:pPr>
      <w:tabs>
        <w:tab w:val="left" w:pos="1361"/>
      </w:tabs>
      <w:spacing w:before="60" w:after="60"/>
      <w:ind w:left="1361" w:hanging="340"/>
    </w:pPr>
  </w:style>
  <w:style w:type="paragraph" w:styleId="List5">
    <w:name w:val="List 5"/>
    <w:basedOn w:val="BodyText"/>
    <w:rsid w:val="00D33CAD"/>
    <w:pPr>
      <w:tabs>
        <w:tab w:val="left" w:pos="1701"/>
      </w:tabs>
      <w:spacing w:before="60" w:after="60"/>
      <w:ind w:left="1701" w:hanging="340"/>
    </w:pPr>
  </w:style>
  <w:style w:type="paragraph" w:styleId="ListBullet3">
    <w:name w:val="List Bullet 3"/>
    <w:basedOn w:val="List3"/>
    <w:rsid w:val="00D33CAD"/>
    <w:pPr>
      <w:numPr>
        <w:numId w:val="14"/>
      </w:numPr>
      <w:tabs>
        <w:tab w:val="clear" w:pos="1021"/>
      </w:tabs>
      <w:ind w:left="1037" w:hanging="357"/>
    </w:pPr>
  </w:style>
  <w:style w:type="paragraph" w:styleId="ListBullet4">
    <w:name w:val="List Bullet 4"/>
    <w:basedOn w:val="List4"/>
    <w:rsid w:val="00D33CAD"/>
    <w:pPr>
      <w:numPr>
        <w:numId w:val="3"/>
      </w:numPr>
      <w:tabs>
        <w:tab w:val="clear" w:pos="1361"/>
      </w:tabs>
    </w:pPr>
  </w:style>
  <w:style w:type="paragraph" w:styleId="ListBullet5">
    <w:name w:val="List Bullet 5"/>
    <w:basedOn w:val="List5"/>
    <w:rsid w:val="00D33CAD"/>
    <w:pPr>
      <w:numPr>
        <w:numId w:val="4"/>
      </w:numPr>
    </w:pPr>
  </w:style>
  <w:style w:type="paragraph" w:styleId="ListContinue2">
    <w:name w:val="List Continue 2"/>
    <w:basedOn w:val="List2"/>
    <w:rsid w:val="00D33CAD"/>
    <w:pPr>
      <w:ind w:firstLine="0"/>
    </w:pPr>
  </w:style>
  <w:style w:type="paragraph" w:styleId="ListContinue3">
    <w:name w:val="List Continue 3"/>
    <w:basedOn w:val="List3"/>
    <w:rsid w:val="00D33CAD"/>
    <w:pPr>
      <w:ind w:left="1021" w:firstLine="0"/>
    </w:pPr>
  </w:style>
  <w:style w:type="paragraph" w:styleId="ListContinue4">
    <w:name w:val="List Continue 4"/>
    <w:basedOn w:val="List4"/>
    <w:rsid w:val="00D33CAD"/>
    <w:pPr>
      <w:ind w:firstLine="0"/>
    </w:pPr>
  </w:style>
  <w:style w:type="paragraph" w:styleId="ListContinue5">
    <w:name w:val="List Continue 5"/>
    <w:basedOn w:val="List5"/>
    <w:rsid w:val="00D33CAD"/>
    <w:pPr>
      <w:ind w:firstLine="0"/>
    </w:pPr>
  </w:style>
  <w:style w:type="paragraph" w:styleId="ListNumber3">
    <w:name w:val="List Number 3"/>
    <w:basedOn w:val="List3"/>
    <w:rsid w:val="00D33CAD"/>
    <w:pPr>
      <w:numPr>
        <w:numId w:val="5"/>
      </w:numPr>
    </w:pPr>
  </w:style>
  <w:style w:type="paragraph" w:styleId="ListNumber4">
    <w:name w:val="List Number 4"/>
    <w:basedOn w:val="List4"/>
    <w:rsid w:val="00D33CAD"/>
    <w:pPr>
      <w:numPr>
        <w:numId w:val="6"/>
      </w:numPr>
    </w:pPr>
  </w:style>
  <w:style w:type="paragraph" w:styleId="ListNumber5">
    <w:name w:val="List Number 5"/>
    <w:basedOn w:val="List5"/>
    <w:rsid w:val="00D33CAD"/>
    <w:pPr>
      <w:numPr>
        <w:numId w:val="7"/>
      </w:numPr>
    </w:pPr>
  </w:style>
  <w:style w:type="paragraph" w:styleId="BlockText">
    <w:name w:val="Block Text"/>
    <w:basedOn w:val="Normal"/>
    <w:rsid w:val="00D33CAD"/>
    <w:pPr>
      <w:spacing w:after="120"/>
      <w:ind w:left="1440" w:right="1440"/>
    </w:pPr>
  </w:style>
  <w:style w:type="character" w:customStyle="1" w:styleId="Subscript">
    <w:name w:val="Subscript"/>
    <w:basedOn w:val="DefaultParagraphFont"/>
    <w:rsid w:val="00D33CAD"/>
    <w:rPr>
      <w:sz w:val="16"/>
      <w:vertAlign w:val="subscript"/>
    </w:rPr>
  </w:style>
  <w:style w:type="character" w:customStyle="1" w:styleId="Superscript">
    <w:name w:val="Superscript"/>
    <w:basedOn w:val="DefaultParagraphFont"/>
    <w:rsid w:val="00D33CAD"/>
    <w:rPr>
      <w:sz w:val="16"/>
      <w:vertAlign w:val="superscript"/>
    </w:rPr>
  </w:style>
  <w:style w:type="character" w:customStyle="1" w:styleId="Symbols">
    <w:name w:val="Symbols"/>
    <w:basedOn w:val="DefaultParagraphFont"/>
    <w:rsid w:val="00D33CAD"/>
    <w:rPr>
      <w:rFonts w:ascii="Symbol" w:hAnsi="Symbol"/>
    </w:rPr>
  </w:style>
  <w:style w:type="character" w:customStyle="1" w:styleId="MenuOptions">
    <w:name w:val="Menu Options"/>
    <w:basedOn w:val="DefaultParagraphFont"/>
    <w:rsid w:val="00D33CAD"/>
    <w:rPr>
      <w:rFonts w:ascii="Arial Narrow" w:hAnsi="Arial Narrow"/>
      <w:smallCaps/>
    </w:rPr>
  </w:style>
  <w:style w:type="character" w:customStyle="1" w:styleId="Buttons">
    <w:name w:val="Buttons"/>
    <w:basedOn w:val="DefaultParagraphFont"/>
    <w:rsid w:val="00D33CAD"/>
    <w:rPr>
      <w:b/>
    </w:rPr>
  </w:style>
  <w:style w:type="character" w:customStyle="1" w:styleId="Underlined">
    <w:name w:val="Underlined"/>
    <w:basedOn w:val="DefaultParagraphFont"/>
    <w:rsid w:val="00D33CAD"/>
    <w:rPr>
      <w:u w:val="single"/>
    </w:rPr>
  </w:style>
  <w:style w:type="paragraph" w:customStyle="1" w:styleId="TableBodyTextRight">
    <w:name w:val="Table Body Text Right"/>
    <w:basedOn w:val="TableBodyText"/>
    <w:rsid w:val="00D33CAD"/>
    <w:pPr>
      <w:widowControl w:val="0"/>
      <w:autoSpaceDE w:val="0"/>
      <w:autoSpaceDN w:val="0"/>
      <w:adjustRightInd w:val="0"/>
      <w:jc w:val="right"/>
    </w:pPr>
    <w:rPr>
      <w:rFonts w:cs="Arial"/>
      <w:szCs w:val="18"/>
    </w:rPr>
  </w:style>
  <w:style w:type="paragraph" w:customStyle="1" w:styleId="CopyrightText">
    <w:name w:val="Copyright Text"/>
    <w:basedOn w:val="BodyText"/>
    <w:rsid w:val="00D33CAD"/>
    <w:rPr>
      <w:sz w:val="18"/>
    </w:rPr>
  </w:style>
  <w:style w:type="paragraph" w:customStyle="1" w:styleId="BodySmallRight">
    <w:name w:val="Body Small Right"/>
    <w:basedOn w:val="BodyTextRight"/>
    <w:rsid w:val="00D33CAD"/>
    <w:rPr>
      <w:sz w:val="18"/>
      <w:szCs w:val="18"/>
    </w:rPr>
  </w:style>
  <w:style w:type="paragraph" w:customStyle="1" w:styleId="MarginEdition">
    <w:name w:val="Margin Edition"/>
    <w:basedOn w:val="MarginNote"/>
    <w:rsid w:val="00D33CAD"/>
    <w:pPr>
      <w:spacing w:before="0" w:after="0"/>
    </w:pPr>
    <w:rPr>
      <w:rFonts w:ascii="Times New Roman" w:hAnsi="Times New Roman"/>
      <w:color w:val="999999"/>
    </w:rPr>
  </w:style>
  <w:style w:type="paragraph" w:customStyle="1" w:styleId="Spacer">
    <w:name w:val="Spacer"/>
    <w:basedOn w:val="Normal"/>
    <w:rsid w:val="00D33CAD"/>
    <w:rPr>
      <w:sz w:val="2"/>
      <w:szCs w:val="2"/>
    </w:rPr>
  </w:style>
  <w:style w:type="character" w:customStyle="1" w:styleId="Small">
    <w:name w:val="Small"/>
    <w:basedOn w:val="DefaultParagraphFont"/>
    <w:rsid w:val="00D33CAD"/>
    <w:rPr>
      <w:sz w:val="16"/>
    </w:rPr>
  </w:style>
  <w:style w:type="paragraph" w:customStyle="1" w:styleId="WideTable">
    <w:name w:val="Wide Table"/>
    <w:basedOn w:val="Normal"/>
    <w:rsid w:val="00D33CAD"/>
    <w:pPr>
      <w:ind w:left="-1418"/>
    </w:pPr>
    <w:rPr>
      <w:sz w:val="2"/>
      <w:szCs w:val="2"/>
    </w:rPr>
  </w:style>
  <w:style w:type="character" w:styleId="PageNumber">
    <w:name w:val="page number"/>
    <w:basedOn w:val="DefaultParagraphFont"/>
    <w:rsid w:val="00D33CAD"/>
  </w:style>
  <w:style w:type="paragraph" w:styleId="Quote">
    <w:name w:val="Quote"/>
    <w:basedOn w:val="Heading1"/>
    <w:link w:val="QuoteChar"/>
    <w:qFormat/>
    <w:rsid w:val="00D33CAD"/>
    <w:rPr>
      <w:b w:val="0"/>
      <w:sz w:val="72"/>
      <w:szCs w:val="72"/>
      <w:lang w:val="en-NZ"/>
    </w:rPr>
  </w:style>
  <w:style w:type="character" w:customStyle="1" w:styleId="QuoteChar">
    <w:name w:val="Quote Char"/>
    <w:basedOn w:val="DefaultParagraphFont"/>
    <w:link w:val="Quote"/>
    <w:rsid w:val="00D33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CAD"/>
    <w:pPr>
      <w:pageBreakBefore/>
    </w:pPr>
  </w:style>
  <w:style w:type="paragraph" w:customStyle="1" w:styleId="Border">
    <w:name w:val="Border"/>
    <w:basedOn w:val="Normal"/>
    <w:qFormat/>
    <w:rsid w:val="00D33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CAD"/>
    <w:rPr>
      <w:b/>
      <w:bCs/>
      <w:i/>
      <w:iCs/>
      <w:color w:val="auto"/>
    </w:rPr>
  </w:style>
  <w:style w:type="paragraph" w:styleId="IntenseQuote">
    <w:name w:val="Intense Quote"/>
    <w:basedOn w:val="Normal"/>
    <w:next w:val="Normal"/>
    <w:link w:val="IntenseQuoteChar"/>
    <w:uiPriority w:val="30"/>
    <w:qFormat/>
    <w:rsid w:val="00D33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CAD"/>
    <w:rPr>
      <w:smallCaps/>
      <w:color w:val="auto"/>
      <w:u w:val="single"/>
    </w:rPr>
  </w:style>
  <w:style w:type="character" w:styleId="IntenseReference">
    <w:name w:val="Intense Reference"/>
    <w:basedOn w:val="DefaultParagraphFont"/>
    <w:uiPriority w:val="32"/>
    <w:qFormat/>
    <w:rsid w:val="00D33CAD"/>
    <w:rPr>
      <w:b/>
      <w:bCs/>
      <w:smallCaps/>
      <w:color w:val="auto"/>
      <w:spacing w:val="5"/>
      <w:u w:val="single"/>
    </w:rPr>
  </w:style>
  <w:style w:type="paragraph" w:customStyle="1" w:styleId="2ColumnHeading">
    <w:name w:val="2Column Heading"/>
    <w:basedOn w:val="BodyText"/>
    <w:qFormat/>
    <w:rsid w:val="00D33CAD"/>
    <w:pPr>
      <w:spacing w:after="60"/>
      <w:ind w:left="-2268"/>
    </w:pPr>
    <w:rPr>
      <w:b/>
    </w:rPr>
  </w:style>
  <w:style w:type="paragraph" w:customStyle="1" w:styleId="Heading1TOC">
    <w:name w:val="Heading1 TOC"/>
    <w:basedOn w:val="Normal"/>
    <w:qFormat/>
    <w:rsid w:val="00D33CAD"/>
    <w:pPr>
      <w:spacing w:before="240" w:after="120"/>
    </w:pPr>
    <w:rPr>
      <w:rFonts w:ascii="Times New Roman" w:hAnsi="Times New Roman"/>
      <w:b/>
      <w:sz w:val="32"/>
    </w:rPr>
  </w:style>
  <w:style w:type="paragraph" w:customStyle="1" w:styleId="Heading2TOC">
    <w:name w:val="Heading2 TOC"/>
    <w:basedOn w:val="Normal"/>
    <w:qFormat/>
    <w:rsid w:val="00D33CAD"/>
    <w:pPr>
      <w:spacing w:before="240" w:after="60"/>
    </w:pPr>
    <w:rPr>
      <w:rFonts w:ascii="Times New Roman" w:hAnsi="Times New Roman"/>
      <w:b/>
      <w:sz w:val="28"/>
    </w:rPr>
  </w:style>
  <w:style w:type="character" w:customStyle="1" w:styleId="Underline">
    <w:name w:val="Underline"/>
    <w:basedOn w:val="DefaultParagraphFont"/>
    <w:qFormat/>
    <w:rsid w:val="00D33CAD"/>
    <w:rPr>
      <w:u w:val="single"/>
    </w:rPr>
  </w:style>
  <w:style w:type="character" w:customStyle="1" w:styleId="BoldandItalics">
    <w:name w:val="Bold and Italics"/>
    <w:qFormat/>
    <w:rsid w:val="00D33CAD"/>
    <w:rPr>
      <w:b/>
      <w:i/>
      <w:u w:val="none"/>
    </w:rPr>
  </w:style>
  <w:style w:type="paragraph" w:styleId="BalloonText">
    <w:name w:val="Balloon Text"/>
    <w:basedOn w:val="Normal"/>
    <w:link w:val="BalloonTextChar"/>
    <w:rsid w:val="00D33CAD"/>
    <w:rPr>
      <w:rFonts w:ascii="Tahoma" w:hAnsi="Tahoma" w:cs="Tahoma"/>
      <w:sz w:val="16"/>
      <w:szCs w:val="16"/>
    </w:rPr>
  </w:style>
  <w:style w:type="character" w:customStyle="1" w:styleId="BalloonTextChar">
    <w:name w:val="Balloon Text Char"/>
    <w:basedOn w:val="DefaultParagraphFont"/>
    <w:link w:val="BalloonText"/>
    <w:rsid w:val="00D33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C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CAD"/>
    <w:rPr>
      <w:b/>
      <w:color w:val="660033"/>
      <w:spacing w:val="0"/>
    </w:rPr>
  </w:style>
  <w:style w:type="paragraph" w:customStyle="1" w:styleId="Nameditemlist">
    <w:name w:val="Named item list"/>
    <w:basedOn w:val="BodyText"/>
    <w:qFormat/>
    <w:rsid w:val="00D33CAD"/>
    <w:pPr>
      <w:tabs>
        <w:tab w:val="left" w:pos="2835"/>
      </w:tabs>
      <w:ind w:left="2835" w:hanging="2835"/>
    </w:pPr>
  </w:style>
  <w:style w:type="paragraph" w:customStyle="1" w:styleId="BodyTextnopadding">
    <w:name w:val="Body Text no padding"/>
    <w:basedOn w:val="BodyText"/>
    <w:qFormat/>
    <w:rsid w:val="00D33CAD"/>
    <w:pPr>
      <w:spacing w:before="0" w:after="0"/>
    </w:pPr>
  </w:style>
  <w:style w:type="paragraph" w:customStyle="1" w:styleId="BodyTextBold">
    <w:name w:val="Body Text Bold"/>
    <w:basedOn w:val="BodyText"/>
    <w:qFormat/>
    <w:rsid w:val="00D33CAD"/>
    <w:rPr>
      <w:b/>
    </w:rPr>
  </w:style>
  <w:style w:type="character" w:styleId="Hyperlink">
    <w:name w:val="Hyperlink"/>
    <w:basedOn w:val="DefaultParagraphFont"/>
    <w:uiPriority w:val="99"/>
    <w:unhideWhenUsed/>
    <w:rsid w:val="00EA6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1364</Words>
  <Characters>8596</Characters>
  <Application>Microsoft Office Word</Application>
  <DocSecurity>0</DocSecurity>
  <Lines>373</Lines>
  <Paragraphs>226</Paragraphs>
  <ScaleCrop>false</ScaleCrop>
  <Company>Author-it Software Corporation Ltd.</Company>
  <LinksUpToDate>false</LinksUpToDate>
  <CharactersWithSpaces>9734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MSTGN4006 Apply TCF market supply systems</dc:title>
  <dc:subject>Approved</dc:subject>
  <dc:creator>Skills Insight</dc:creator>
  <cp:keywords>Release: 2</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