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AFF" w:rsidP="00322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MSTGN4005 Plan and implement production within a work area</w:t>
      </w:r>
      <w:r>
        <w:fldChar w:fldCharType="end"/>
      </w:r>
    </w:p>
    <w:p w:rsidR="00322AFF" w:rsidP="00322AFF">
      <w:pPr>
        <w:pStyle w:val="Version"/>
        <w:sectPr w:rsidSect="00B32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66C" w:rsidP="00B3266C">
      <w:pPr>
        <w:pStyle w:val="SuperHeading"/>
      </w:pPr>
      <w:r w:rsidRPr="00B3266C">
        <w:t>Assessment Requirements for MSTGN4005 Plan and implement production within a work area</w:t>
      </w:r>
    </w:p>
    <w:p w:rsidR="00000000" w:rsidRPr="00B3266C" w:rsidP="00B3266C">
      <w:pPr>
        <w:pStyle w:val="Heading1"/>
      </w:pPr>
      <w:bookmarkStart w:id="1" w:name="O_931549"/>
      <w:bookmarkEnd w:id="1"/>
      <w:r w:rsidRPr="00B3266C">
        <w:t>Modification History</w:t>
      </w:r>
    </w:p>
    <w:p w:rsidR="00000000" w:rsidRPr="00B3266C" w:rsidP="00322AFF">
      <w:pPr>
        <w:pStyle w:val="BodyText"/>
      </w:pPr>
      <w:r w:rsidRPr="00B3266C">
        <w:t>Release 1. Supersedes and is equivalent to LMTGN4005A Plan and implement production within a work area</w:t>
      </w:r>
    </w:p>
    <w:p w:rsidR="00000000" w:rsidRPr="00B3266C" w:rsidP="00B3266C">
      <w:pPr>
        <w:pStyle w:val="Heading1"/>
      </w:pPr>
      <w:bookmarkStart w:id="2" w:name="O_931552"/>
      <w:bookmarkEnd w:id="2"/>
      <w:r w:rsidRPr="00B3266C">
        <w:t>Performance Evidence</w:t>
      </w:r>
    </w:p>
    <w:p w:rsidR="00000000" w:rsidRPr="00B3266C" w:rsidP="00322AFF">
      <w:pPr>
        <w:pStyle w:val="BodyText"/>
      </w:pPr>
      <w:r w:rsidRPr="00B3266C">
        <w:t>Evidence required to demonstrate competence in this unit must be relevant to and satisfy the requirements of the elements and performance criteria, and include:</w:t>
      </w:r>
    </w:p>
    <w:p w:rsidR="00000000" w:rsidRPr="00B3266C" w:rsidP="00B3266C">
      <w:pPr>
        <w:pStyle w:val="ListBullet"/>
      </w:pPr>
      <w:r w:rsidRPr="00B3266C">
        <w:t>reading and following work instructions, standard operating procedures (S</w:t>
      </w:r>
      <w:r w:rsidRPr="00B3266C">
        <w:t xml:space="preserve">OPs), safe work practices </w:t>
      </w:r>
    </w:p>
    <w:p w:rsidR="00000000" w:rsidRPr="00B3266C" w:rsidP="00B3266C">
      <w:pPr>
        <w:pStyle w:val="ListBullet"/>
      </w:pPr>
      <w:r w:rsidRPr="00B3266C">
        <w:t>applying relevant standards</w:t>
      </w:r>
    </w:p>
    <w:p w:rsidR="00000000" w:rsidRPr="00B3266C" w:rsidP="00B3266C">
      <w:pPr>
        <w:pStyle w:val="ListBullet"/>
      </w:pPr>
      <w:r w:rsidRPr="00B3266C">
        <w:t>establishing production requirements and preparing for production on at least two (2) occasions</w:t>
      </w:r>
    </w:p>
    <w:p w:rsidR="00000000" w:rsidRPr="00B3266C" w:rsidP="00B3266C">
      <w:pPr>
        <w:pStyle w:val="ListBullet"/>
      </w:pPr>
      <w:r w:rsidRPr="00B3266C">
        <w:t>prioritising work and identifying the steps required for the process to ensure efficient use of resources</w:t>
      </w:r>
      <w:r w:rsidRPr="00B3266C">
        <w:t xml:space="preserve"> and prioritising work</w:t>
      </w:r>
    </w:p>
    <w:p w:rsidR="00000000" w:rsidRPr="00B3266C" w:rsidP="00B3266C">
      <w:pPr>
        <w:pStyle w:val="ListBullet"/>
      </w:pPr>
      <w:r w:rsidRPr="00B3266C">
        <w:t>selecting and organising work team according to workplace procedures and textile, clothing and footwear (TCF) sector industry practices</w:t>
      </w:r>
    </w:p>
    <w:p w:rsidR="00000000" w:rsidRPr="00B3266C" w:rsidP="00B3266C">
      <w:pPr>
        <w:pStyle w:val="ListBullet"/>
      </w:pPr>
      <w:r w:rsidRPr="00B3266C">
        <w:t>implementing and monitoring work flow and ensuring efficiency of production according to work hea</w:t>
      </w:r>
      <w:r w:rsidRPr="00B3266C">
        <w:t xml:space="preserve">lth and safety (WHS) requirements on at least two (2) occasions </w:t>
      </w:r>
    </w:p>
    <w:p w:rsidR="00000000" w:rsidRPr="00B3266C" w:rsidP="00B3266C">
      <w:pPr>
        <w:pStyle w:val="ListBullet"/>
      </w:pPr>
      <w:r w:rsidRPr="00B3266C">
        <w:t>responding to and dealing with inefficiencies, absenteeism, breakdowns and other interruptions to work flow</w:t>
      </w:r>
    </w:p>
    <w:p w:rsidR="00000000" w:rsidRPr="00B3266C" w:rsidP="00B3266C">
      <w:pPr>
        <w:pStyle w:val="ListBullet"/>
      </w:pPr>
      <w:r w:rsidRPr="00B3266C">
        <w:t>coordinating variations to production plan</w:t>
      </w:r>
    </w:p>
    <w:p w:rsidR="00000000" w:rsidRPr="00B3266C" w:rsidP="00B3266C">
      <w:pPr>
        <w:pStyle w:val="ListBullet"/>
      </w:pPr>
      <w:r w:rsidRPr="00B3266C">
        <w:t xml:space="preserve">maintaining records and prepare reports </w:t>
      </w:r>
      <w:r w:rsidRPr="00B3266C">
        <w:t>in accordance with workplace procedures.</w:t>
      </w:r>
    </w:p>
    <w:p w:rsidR="00000000" w:rsidRPr="00B3266C" w:rsidP="00B3266C">
      <w:pPr>
        <w:pStyle w:val="AllowPageBreak"/>
      </w:pPr>
    </w:p>
    <w:p w:rsidR="00000000" w:rsidRPr="00B3266C" w:rsidP="00B3266C">
      <w:pPr>
        <w:pStyle w:val="Heading1"/>
      </w:pPr>
      <w:bookmarkStart w:id="3" w:name="O_931551"/>
      <w:bookmarkEnd w:id="3"/>
      <w:r w:rsidRPr="00B3266C">
        <w:t>Knowledge Evidence</w:t>
      </w:r>
    </w:p>
    <w:p w:rsidR="00000000" w:rsidRPr="00B3266C" w:rsidP="00322AFF">
      <w:pPr>
        <w:pStyle w:val="BodyText"/>
      </w:pPr>
      <w:r w:rsidRPr="00B3266C">
        <w:t>Evidence must be provided that demonstrates knowledge of:</w:t>
      </w:r>
    </w:p>
    <w:p w:rsidR="00000000" w:rsidRPr="00B3266C" w:rsidP="00B3266C">
      <w:pPr>
        <w:pStyle w:val="ListBullet"/>
      </w:pPr>
      <w:r w:rsidRPr="00B3266C">
        <w:t>safe work practices and procedures and use of personal protective equipment (PPE)</w:t>
      </w:r>
    </w:p>
    <w:p w:rsidR="00000000" w:rsidRPr="00B3266C" w:rsidP="00B3266C">
      <w:pPr>
        <w:pStyle w:val="ListBullet"/>
      </w:pPr>
      <w:r w:rsidRPr="00B3266C">
        <w:t>relevant Australian Standards</w:t>
      </w:r>
    </w:p>
    <w:p w:rsidR="00000000" w:rsidRPr="00B3266C" w:rsidP="00B3266C">
      <w:pPr>
        <w:pStyle w:val="ListBullet"/>
      </w:pPr>
      <w:r w:rsidRPr="00B3266C">
        <w:t>TCF sect</w:t>
      </w:r>
      <w:r w:rsidRPr="00B3266C">
        <w:t>ors:</w:t>
      </w:r>
    </w:p>
    <w:p w:rsidR="00000000" w:rsidRPr="00B3266C" w:rsidP="00B3266C">
      <w:pPr>
        <w:pStyle w:val="ListBullet2"/>
      </w:pPr>
      <w:r w:rsidRPr="00B3266C">
        <w:t>textile production</w:t>
      </w:r>
    </w:p>
    <w:p w:rsidR="00000000" w:rsidRPr="00B3266C" w:rsidP="00B3266C">
      <w:pPr>
        <w:pStyle w:val="ListBullet2"/>
      </w:pPr>
      <w:r w:rsidRPr="00B3266C">
        <w:t>clothing production</w:t>
      </w:r>
    </w:p>
    <w:p w:rsidR="00000000" w:rsidRPr="00B3266C" w:rsidP="00B3266C">
      <w:pPr>
        <w:pStyle w:val="ListBullet2"/>
      </w:pPr>
      <w:r w:rsidRPr="00B3266C">
        <w:t>footwear</w:t>
      </w:r>
    </w:p>
    <w:p w:rsidR="00000000" w:rsidRPr="00B3266C" w:rsidP="00B3266C">
      <w:pPr>
        <w:pStyle w:val="ListBullet2"/>
      </w:pPr>
      <w:r w:rsidRPr="00B3266C">
        <w:t>cotton ginning</w:t>
      </w:r>
    </w:p>
    <w:p w:rsidR="00000000" w:rsidRPr="00B3266C" w:rsidP="00B3266C">
      <w:pPr>
        <w:pStyle w:val="ListBullet2"/>
      </w:pPr>
      <w:r w:rsidRPr="00B3266C">
        <w:t>leather production</w:t>
      </w:r>
    </w:p>
    <w:p w:rsidR="00000000" w:rsidRPr="00B3266C" w:rsidP="00B3266C">
      <w:pPr>
        <w:pStyle w:val="ListBullet2"/>
      </w:pPr>
      <w:r w:rsidRPr="00B3266C">
        <w:t>millinery</w:t>
      </w:r>
    </w:p>
    <w:p w:rsidR="00000000" w:rsidRPr="00B3266C" w:rsidP="00B3266C">
      <w:pPr>
        <w:pStyle w:val="ListBullet2"/>
      </w:pPr>
      <w:r w:rsidRPr="00B3266C">
        <w:t>canvas and sails production</w:t>
      </w:r>
    </w:p>
    <w:p w:rsidR="00000000" w:rsidRPr="00B3266C" w:rsidP="00B3266C">
      <w:pPr>
        <w:pStyle w:val="ListBullet2"/>
      </w:pPr>
      <w:r w:rsidRPr="00B3266C">
        <w:t>laundry operations</w:t>
      </w:r>
    </w:p>
    <w:p w:rsidR="00000000" w:rsidRPr="00B3266C" w:rsidP="00B3266C">
      <w:pPr>
        <w:pStyle w:val="ListBullet2"/>
      </w:pPr>
      <w:r w:rsidRPr="00B3266C">
        <w:t>dry cleaning operations</w:t>
      </w:r>
    </w:p>
    <w:p w:rsidR="00000000" w:rsidRPr="00B3266C" w:rsidP="00B3266C">
      <w:pPr>
        <w:pStyle w:val="ListBullet2"/>
      </w:pPr>
      <w:r w:rsidRPr="00B3266C">
        <w:t xml:space="preserve">fashion design and technology </w:t>
      </w:r>
    </w:p>
    <w:p w:rsidR="00000000" w:rsidRPr="00B3266C" w:rsidP="00B3266C">
      <w:pPr>
        <w:pStyle w:val="ListBullet"/>
      </w:pPr>
      <w:r w:rsidRPr="00B3266C">
        <w:t>work organisation systems and workplace organisation features</w:t>
      </w:r>
    </w:p>
    <w:p w:rsidR="00000000" w:rsidRPr="00B3266C" w:rsidP="00B3266C">
      <w:pPr>
        <w:pStyle w:val="ListBullet"/>
      </w:pPr>
      <w:r w:rsidRPr="00B3266C">
        <w:t>production planning processes, such as material supply</w:t>
      </w:r>
    </w:p>
    <w:p w:rsidR="00000000" w:rsidRPr="00B3266C" w:rsidP="00B3266C">
      <w:pPr>
        <w:pStyle w:val="ListBullet"/>
      </w:pPr>
      <w:r w:rsidRPr="00B3266C">
        <w:t>production operations, machines and equipment</w:t>
      </w:r>
    </w:p>
    <w:p w:rsidR="00000000" w:rsidRPr="00B3266C" w:rsidP="00B3266C">
      <w:pPr>
        <w:pStyle w:val="ListBullet"/>
      </w:pPr>
      <w:r w:rsidRPr="00B3266C">
        <w:t>characteristics and performance of materials</w:t>
      </w:r>
    </w:p>
    <w:p w:rsidR="00000000" w:rsidRPr="00B3266C" w:rsidP="00B3266C">
      <w:pPr>
        <w:pStyle w:val="ListBullet"/>
      </w:pPr>
      <w:r w:rsidRPr="00B3266C">
        <w:t>WHS and environmental aspects of relevant workpl</w:t>
      </w:r>
      <w:r w:rsidRPr="00B3266C">
        <w:t>ace activities:</w:t>
      </w:r>
    </w:p>
    <w:p w:rsidR="00000000" w:rsidRPr="00B3266C" w:rsidP="00B3266C">
      <w:pPr>
        <w:pStyle w:val="ListBullet2"/>
      </w:pPr>
      <w:r w:rsidRPr="00B3266C">
        <w:t>hazard identification and control</w:t>
      </w:r>
    </w:p>
    <w:p w:rsidR="00000000" w:rsidRPr="00B3266C" w:rsidP="00B3266C">
      <w:pPr>
        <w:pStyle w:val="ListBullet2"/>
      </w:pPr>
      <w:r w:rsidRPr="00B3266C">
        <w:t xml:space="preserve">risk assessment </w:t>
      </w:r>
    </w:p>
    <w:p w:rsidR="00000000" w:rsidRPr="00B3266C" w:rsidP="00B3266C">
      <w:pPr>
        <w:pStyle w:val="ListBullet2"/>
      </w:pPr>
      <w:r w:rsidRPr="00B3266C">
        <w:t>implementing risk reduction measures specific to the tasks described by this unit</w:t>
      </w:r>
    </w:p>
    <w:p w:rsidR="00000000" w:rsidRPr="00B3266C" w:rsidP="00B3266C">
      <w:pPr>
        <w:pStyle w:val="ListBullet2"/>
      </w:pPr>
      <w:r w:rsidRPr="00B3266C">
        <w:t>manual handling techniques</w:t>
      </w:r>
    </w:p>
    <w:p w:rsidR="00000000" w:rsidRPr="00B3266C" w:rsidP="00B3266C">
      <w:pPr>
        <w:pStyle w:val="ListBullet2"/>
      </w:pPr>
      <w:r w:rsidRPr="00B3266C">
        <w:t>SOPS</w:t>
      </w:r>
    </w:p>
    <w:p w:rsidR="00000000" w:rsidRPr="00B3266C" w:rsidP="00B3266C">
      <w:pPr>
        <w:pStyle w:val="ListBullet2"/>
      </w:pPr>
      <w:r w:rsidRPr="00B3266C">
        <w:t>PPE</w:t>
      </w:r>
    </w:p>
    <w:p w:rsidR="00000000" w:rsidRPr="00B3266C" w:rsidP="00B3266C">
      <w:pPr>
        <w:pStyle w:val="ListBullet2"/>
      </w:pPr>
      <w:r w:rsidRPr="00B3266C">
        <w:t>safe materials handling</w:t>
      </w:r>
    </w:p>
    <w:p w:rsidR="00000000" w:rsidRPr="00B3266C" w:rsidP="00B3266C">
      <w:pPr>
        <w:pStyle w:val="ListBullet2"/>
      </w:pPr>
      <w:r w:rsidRPr="00B3266C">
        <w:t>taking of rest breaks</w:t>
      </w:r>
    </w:p>
    <w:p w:rsidR="00000000" w:rsidRPr="00B3266C" w:rsidP="00B3266C">
      <w:pPr>
        <w:pStyle w:val="ListBullet2"/>
      </w:pPr>
      <w:r w:rsidRPr="00B3266C">
        <w:t>ergonomic arrangement of workplaces</w:t>
      </w:r>
    </w:p>
    <w:p w:rsidR="00000000" w:rsidRPr="00B3266C" w:rsidP="00B3266C">
      <w:pPr>
        <w:pStyle w:val="ListBullet2"/>
      </w:pPr>
      <w:r w:rsidRPr="00B3266C">
        <w:t>following marked walkways</w:t>
      </w:r>
    </w:p>
    <w:p w:rsidR="00000000" w:rsidRPr="00B3266C" w:rsidP="00B3266C">
      <w:pPr>
        <w:pStyle w:val="ListBullet2"/>
      </w:pPr>
      <w:r w:rsidRPr="00B3266C">
        <w:t>safe storage of equipment</w:t>
      </w:r>
    </w:p>
    <w:p w:rsidR="00000000" w:rsidRPr="00B3266C" w:rsidP="00B3266C">
      <w:pPr>
        <w:pStyle w:val="ListBullet2"/>
      </w:pPr>
      <w:r w:rsidRPr="00B3266C">
        <w:t>housekeeping</w:t>
      </w:r>
    </w:p>
    <w:p w:rsidR="00000000" w:rsidRPr="00B3266C" w:rsidP="00B3266C">
      <w:pPr>
        <w:pStyle w:val="ListBullet2"/>
      </w:pPr>
      <w:r w:rsidRPr="00B3266C">
        <w:t>reporting accidents and incidents</w:t>
      </w:r>
    </w:p>
    <w:p w:rsidR="00000000" w:rsidRPr="00B3266C" w:rsidP="00B3266C">
      <w:pPr>
        <w:pStyle w:val="ListBullet2"/>
      </w:pPr>
      <w:r w:rsidRPr="00B3266C">
        <w:t>other WHS practices relevant to the job and enterprise</w:t>
      </w:r>
    </w:p>
    <w:p w:rsidR="00000000" w:rsidRPr="00B3266C" w:rsidP="00B3266C">
      <w:pPr>
        <w:pStyle w:val="ListBullet"/>
      </w:pPr>
      <w:r w:rsidRPr="00B3266C">
        <w:t>quality practices</w:t>
      </w:r>
    </w:p>
    <w:p w:rsidR="00000000" w:rsidRPr="00B3266C" w:rsidP="00B3266C">
      <w:pPr>
        <w:pStyle w:val="ListBullet"/>
      </w:pPr>
      <w:r w:rsidRPr="00B3266C">
        <w:t>workplace procedures</w:t>
      </w:r>
    </w:p>
    <w:p w:rsidR="00000000" w:rsidRPr="00B3266C" w:rsidP="00B3266C">
      <w:pPr>
        <w:pStyle w:val="ListBullet"/>
      </w:pPr>
      <w:r w:rsidRPr="00B3266C">
        <w:t>recording and reporting practices.</w:t>
      </w:r>
    </w:p>
    <w:p w:rsidR="00000000" w:rsidRPr="00B3266C" w:rsidP="00B3266C">
      <w:pPr>
        <w:pStyle w:val="AllowPageBreak"/>
      </w:pPr>
    </w:p>
    <w:p w:rsidR="00000000" w:rsidRPr="00B3266C" w:rsidP="00B3266C">
      <w:pPr>
        <w:pStyle w:val="Heading1"/>
      </w:pPr>
      <w:bookmarkStart w:id="4" w:name="O_931550"/>
      <w:bookmarkEnd w:id="4"/>
      <w:r w:rsidRPr="00B3266C">
        <w:t>Assessment Conditions</w:t>
      </w:r>
    </w:p>
    <w:p w:rsidR="00000000" w:rsidRPr="00B3266C" w:rsidP="00B3266C">
      <w:pPr>
        <w:pStyle w:val="ListBullet"/>
      </w:pPr>
      <w:r w:rsidRPr="00B3266C">
        <w:t>Assessors must:</w:t>
      </w:r>
    </w:p>
    <w:p w:rsidR="00000000" w:rsidRPr="00B3266C" w:rsidP="00B3266C">
      <w:pPr>
        <w:pStyle w:val="ListBullet2"/>
      </w:pPr>
      <w:r w:rsidRPr="00B3266C">
        <w:t>satisfy the assessor competency requirements that are in place at the time of the assessment, as set by the VET regulator</w:t>
      </w:r>
    </w:p>
    <w:p w:rsidR="00000000" w:rsidRPr="00B3266C" w:rsidP="00B3266C">
      <w:pPr>
        <w:pStyle w:val="ListBullet2"/>
      </w:pPr>
      <w:r w:rsidRPr="00B3266C">
        <w:t>have vocational competency in planning and</w:t>
      </w:r>
      <w:r w:rsidRPr="00B3266C">
        <w:t xml:space="preserve"> implementing production within a work area, at least to the level being assessed, with relevant industry knowledge and experience.</w:t>
      </w:r>
    </w:p>
    <w:p w:rsidR="00000000" w:rsidRPr="00B3266C" w:rsidP="00B3266C">
      <w:pPr>
        <w:pStyle w:val="ListBullet"/>
      </w:pPr>
      <w:r w:rsidRPr="00B3266C">
        <w:t>Assessment should occur in operational workplace situations. Where this is not possible, or where personal safety or enviro</w:t>
      </w:r>
      <w:r w:rsidRPr="00B3266C">
        <w:t>nmental damage are limiting factors, assessment must occur in a sufficiently rigorous simulated environment reflecting realistic operational workplace conditions. This must cover all aspects of workplace performance, including environment, task skills, tas</w:t>
      </w:r>
      <w:r w:rsidRPr="00B3266C">
        <w:t>k management skills, contingency management skills and job role environment skills.</w:t>
      </w:r>
    </w:p>
    <w:p w:rsidR="00000000" w:rsidRPr="00B3266C" w:rsidP="00B3266C">
      <w:pPr>
        <w:pStyle w:val="ListBullet"/>
      </w:pPr>
      <w:r w:rsidRPr="00B3266C">
        <w:t>Assessment processes and techniques must be appropriate to the language, literacy and numeracy requirements of the work being performed and the needs of the candidate.</w:t>
      </w:r>
    </w:p>
    <w:p w:rsidR="00000000" w:rsidRPr="00B3266C" w:rsidP="00B3266C">
      <w:pPr>
        <w:pStyle w:val="ListBullet"/>
      </w:pPr>
      <w:r w:rsidRPr="00B3266C">
        <w:t>Cond</w:t>
      </w:r>
      <w:r w:rsidRPr="00B3266C">
        <w:t>itions for assessment must include access to all tools, equipment, materials and documentation required, including relevant workplace procedures, product and manufacturing specifications associated with this unit.</w:t>
      </w:r>
    </w:p>
    <w:p w:rsidR="00322AFF" w:rsidP="00B3266C">
      <w:pPr>
        <w:pStyle w:val="ListBullet"/>
      </w:pPr>
      <w:r w:rsidRPr="00B3266C">
        <w:t xml:space="preserve">The unit is applicable to all TCF sectors </w:t>
      </w:r>
      <w:r w:rsidRPr="00B3266C">
        <w:t>and assessment must ensure it is delivered to suit the industry it is being applied to.</w:t>
      </w:r>
    </w:p>
    <w:p w:rsidR="00322AFF" w:rsidP="00B3266C">
      <w:pPr>
        <w:pStyle w:val="ListBullet"/>
      </w:pPr>
    </w:p>
    <w:p w:rsidR="00000000" w:rsidRPr="00B3266C" w:rsidP="00B3266C">
      <w:pPr>
        <w:pStyle w:val="Heading1"/>
      </w:pPr>
      <w:bookmarkStart w:id="5" w:name="O_931548"/>
      <w:bookmarkEnd w:id="5"/>
      <w:r w:rsidRPr="00B3266C">
        <w:t>Links</w:t>
      </w:r>
    </w:p>
    <w:p w:rsidR="00000000" w:rsidRPr="00B3266C" w:rsidP="00322AFF">
      <w:pPr>
        <w:pStyle w:val="BodyText"/>
      </w:pPr>
      <w:r w:rsidRPr="00B32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A07B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3266C" w:rsidP="00B3266C"/>
    <w:sectPr w:rsidSect="00B326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C" w:rsidRPr="00322AFF" w:rsidP="00322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FF" w:rsidP="00B32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AFF" w:rsidP="00B32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2AFF" w:rsidP="00B32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66C" w:rsidRPr="00322AFF" w:rsidP="00322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FF" w:rsidRPr="002D2AF8" w:rsidP="00B32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MSTGN4005 Plan and implement production within a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22AFF" w:rsidP="00B32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E4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4B8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CD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66C"/>
  </w:style>
  <w:style w:type="character" w:customStyle="1" w:styleId="Heading1Char">
    <w:name w:val="Heading 1 Char"/>
    <w:basedOn w:val="DefaultParagraphFont"/>
    <w:link w:val="Heading1"/>
    <w:rsid w:val="00B32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6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6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6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2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6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6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66C"/>
    <w:rPr>
      <w:b/>
      <w:spacing w:val="0"/>
    </w:rPr>
  </w:style>
  <w:style w:type="paragraph" w:customStyle="1" w:styleId="SuperTitle">
    <w:name w:val="SuperTitle"/>
    <w:basedOn w:val="Title"/>
    <w:rsid w:val="00B32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266C"/>
    <w:rPr>
      <w:i/>
    </w:rPr>
  </w:style>
  <w:style w:type="paragraph" w:styleId="Caption">
    <w:name w:val="caption"/>
    <w:basedOn w:val="BodyText"/>
    <w:next w:val="Normal"/>
    <w:qFormat/>
    <w:rsid w:val="00B32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66C"/>
  </w:style>
  <w:style w:type="paragraph" w:styleId="TableofFigures">
    <w:name w:val="table of figures"/>
    <w:basedOn w:val="Normal"/>
    <w:next w:val="Normal"/>
    <w:semiHidden/>
    <w:rsid w:val="00B32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6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66C"/>
    <w:rPr>
      <w:rFonts w:ascii="Wingdings" w:hAnsi="Wingdings"/>
    </w:rPr>
  </w:style>
  <w:style w:type="paragraph" w:customStyle="1" w:styleId="TableHeading">
    <w:name w:val="Table Heading"/>
    <w:basedOn w:val="HeadingBase"/>
    <w:rsid w:val="00B32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66C"/>
    <w:rPr>
      <w:color w:val="0033CC"/>
      <w:u w:val="none"/>
    </w:rPr>
  </w:style>
  <w:style w:type="paragraph" w:customStyle="1" w:styleId="BodyTextRight">
    <w:name w:val="Body Text Right"/>
    <w:basedOn w:val="BodyText"/>
    <w:rsid w:val="00B32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6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66C"/>
    <w:rPr>
      <w:sz w:val="32"/>
    </w:rPr>
  </w:style>
  <w:style w:type="paragraph" w:customStyle="1" w:styleId="HeadingProcedure">
    <w:name w:val="Heading Procedure"/>
    <w:basedOn w:val="HeadingBase"/>
    <w:next w:val="Normal"/>
    <w:rsid w:val="00B32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66C"/>
    <w:pPr>
      <w:spacing w:before="60" w:after="60"/>
    </w:pPr>
  </w:style>
  <w:style w:type="paragraph" w:styleId="ListContinue">
    <w:name w:val="List Continue"/>
    <w:basedOn w:val="List"/>
    <w:rsid w:val="00B3266C"/>
    <w:pPr>
      <w:ind w:firstLine="0"/>
    </w:pPr>
  </w:style>
  <w:style w:type="paragraph" w:customStyle="1" w:styleId="ListNote">
    <w:name w:val="List Note"/>
    <w:basedOn w:val="List"/>
    <w:rsid w:val="00B32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66C"/>
    <w:rPr>
      <w:rFonts w:ascii="Courier New" w:hAnsi="Courier New"/>
    </w:rPr>
  </w:style>
  <w:style w:type="paragraph" w:customStyle="1" w:styleId="NoteBullet">
    <w:name w:val="Note Bullet"/>
    <w:basedOn w:val="Note"/>
    <w:rsid w:val="00B32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6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66C"/>
    <w:rPr>
      <w:b/>
      <w:smallCaps/>
    </w:rPr>
  </w:style>
  <w:style w:type="paragraph" w:customStyle="1" w:styleId="TableListNumber">
    <w:name w:val="Table List Number"/>
    <w:basedOn w:val="ListNumber"/>
    <w:rsid w:val="00B32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66C"/>
    <w:pPr>
      <w:numPr>
        <w:numId w:val="9"/>
      </w:numPr>
    </w:pPr>
  </w:style>
  <w:style w:type="paragraph" w:customStyle="1" w:styleId="ListAlpha2">
    <w:name w:val="List Alpha 2"/>
    <w:basedOn w:val="List2"/>
    <w:rsid w:val="00B3266C"/>
    <w:pPr>
      <w:numPr>
        <w:numId w:val="8"/>
      </w:numPr>
    </w:pPr>
  </w:style>
  <w:style w:type="paragraph" w:styleId="List2">
    <w:name w:val="List 2"/>
    <w:basedOn w:val="BodyText"/>
    <w:rsid w:val="00B32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6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6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66C"/>
    <w:pPr>
      <w:numPr>
        <w:numId w:val="4"/>
      </w:numPr>
    </w:pPr>
  </w:style>
  <w:style w:type="paragraph" w:styleId="ListContinue2">
    <w:name w:val="List Continue 2"/>
    <w:basedOn w:val="List2"/>
    <w:rsid w:val="00B3266C"/>
    <w:pPr>
      <w:ind w:firstLine="0"/>
    </w:pPr>
  </w:style>
  <w:style w:type="paragraph" w:styleId="ListContinue3">
    <w:name w:val="List Continue 3"/>
    <w:basedOn w:val="List3"/>
    <w:rsid w:val="00B3266C"/>
    <w:pPr>
      <w:ind w:left="1021" w:firstLine="0"/>
    </w:pPr>
  </w:style>
  <w:style w:type="paragraph" w:styleId="ListContinue4">
    <w:name w:val="List Continue 4"/>
    <w:basedOn w:val="List4"/>
    <w:rsid w:val="00B3266C"/>
    <w:pPr>
      <w:ind w:firstLine="0"/>
    </w:pPr>
  </w:style>
  <w:style w:type="paragraph" w:styleId="ListContinue5">
    <w:name w:val="List Continue 5"/>
    <w:basedOn w:val="List5"/>
    <w:rsid w:val="00B3266C"/>
    <w:pPr>
      <w:ind w:firstLine="0"/>
    </w:pPr>
  </w:style>
  <w:style w:type="paragraph" w:styleId="ListNumber3">
    <w:name w:val="List Number 3"/>
    <w:basedOn w:val="List3"/>
    <w:rsid w:val="00B3266C"/>
    <w:pPr>
      <w:numPr>
        <w:numId w:val="5"/>
      </w:numPr>
    </w:pPr>
  </w:style>
  <w:style w:type="paragraph" w:styleId="ListNumber4">
    <w:name w:val="List Number 4"/>
    <w:basedOn w:val="List4"/>
    <w:rsid w:val="00B3266C"/>
    <w:pPr>
      <w:numPr>
        <w:numId w:val="6"/>
      </w:numPr>
    </w:pPr>
  </w:style>
  <w:style w:type="paragraph" w:styleId="ListNumber5">
    <w:name w:val="List Number 5"/>
    <w:basedOn w:val="List5"/>
    <w:rsid w:val="00B3266C"/>
    <w:pPr>
      <w:numPr>
        <w:numId w:val="7"/>
      </w:numPr>
    </w:pPr>
  </w:style>
  <w:style w:type="paragraph" w:styleId="BlockText">
    <w:name w:val="Block Text"/>
    <w:basedOn w:val="Normal"/>
    <w:rsid w:val="00B32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66C"/>
    <w:rPr>
      <w:sz w:val="16"/>
      <w:vertAlign w:val="superscript"/>
    </w:rPr>
  </w:style>
  <w:style w:type="character" w:customStyle="1" w:styleId="Symbols">
    <w:name w:val="Symbols"/>
    <w:basedOn w:val="DefaultParagraphFont"/>
    <w:rsid w:val="00B3266C"/>
    <w:rPr>
      <w:rFonts w:ascii="Symbol" w:hAnsi="Symbol"/>
    </w:rPr>
  </w:style>
  <w:style w:type="character" w:customStyle="1" w:styleId="MenuOptions">
    <w:name w:val="Menu Options"/>
    <w:basedOn w:val="DefaultParagraphFont"/>
    <w:rsid w:val="00B32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66C"/>
    <w:rPr>
      <w:b/>
    </w:rPr>
  </w:style>
  <w:style w:type="character" w:customStyle="1" w:styleId="Underlined">
    <w:name w:val="Underlined"/>
    <w:basedOn w:val="DefaultParagraphFont"/>
    <w:rsid w:val="00B3266C"/>
    <w:rPr>
      <w:u w:val="single"/>
    </w:rPr>
  </w:style>
  <w:style w:type="paragraph" w:customStyle="1" w:styleId="TableBodyTextRight">
    <w:name w:val="Table Body Text Right"/>
    <w:basedOn w:val="TableBodyText"/>
    <w:rsid w:val="00B32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66C"/>
    <w:rPr>
      <w:sz w:val="18"/>
    </w:rPr>
  </w:style>
  <w:style w:type="paragraph" w:customStyle="1" w:styleId="BodySmallRight">
    <w:name w:val="Body Small Right"/>
    <w:basedOn w:val="BodyTextRight"/>
    <w:rsid w:val="00B3266C"/>
    <w:rPr>
      <w:sz w:val="18"/>
      <w:szCs w:val="18"/>
    </w:rPr>
  </w:style>
  <w:style w:type="paragraph" w:customStyle="1" w:styleId="MarginEdition">
    <w:name w:val="Margin Edition"/>
    <w:basedOn w:val="MarginNote"/>
    <w:rsid w:val="00B32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66C"/>
    <w:rPr>
      <w:sz w:val="2"/>
      <w:szCs w:val="2"/>
    </w:rPr>
  </w:style>
  <w:style w:type="character" w:customStyle="1" w:styleId="Small">
    <w:name w:val="Small"/>
    <w:basedOn w:val="DefaultParagraphFont"/>
    <w:rsid w:val="00B3266C"/>
    <w:rPr>
      <w:sz w:val="16"/>
    </w:rPr>
  </w:style>
  <w:style w:type="paragraph" w:customStyle="1" w:styleId="WideTable">
    <w:name w:val="Wide Table"/>
    <w:basedOn w:val="Normal"/>
    <w:rsid w:val="00B32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66C"/>
  </w:style>
  <w:style w:type="paragraph" w:styleId="Quote">
    <w:name w:val="Quote"/>
    <w:basedOn w:val="Heading1"/>
    <w:link w:val="QuoteChar"/>
    <w:qFormat/>
    <w:rsid w:val="00B32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66C"/>
    <w:pPr>
      <w:pageBreakBefore/>
    </w:pPr>
  </w:style>
  <w:style w:type="paragraph" w:customStyle="1" w:styleId="Border">
    <w:name w:val="Border"/>
    <w:basedOn w:val="Normal"/>
    <w:qFormat/>
    <w:rsid w:val="00B32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66C"/>
    <w:rPr>
      <w:u w:val="single"/>
    </w:rPr>
  </w:style>
  <w:style w:type="character" w:customStyle="1" w:styleId="BoldandItalics">
    <w:name w:val="Bold and Italics"/>
    <w:qFormat/>
    <w:rsid w:val="00B3266C"/>
    <w:rPr>
      <w:b/>
      <w:i/>
      <w:u w:val="none"/>
    </w:rPr>
  </w:style>
  <w:style w:type="paragraph" w:styleId="BalloonText">
    <w:name w:val="Balloon Text"/>
    <w:basedOn w:val="Normal"/>
    <w:link w:val="BalloonTextChar"/>
    <w:rsid w:val="00B32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66C"/>
    <w:pPr>
      <w:spacing w:before="0" w:after="0"/>
    </w:pPr>
  </w:style>
  <w:style w:type="paragraph" w:customStyle="1" w:styleId="BodyTextBold">
    <w:name w:val="Body Text Bold"/>
    <w:basedOn w:val="BodyText"/>
    <w:qFormat/>
    <w:rsid w:val="00B3266C"/>
    <w:rPr>
      <w:b/>
    </w:rPr>
  </w:style>
  <w:style w:type="character" w:styleId="Hyperlink">
    <w:name w:val="Hyperlink"/>
    <w:basedOn w:val="DefaultParagraphFont"/>
    <w:uiPriority w:val="99"/>
    <w:unhideWhenUsed/>
    <w:rsid w:val="00322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3614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MSTGN4005 Plan and implement production within a work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2021-07-21T08:45:00Z</dcterms:created>
  <dcterms:modified xsi:type="dcterms:W3CDTF">2021-07-21T08:45:00Z</dcterms:modified>
</cp:coreProperties>
</file>