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306" w:rsidP="006803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MSTGN3015 Supervise operations in a TCF enterprise</w:t>
      </w:r>
      <w:r>
        <w:fldChar w:fldCharType="end"/>
      </w:r>
    </w:p>
    <w:p w:rsidR="00680306" w:rsidP="00680306">
      <w:pPr>
        <w:pStyle w:val="Version"/>
        <w:sectPr w:rsidSect="00B266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6AF" w:rsidP="00B266AF">
      <w:pPr>
        <w:pStyle w:val="SuperHeading"/>
      </w:pPr>
      <w:r w:rsidRPr="00B266AF">
        <w:t>MSTGN3015 Supervise operations in a TCF enterprise</w:t>
      </w:r>
    </w:p>
    <w:p w:rsidR="00000000" w:rsidRPr="00B266AF" w:rsidP="00B266AF">
      <w:pPr>
        <w:pStyle w:val="Heading1"/>
      </w:pPr>
      <w:bookmarkStart w:id="1" w:name="O_1064040"/>
      <w:bookmarkEnd w:id="1"/>
      <w:r w:rsidRPr="00B266AF">
        <w:t>Modification History</w:t>
      </w:r>
    </w:p>
    <w:p w:rsidR="00000000" w:rsidRPr="00B266AF" w:rsidP="00680306">
      <w:pPr>
        <w:pStyle w:val="BodyText"/>
      </w:pPr>
      <w:r w:rsidRPr="00B266AF">
        <w:t xml:space="preserve">Release 1. Supersedes </w:t>
      </w:r>
      <w:r w:rsidRPr="00B266AF">
        <w:rPr>
          <w:rStyle w:val="SpecialBold"/>
        </w:rPr>
        <w:t>and is equivalent to</w:t>
      </w:r>
      <w:r w:rsidRPr="00B266AF">
        <w:t xml:space="preserve"> MSTGN3004 Supervise operations in a TCF enterprise.</w:t>
      </w:r>
    </w:p>
    <w:p w:rsidR="00000000" w:rsidRPr="00B266AF" w:rsidP="00B266AF">
      <w:pPr>
        <w:pStyle w:val="Heading1"/>
      </w:pPr>
      <w:bookmarkStart w:id="2" w:name="O_1064041"/>
      <w:bookmarkEnd w:id="2"/>
      <w:r w:rsidRPr="00B266AF">
        <w:t>Application</w:t>
      </w:r>
    </w:p>
    <w:p w:rsidR="00000000" w:rsidRPr="00B266AF" w:rsidP="00680306">
      <w:pPr>
        <w:pStyle w:val="BodyText"/>
      </w:pPr>
      <w:r w:rsidRPr="00B266AF">
        <w:t>This unit of competency describes the skills and knowledge required to supervise operations within a</w:t>
      </w:r>
      <w:r w:rsidRPr="00B266AF">
        <w:t xml:space="preserve"> textiles, clothing and footwear (TCF) enterprise. It requires extensive knowledge and experience in working with machines, equipment, materials and processes associated with the TCF operations.</w:t>
      </w:r>
    </w:p>
    <w:p w:rsidR="00000000" w:rsidRPr="00B266AF" w:rsidP="00680306">
      <w:pPr>
        <w:pStyle w:val="BodyText"/>
      </w:pPr>
      <w:r w:rsidRPr="00B266AF">
        <w:t>This unit apples to all sectors of the TCF industry.</w:t>
      </w:r>
    </w:p>
    <w:p w:rsidR="00000000" w:rsidRPr="00B266AF" w:rsidP="00680306">
      <w:pPr>
        <w:pStyle w:val="BodyText"/>
      </w:pPr>
      <w:r w:rsidRPr="00B266AF">
        <w:t>Work may</w:t>
      </w:r>
      <w:r w:rsidRPr="00B266AF">
        <w:t xml:space="preserve"> be conducted in small to large scale enterprises and may involve individual and team activities. It may involve the supervision of a section of an enterprise, other personnel and/or technical processes.</w:t>
      </w:r>
    </w:p>
    <w:p w:rsidR="00000000" w:rsidRPr="00B266AF" w:rsidP="00680306">
      <w:pPr>
        <w:pStyle w:val="BodyText"/>
      </w:pPr>
      <w:r w:rsidRPr="00B266AF">
        <w:t xml:space="preserve">No licensing or certification requirements exist at </w:t>
      </w:r>
      <w:r w:rsidRPr="00B266AF">
        <w:t>the time of publication. Relevant legislation, industry standards and codes of practice within Australia must be applied.</w:t>
      </w:r>
    </w:p>
    <w:p w:rsidR="00000000" w:rsidRPr="00B266AF" w:rsidP="00B266AF">
      <w:pPr>
        <w:pStyle w:val="Heading1"/>
      </w:pPr>
      <w:bookmarkStart w:id="3" w:name="O_1064042"/>
      <w:bookmarkEnd w:id="3"/>
      <w:r w:rsidRPr="00B266AF">
        <w:t>Pre-requisite Unit</w:t>
      </w:r>
    </w:p>
    <w:p w:rsidR="00000000" w:rsidRPr="00B266AF" w:rsidP="00680306">
      <w:pPr>
        <w:pStyle w:val="BodyText"/>
      </w:pPr>
      <w:r w:rsidRPr="00B266AF">
        <w:t>Nil</w:t>
      </w:r>
    </w:p>
    <w:p w:rsidR="00000000" w:rsidRPr="00B266AF" w:rsidP="00B266AF">
      <w:pPr>
        <w:pStyle w:val="Heading1"/>
      </w:pPr>
      <w:bookmarkStart w:id="4" w:name="O_1064043"/>
      <w:bookmarkEnd w:id="4"/>
      <w:r w:rsidRPr="00B266AF">
        <w:t>Competency Field</w:t>
      </w:r>
    </w:p>
    <w:p w:rsidR="00000000" w:rsidRPr="00B266AF" w:rsidP="00680306">
      <w:pPr>
        <w:pStyle w:val="BodyText"/>
      </w:pPr>
      <w:r w:rsidRPr="00B266AF">
        <w:t>Generic</w:t>
      </w:r>
    </w:p>
    <w:p w:rsidR="00000000" w:rsidRPr="00B266AF" w:rsidP="00B266AF">
      <w:pPr>
        <w:pStyle w:val="Heading1"/>
      </w:pPr>
      <w:bookmarkStart w:id="5" w:name="O_1064045"/>
      <w:bookmarkEnd w:id="5"/>
      <w:r w:rsidRPr="00B266AF">
        <w:t>Elements and Performance Crit</w:t>
      </w:r>
      <w:r w:rsidRPr="00B266AF">
        <w:t>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6803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6AF" w:rsidP="00B266AF">
            <w:pPr>
              <w:pStyle w:val="BodyText"/>
            </w:pPr>
            <w:r w:rsidRPr="00B266AF">
              <w:rPr>
                <w:rStyle w:val="SpecialBold"/>
              </w:rPr>
              <w:t>Elements</w:t>
            </w:r>
          </w:p>
          <w:p w:rsidR="00000000" w:rsidRPr="00B266AF" w:rsidP="00B266AF">
            <w:pPr>
              <w:pStyle w:val="BodyText"/>
            </w:pPr>
            <w:r w:rsidRPr="00B266AF">
              <w:rPr>
                <w:rStyle w:val="Emphasis"/>
              </w:rPr>
              <w:t xml:space="preserve">Elements describe the </w:t>
            </w:r>
            <w:r w:rsidRPr="00B266AF">
              <w:t xml:space="preserve">essential </w:t>
            </w:r>
            <w:r w:rsidRPr="00B266AF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6AF" w:rsidP="00B266AF">
            <w:pPr>
              <w:pStyle w:val="BodyText"/>
            </w:pPr>
            <w:r w:rsidRPr="00B266AF">
              <w:rPr>
                <w:rStyle w:val="SpecialBold"/>
              </w:rPr>
              <w:t>Performance Criteria</w:t>
            </w:r>
          </w:p>
          <w:p w:rsidR="00000000" w:rsidP="00B266AF">
            <w:pPr>
              <w:pStyle w:val="BodyText"/>
              <w:rPr>
                <w:lang w:val="en-NZ"/>
              </w:rPr>
            </w:pPr>
            <w:r w:rsidRPr="00B266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03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6AF" w:rsidP="00B266AF">
            <w:pPr>
              <w:pStyle w:val="BodyText"/>
            </w:pPr>
            <w:r w:rsidRPr="00B266AF">
              <w:t xml:space="preserve">1. Identify scope of supervisory responsibility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6AF" w:rsidP="00B266AF">
            <w:pPr>
              <w:pStyle w:val="BodyText"/>
            </w:pPr>
            <w:r w:rsidRPr="00B266AF">
              <w:t>1.1 Determine job and safe work requirements from work infomration</w:t>
            </w:r>
          </w:p>
          <w:p w:rsidR="00000000" w:rsidRPr="00B266AF" w:rsidP="00B266AF">
            <w:pPr>
              <w:pStyle w:val="BodyText"/>
            </w:pPr>
            <w:r w:rsidRPr="00B266AF">
              <w:t>1.2 Identify machine operations, staff, resources and operation processes within work area</w:t>
            </w:r>
          </w:p>
          <w:p w:rsidR="00000000" w:rsidRPr="00B266AF" w:rsidP="00B266AF">
            <w:pPr>
              <w:pStyle w:val="BodyText"/>
            </w:pPr>
            <w:r w:rsidRPr="00B266AF">
              <w:t xml:space="preserve">1.3 Determine production targets and identify maintenance requirements </w:t>
            </w:r>
          </w:p>
          <w:p w:rsidR="00000000" w:rsidRPr="00B266AF" w:rsidP="00B266AF">
            <w:pPr>
              <w:pStyle w:val="BodyText"/>
            </w:pPr>
            <w:r w:rsidRPr="00B266AF">
              <w:t>1.4 Identify scope and lim</w:t>
            </w:r>
            <w:r w:rsidRPr="00B266AF">
              <w:t xml:space="preserve">itations of supervisory role </w:t>
            </w:r>
          </w:p>
          <w:p w:rsidR="00000000" w:rsidP="00B266AF">
            <w:pPr>
              <w:pStyle w:val="BodyText"/>
              <w:rPr>
                <w:lang w:val="en-NZ"/>
              </w:rPr>
            </w:pPr>
            <w:r w:rsidRPr="00B266AF">
              <w:t xml:space="preserve">1.5 Identify responsibilities to coordinate orientation activities for new </w:t>
            </w:r>
            <w:r w:rsidRPr="00B266AF">
              <w:t xml:space="preserve">staff and visitors </w:t>
            </w:r>
          </w:p>
        </w:tc>
      </w:tr>
      <w:tr w:rsidTr="006803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6AF" w:rsidP="00B266AF">
            <w:pPr>
              <w:pStyle w:val="BodyText"/>
            </w:pPr>
            <w:r w:rsidRPr="00B266AF">
              <w:t xml:space="preserve">2. Provide technical support to operators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6AF" w:rsidP="00B266AF">
            <w:pPr>
              <w:pStyle w:val="BodyText"/>
            </w:pPr>
            <w:r w:rsidRPr="00B266AF">
              <w:t xml:space="preserve">2.1 Identify operator roles and allocate personnel </w:t>
            </w:r>
          </w:p>
          <w:p w:rsidR="00000000" w:rsidRPr="00B266AF" w:rsidP="00B266AF">
            <w:pPr>
              <w:pStyle w:val="BodyText"/>
            </w:pPr>
            <w:r w:rsidRPr="00B266AF">
              <w:t xml:space="preserve">2.2 Monitor operator productivity </w:t>
            </w:r>
            <w:r w:rsidRPr="00B266AF">
              <w:t xml:space="preserve">and ability to conduct work effectively and safely </w:t>
            </w:r>
          </w:p>
          <w:p w:rsidR="00000000" w:rsidRPr="00B266AF" w:rsidP="00B266AF">
            <w:pPr>
              <w:pStyle w:val="BodyText"/>
            </w:pPr>
            <w:r w:rsidRPr="00B266AF">
              <w:t>2.3 Identify training needs and communicate with appropriate personnel</w:t>
            </w:r>
          </w:p>
          <w:p w:rsidR="00000000" w:rsidRPr="00B266AF" w:rsidP="00B266AF">
            <w:pPr>
              <w:pStyle w:val="BodyText"/>
            </w:pPr>
            <w:r w:rsidRPr="00B266AF">
              <w:t>2.4 Address technical problems raised by operators regarding machinery, product quality and operational safety</w:t>
            </w:r>
          </w:p>
          <w:p w:rsidR="00000000" w:rsidP="00B266AF">
            <w:pPr>
              <w:pStyle w:val="BodyText"/>
              <w:rPr>
                <w:lang w:val="en-NZ"/>
              </w:rPr>
            </w:pPr>
            <w:r w:rsidRPr="00B266AF">
              <w:t xml:space="preserve">2.5 Provide technical </w:t>
            </w:r>
            <w:r w:rsidRPr="00B266AF">
              <w:t>support to operators according to their needs</w:t>
            </w:r>
          </w:p>
        </w:tc>
      </w:tr>
      <w:tr w:rsidTr="006803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6AF" w:rsidP="00B266AF">
            <w:pPr>
              <w:pStyle w:val="BodyText"/>
            </w:pPr>
            <w:r w:rsidRPr="00B266AF">
              <w:t xml:space="preserve">3. Supervise team activity </w:t>
            </w:r>
          </w:p>
          <w:p w:rsidR="00000000" w:rsidRPr="00B266AF" w:rsidP="00B266AF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6AF" w:rsidP="00B266AF">
            <w:pPr>
              <w:pStyle w:val="BodyText"/>
            </w:pPr>
            <w:r w:rsidRPr="00B266AF">
              <w:t>3.1 Establish production standards with team members and monitor compliance with workplace procedures and work health and safety requirements</w:t>
            </w:r>
          </w:p>
          <w:p w:rsidR="00000000" w:rsidRPr="00B266AF" w:rsidP="00B266AF">
            <w:pPr>
              <w:pStyle w:val="BodyText"/>
            </w:pPr>
            <w:r w:rsidRPr="00B266AF">
              <w:t>3.2 Monitor and address work allocation requirements to maintain optimum production efficiency</w:t>
            </w:r>
          </w:p>
          <w:p w:rsidR="00000000" w:rsidRPr="00B266AF" w:rsidP="00B266AF">
            <w:pPr>
              <w:pStyle w:val="BodyText"/>
            </w:pPr>
            <w:r w:rsidRPr="00B266AF">
              <w:t>3.3 Use effective communication skills to communicate targets and procedures to appropriate personnel</w:t>
            </w:r>
          </w:p>
          <w:p w:rsidR="00000000" w:rsidRPr="00B266AF" w:rsidP="00B266AF">
            <w:pPr>
              <w:pStyle w:val="BodyText"/>
            </w:pPr>
            <w:r w:rsidRPr="00B266AF">
              <w:t>3.4 Monitor and support team communications and relationshi</w:t>
            </w:r>
            <w:r w:rsidRPr="00B266AF">
              <w:t>ps</w:t>
            </w:r>
          </w:p>
          <w:p w:rsidR="00000000" w:rsidP="00B266AF">
            <w:pPr>
              <w:pStyle w:val="BodyText"/>
              <w:rPr>
                <w:lang w:val="en-NZ"/>
              </w:rPr>
            </w:pPr>
            <w:r w:rsidRPr="00B266AF">
              <w:t>3.5 Monitor and address movement of materials through operations and production output against targets according to production requirements</w:t>
            </w:r>
          </w:p>
        </w:tc>
      </w:tr>
      <w:tr w:rsidTr="006803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6AF">
            <w:pPr>
              <w:pStyle w:val="BodyText"/>
              <w:rPr>
                <w:lang w:val="en-NZ"/>
              </w:rPr>
            </w:pPr>
            <w:r w:rsidRPr="00B266AF">
              <w:t>4. Maintain communication with operators and management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6AF" w:rsidP="00B266AF">
            <w:pPr>
              <w:pStyle w:val="BodyText"/>
            </w:pPr>
            <w:r w:rsidRPr="00B266AF">
              <w:t>4.1 Identify and liaise with downstream and upstream are</w:t>
            </w:r>
            <w:r w:rsidRPr="00B266AF">
              <w:t>as to ensure quality and efficiency of operations based on production requirements</w:t>
            </w:r>
          </w:p>
          <w:p w:rsidR="00000000" w:rsidRPr="00B266AF" w:rsidP="00B266AF">
            <w:pPr>
              <w:pStyle w:val="BodyText"/>
            </w:pPr>
            <w:r w:rsidRPr="00B266AF">
              <w:t xml:space="preserve">4.2 Keep management informed of progress and any issues which may affect operation outcomes </w:t>
            </w:r>
          </w:p>
          <w:p w:rsidR="00000000" w:rsidRPr="00B266AF" w:rsidP="00B266AF">
            <w:pPr>
              <w:pStyle w:val="BodyText"/>
            </w:pPr>
            <w:r w:rsidRPr="00B266AF">
              <w:t>4.3 Maintain ongoing liaison with management to guide operation targets</w:t>
            </w:r>
          </w:p>
          <w:p w:rsidR="00000000" w:rsidP="00B266AF">
            <w:pPr>
              <w:pStyle w:val="BodyText"/>
              <w:rPr>
                <w:lang w:val="en-NZ"/>
              </w:rPr>
            </w:pPr>
            <w:r w:rsidRPr="00B266AF">
              <w:t>4.4 Cons</w:t>
            </w:r>
            <w:r w:rsidRPr="00B266AF">
              <w:t>ult with maintenance staff and management to identify opportunities to minimise down time</w:t>
            </w:r>
          </w:p>
        </w:tc>
      </w:tr>
      <w:tr w:rsidTr="006803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6AF">
            <w:pPr>
              <w:pStyle w:val="BodyText"/>
              <w:rPr>
                <w:lang w:val="en-NZ"/>
              </w:rPr>
            </w:pPr>
            <w:r w:rsidRPr="00B266AF">
              <w:t xml:space="preserve">5. Complete workplace documentation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6AF" w:rsidP="00B266AF">
            <w:pPr>
              <w:pStyle w:val="BodyText"/>
            </w:pPr>
            <w:r w:rsidRPr="00B266AF">
              <w:t>5.1 Identify documentation procedures for each step of operations</w:t>
            </w:r>
          </w:p>
          <w:p w:rsidR="00000000" w:rsidRPr="00B266AF" w:rsidP="00B266AF">
            <w:pPr>
              <w:pStyle w:val="BodyText"/>
            </w:pPr>
            <w:r w:rsidRPr="00B266AF">
              <w:t>5.2 Monitor compliance with documented requirements</w:t>
            </w:r>
          </w:p>
          <w:p w:rsidR="00000000" w:rsidRPr="00B266AF" w:rsidP="00B266AF">
            <w:pPr>
              <w:pStyle w:val="BodyText"/>
            </w:pPr>
            <w:r w:rsidRPr="00B266AF">
              <w:t>5.3 Comple</w:t>
            </w:r>
            <w:r w:rsidRPr="00B266AF">
              <w:t>te records and reports in accordance with workplace requirements</w:t>
            </w:r>
          </w:p>
        </w:tc>
      </w:tr>
    </w:tbl>
    <w:p w:rsidR="00000000" w:rsidRPr="00B266AF" w:rsidP="00B266AF">
      <w:pPr>
        <w:pStyle w:val="BodyText"/>
      </w:pPr>
    </w:p>
    <w:p w:rsidR="00000000" w:rsidRPr="00B266AF" w:rsidP="00B266AF">
      <w:pPr>
        <w:pStyle w:val="AllowPageBreak"/>
      </w:pPr>
    </w:p>
    <w:p w:rsidR="00000000" w:rsidRPr="00B266AF" w:rsidP="00B266AF">
      <w:pPr>
        <w:pStyle w:val="Heading1"/>
      </w:pPr>
      <w:bookmarkStart w:id="6" w:name="O_1064046"/>
      <w:bookmarkEnd w:id="6"/>
      <w:r w:rsidRPr="00B266AF">
        <w:t>Foundation Skills</w:t>
      </w:r>
    </w:p>
    <w:p w:rsidR="00000000" w:rsidRPr="00B266AF" w:rsidP="00680306">
      <w:pPr>
        <w:pStyle w:val="BodyText"/>
      </w:pPr>
      <w:r w:rsidRPr="00B266AF">
        <w:t>This section describes those language, literacy, numeracy and employment skills that are essential to performance.</w:t>
      </w:r>
    </w:p>
    <w:p w:rsidR="00000000" w:rsidRPr="00B266AF" w:rsidP="00B266AF">
      <w:pPr>
        <w:pStyle w:val="ListBullet"/>
      </w:pPr>
      <w:r w:rsidRPr="00B266AF">
        <w:t>Reading skills to interpret t</w:t>
      </w:r>
      <w:r w:rsidRPr="00B266AF">
        <w:t>echnical guidance material, standard operating procedures (SOPs), product specifications and key requirements of industry standards</w:t>
      </w:r>
    </w:p>
    <w:p w:rsidR="00000000" w:rsidRPr="00B266AF" w:rsidP="00B266AF">
      <w:pPr>
        <w:pStyle w:val="ListBullet"/>
      </w:pPr>
      <w:r w:rsidRPr="00B266AF">
        <w:t>Problem solving skills to identify and rectify technical difficulties.</w:t>
      </w:r>
    </w:p>
    <w:p w:rsidR="00000000" w:rsidRPr="00B266AF" w:rsidP="00B266AF">
      <w:pPr>
        <w:pStyle w:val="BodyText"/>
      </w:pPr>
    </w:p>
    <w:p w:rsidR="00000000" w:rsidRPr="00B266AF" w:rsidP="00680306">
      <w:pPr>
        <w:pStyle w:val="BodyText"/>
      </w:pPr>
      <w:r w:rsidRPr="00B266AF">
        <w:t>Other foundation skills essential to performance are</w:t>
      </w:r>
      <w:r w:rsidRPr="00B266AF">
        <w:t xml:space="preserve"> explicit in the performance criteria of this unit.</w:t>
      </w:r>
    </w:p>
    <w:p w:rsidR="00000000" w:rsidRPr="00B266AF" w:rsidP="00B266AF">
      <w:pPr>
        <w:pStyle w:val="Heading1"/>
      </w:pPr>
      <w:bookmarkStart w:id="7" w:name="O_1064048"/>
      <w:bookmarkEnd w:id="7"/>
      <w:r w:rsidRPr="00B266AF">
        <w:t>Unit Mapping Information</w:t>
      </w:r>
    </w:p>
    <w:p w:rsidR="00000000" w:rsidRPr="00B266AF" w:rsidP="00680306">
      <w:pPr>
        <w:pStyle w:val="BodyText"/>
      </w:pPr>
      <w:r w:rsidRPr="00B266AF">
        <w:t>Release 1. Supersedes</w:t>
      </w:r>
      <w:r w:rsidRPr="00B266AF">
        <w:rPr>
          <w:rStyle w:val="SpecialBold"/>
        </w:rPr>
        <w:t xml:space="preserve"> and is equivalent to</w:t>
      </w:r>
      <w:r w:rsidRPr="00B266AF">
        <w:t xml:space="preserve"> MSTGN3004 Supervise operations in a TCF enterprise.</w:t>
      </w:r>
    </w:p>
    <w:p w:rsidR="00000000" w:rsidRPr="00B266AF" w:rsidP="00B266AF">
      <w:pPr>
        <w:pStyle w:val="Heading1"/>
      </w:pPr>
      <w:bookmarkStart w:id="8" w:name="O_1064055"/>
      <w:bookmarkEnd w:id="8"/>
      <w:r w:rsidRPr="00B266AF">
        <w:t>Links</w:t>
      </w:r>
    </w:p>
    <w:p w:rsidR="00000000" w:rsidRPr="00B266AF" w:rsidP="00680306">
      <w:pPr>
        <w:pStyle w:val="BodyText"/>
      </w:pPr>
      <w:r w:rsidRPr="00B266AF">
        <w:t>Companion Volume implementation guides a</w:t>
      </w:r>
      <w:r w:rsidRPr="00B266AF">
        <w:t xml:space="preserve">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D191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266AF" w:rsidP="00B266AF"/>
    <w:sectPr w:rsidSect="00B266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6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6AF" w:rsidRPr="00680306" w:rsidP="006803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6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06" w:rsidP="00B266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0306" w:rsidP="00B266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80306" w:rsidP="00B266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6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6AF" w:rsidRPr="00680306" w:rsidP="006803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6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06" w:rsidRPr="002D2AF8" w:rsidP="00B266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MSTGN3015 Supervise operations in a TCF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80306" w:rsidP="00B266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E0D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7EEF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6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6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6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6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6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6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6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6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6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6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6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6AF"/>
  </w:style>
  <w:style w:type="character" w:customStyle="1" w:styleId="Heading1Char">
    <w:name w:val="Heading 1 Char"/>
    <w:basedOn w:val="DefaultParagraphFont"/>
    <w:link w:val="Heading1"/>
    <w:rsid w:val="00B266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6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6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66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66AF"/>
    <w:rPr>
      <w:b/>
      <w:spacing w:val="0"/>
    </w:rPr>
  </w:style>
  <w:style w:type="character" w:styleId="Emphasis">
    <w:name w:val="Emphasis"/>
    <w:basedOn w:val="DefaultParagraphFont"/>
    <w:qFormat/>
    <w:rsid w:val="00B266AF"/>
    <w:rPr>
      <w:i/>
    </w:rPr>
  </w:style>
  <w:style w:type="paragraph" w:customStyle="1" w:styleId="SuperHeading">
    <w:name w:val="SuperHeading"/>
    <w:basedOn w:val="Normal"/>
    <w:rsid w:val="00B266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6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66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6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6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6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6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6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6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6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6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6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6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6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6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6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6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66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66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6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6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66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66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6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6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6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6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6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6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6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6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66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6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6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6AF"/>
  </w:style>
  <w:style w:type="paragraph" w:styleId="TableofFigures">
    <w:name w:val="table of figures"/>
    <w:basedOn w:val="Normal"/>
    <w:next w:val="Normal"/>
    <w:semiHidden/>
    <w:rsid w:val="00B266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6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66AF"/>
    <w:rPr>
      <w:rFonts w:ascii="Wingdings" w:hAnsi="Wingdings"/>
    </w:rPr>
  </w:style>
  <w:style w:type="paragraph" w:customStyle="1" w:styleId="TableHeading">
    <w:name w:val="Table Heading"/>
    <w:basedOn w:val="HeadingBase"/>
    <w:rsid w:val="00B266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6AF"/>
    <w:rPr>
      <w:color w:val="0033CC"/>
      <w:u w:val="none"/>
    </w:rPr>
  </w:style>
  <w:style w:type="paragraph" w:customStyle="1" w:styleId="BodyTextRight">
    <w:name w:val="Body Text Right"/>
    <w:basedOn w:val="BodyText"/>
    <w:rsid w:val="00B266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6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6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6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6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6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6AF"/>
    <w:rPr>
      <w:sz w:val="32"/>
    </w:rPr>
  </w:style>
  <w:style w:type="paragraph" w:customStyle="1" w:styleId="HeadingProcedure">
    <w:name w:val="Heading Procedure"/>
    <w:basedOn w:val="HeadingBase"/>
    <w:next w:val="Normal"/>
    <w:rsid w:val="00B266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6AF"/>
    <w:pPr>
      <w:spacing w:before="60" w:after="60"/>
    </w:pPr>
  </w:style>
  <w:style w:type="paragraph" w:styleId="ListContinue">
    <w:name w:val="List Continue"/>
    <w:basedOn w:val="List"/>
    <w:rsid w:val="00B266AF"/>
    <w:pPr>
      <w:ind w:firstLine="0"/>
    </w:pPr>
  </w:style>
  <w:style w:type="paragraph" w:customStyle="1" w:styleId="ListNote">
    <w:name w:val="List Note"/>
    <w:basedOn w:val="List"/>
    <w:rsid w:val="00B266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6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6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6AF"/>
    <w:rPr>
      <w:rFonts w:ascii="Courier New" w:hAnsi="Courier New"/>
    </w:rPr>
  </w:style>
  <w:style w:type="paragraph" w:customStyle="1" w:styleId="NoteBullet">
    <w:name w:val="Note Bullet"/>
    <w:basedOn w:val="Note"/>
    <w:rsid w:val="00B266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6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6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6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6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66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6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6AF"/>
    <w:rPr>
      <w:b/>
      <w:smallCaps/>
    </w:rPr>
  </w:style>
  <w:style w:type="paragraph" w:customStyle="1" w:styleId="TableListNumber">
    <w:name w:val="Table List Number"/>
    <w:basedOn w:val="ListNumber"/>
    <w:rsid w:val="00B266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6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6AF"/>
    <w:pPr>
      <w:numPr>
        <w:numId w:val="8"/>
      </w:numPr>
    </w:pPr>
  </w:style>
  <w:style w:type="paragraph" w:customStyle="1" w:styleId="ListAlpha2">
    <w:name w:val="List Alpha 2"/>
    <w:basedOn w:val="List2"/>
    <w:rsid w:val="00B266AF"/>
    <w:pPr>
      <w:numPr>
        <w:numId w:val="7"/>
      </w:numPr>
    </w:pPr>
  </w:style>
  <w:style w:type="paragraph" w:styleId="List2">
    <w:name w:val="List 2"/>
    <w:basedOn w:val="BodyText"/>
    <w:rsid w:val="00B266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6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6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6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6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6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66AF"/>
    <w:pPr>
      <w:numPr>
        <w:numId w:val="3"/>
      </w:numPr>
    </w:pPr>
  </w:style>
  <w:style w:type="paragraph" w:styleId="ListContinue2">
    <w:name w:val="List Continue 2"/>
    <w:basedOn w:val="List2"/>
    <w:rsid w:val="00B266AF"/>
    <w:pPr>
      <w:ind w:firstLine="0"/>
    </w:pPr>
  </w:style>
  <w:style w:type="paragraph" w:styleId="ListContinue3">
    <w:name w:val="List Continue 3"/>
    <w:basedOn w:val="List3"/>
    <w:rsid w:val="00B266AF"/>
    <w:pPr>
      <w:ind w:left="1021" w:firstLine="0"/>
    </w:pPr>
  </w:style>
  <w:style w:type="paragraph" w:styleId="ListContinue4">
    <w:name w:val="List Continue 4"/>
    <w:basedOn w:val="List4"/>
    <w:rsid w:val="00B266AF"/>
    <w:pPr>
      <w:ind w:firstLine="0"/>
    </w:pPr>
  </w:style>
  <w:style w:type="paragraph" w:styleId="ListContinue5">
    <w:name w:val="List Continue 5"/>
    <w:basedOn w:val="List5"/>
    <w:rsid w:val="00B266AF"/>
    <w:pPr>
      <w:ind w:firstLine="0"/>
    </w:pPr>
  </w:style>
  <w:style w:type="paragraph" w:styleId="ListNumber3">
    <w:name w:val="List Number 3"/>
    <w:basedOn w:val="List3"/>
    <w:rsid w:val="00B266AF"/>
    <w:pPr>
      <w:numPr>
        <w:numId w:val="4"/>
      </w:numPr>
    </w:pPr>
  </w:style>
  <w:style w:type="paragraph" w:styleId="ListNumber4">
    <w:name w:val="List Number 4"/>
    <w:basedOn w:val="List4"/>
    <w:rsid w:val="00B266AF"/>
    <w:pPr>
      <w:numPr>
        <w:numId w:val="5"/>
      </w:numPr>
    </w:pPr>
  </w:style>
  <w:style w:type="paragraph" w:styleId="ListNumber5">
    <w:name w:val="List Number 5"/>
    <w:basedOn w:val="List5"/>
    <w:rsid w:val="00B266AF"/>
    <w:pPr>
      <w:numPr>
        <w:numId w:val="6"/>
      </w:numPr>
    </w:pPr>
  </w:style>
  <w:style w:type="paragraph" w:styleId="BlockText">
    <w:name w:val="Block Text"/>
    <w:basedOn w:val="Normal"/>
    <w:rsid w:val="00B266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6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6AF"/>
    <w:rPr>
      <w:sz w:val="16"/>
      <w:vertAlign w:val="superscript"/>
    </w:rPr>
  </w:style>
  <w:style w:type="character" w:customStyle="1" w:styleId="Symbols">
    <w:name w:val="Symbols"/>
    <w:basedOn w:val="DefaultParagraphFont"/>
    <w:rsid w:val="00B266AF"/>
    <w:rPr>
      <w:rFonts w:ascii="Symbol" w:hAnsi="Symbol"/>
    </w:rPr>
  </w:style>
  <w:style w:type="character" w:customStyle="1" w:styleId="MenuOptions">
    <w:name w:val="Menu Options"/>
    <w:basedOn w:val="DefaultParagraphFont"/>
    <w:rsid w:val="00B266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6AF"/>
    <w:rPr>
      <w:b/>
    </w:rPr>
  </w:style>
  <w:style w:type="character" w:customStyle="1" w:styleId="Underlined">
    <w:name w:val="Underlined"/>
    <w:basedOn w:val="DefaultParagraphFont"/>
    <w:rsid w:val="00B266AF"/>
    <w:rPr>
      <w:u w:val="single"/>
    </w:rPr>
  </w:style>
  <w:style w:type="paragraph" w:customStyle="1" w:styleId="TableBodyTextRight">
    <w:name w:val="Table Body Text Right"/>
    <w:basedOn w:val="TableBodyText"/>
    <w:rsid w:val="00B266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6AF"/>
    <w:rPr>
      <w:sz w:val="18"/>
    </w:rPr>
  </w:style>
  <w:style w:type="paragraph" w:customStyle="1" w:styleId="BodySmallRight">
    <w:name w:val="Body Small Right"/>
    <w:basedOn w:val="BodyTextRight"/>
    <w:rsid w:val="00B266AF"/>
    <w:rPr>
      <w:sz w:val="18"/>
      <w:szCs w:val="18"/>
    </w:rPr>
  </w:style>
  <w:style w:type="paragraph" w:customStyle="1" w:styleId="MarginEdition">
    <w:name w:val="Margin Edition"/>
    <w:basedOn w:val="MarginNote"/>
    <w:rsid w:val="00B266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6AF"/>
    <w:rPr>
      <w:sz w:val="2"/>
      <w:szCs w:val="2"/>
    </w:rPr>
  </w:style>
  <w:style w:type="character" w:customStyle="1" w:styleId="Small">
    <w:name w:val="Small"/>
    <w:basedOn w:val="DefaultParagraphFont"/>
    <w:rsid w:val="00B266AF"/>
    <w:rPr>
      <w:sz w:val="16"/>
    </w:rPr>
  </w:style>
  <w:style w:type="paragraph" w:customStyle="1" w:styleId="WideTable">
    <w:name w:val="Wide Table"/>
    <w:basedOn w:val="Normal"/>
    <w:rsid w:val="00B266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6AF"/>
  </w:style>
  <w:style w:type="paragraph" w:styleId="Quote">
    <w:name w:val="Quote"/>
    <w:basedOn w:val="Heading1"/>
    <w:link w:val="QuoteChar"/>
    <w:qFormat/>
    <w:rsid w:val="00B266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6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6AF"/>
    <w:pPr>
      <w:pageBreakBefore/>
    </w:pPr>
  </w:style>
  <w:style w:type="paragraph" w:customStyle="1" w:styleId="Border">
    <w:name w:val="Border"/>
    <w:basedOn w:val="Normal"/>
    <w:qFormat/>
    <w:rsid w:val="00B266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6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6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6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6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6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6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6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6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6AF"/>
    <w:rPr>
      <w:u w:val="single"/>
    </w:rPr>
  </w:style>
  <w:style w:type="character" w:customStyle="1" w:styleId="BoldandItalics">
    <w:name w:val="Bold and Italics"/>
    <w:qFormat/>
    <w:rsid w:val="00B266AF"/>
    <w:rPr>
      <w:b/>
      <w:i/>
      <w:u w:val="none"/>
    </w:rPr>
  </w:style>
  <w:style w:type="paragraph" w:styleId="BalloonText">
    <w:name w:val="Balloon Text"/>
    <w:basedOn w:val="Normal"/>
    <w:link w:val="BalloonTextChar"/>
    <w:rsid w:val="00B266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6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6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6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6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6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6AF"/>
    <w:pPr>
      <w:spacing w:before="0" w:after="0"/>
    </w:pPr>
  </w:style>
  <w:style w:type="paragraph" w:customStyle="1" w:styleId="BodyTextBold">
    <w:name w:val="Body Text Bold"/>
    <w:basedOn w:val="BodyText"/>
    <w:qFormat/>
    <w:rsid w:val="00B266AF"/>
    <w:rPr>
      <w:b/>
    </w:rPr>
  </w:style>
  <w:style w:type="character" w:styleId="Hyperlink">
    <w:name w:val="Hyperlink"/>
    <w:basedOn w:val="DefaultParagraphFont"/>
    <w:uiPriority w:val="99"/>
    <w:unhideWhenUsed/>
    <w:rsid w:val="006803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3702</Characters>
  <Application>Microsoft Office Word</Application>
  <DocSecurity>0</DocSecurity>
  <Lines>112</Lines>
  <Paragraphs>65</Paragraphs>
  <ScaleCrop>false</ScaleCrop>
  <Company>Author-it Software Corporation Ltd.</Company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MSTGN3015 Supervise operations in a TCF enterprise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2022-12-22T00:41:00Z</dcterms:created>
  <dcterms:modified xsi:type="dcterms:W3CDTF">2022-12-22T00:41:00Z</dcterms:modified>
</cp:coreProperties>
</file>