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658" w:rsidP="00037658">
      <w:pPr>
        <w:pStyle w:val="Title"/>
      </w:pPr>
      <w:r>
        <w:fldChar w:fldCharType="begin"/>
      </w:r>
      <w:r>
        <w:instrText xml:space="preserve"> TITLE   \* MERGEFORMAT </w:instrText>
      </w:r>
      <w:r>
        <w:fldChar w:fldCharType="separate"/>
      </w:r>
      <w:r>
        <w:t>MSTGN3007 Monitor and operate trade waste</w:t>
      </w:r>
      <w:r>
        <w:fldChar w:fldCharType="end"/>
      </w:r>
    </w:p>
    <w:p w:rsidR="00037658" w:rsidP="00037658">
      <w:pPr>
        <w:pStyle w:val="Version"/>
        <w:sectPr w:rsidSect="003A6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259" w:rsidP="003A6259">
      <w:pPr>
        <w:pStyle w:val="SuperHeading"/>
      </w:pPr>
      <w:r w:rsidRPr="003A6259">
        <w:t>MSTGN3007 Monitor and operate trade waste</w:t>
      </w:r>
    </w:p>
    <w:p w:rsidR="00000000" w:rsidRPr="003A6259" w:rsidP="003A6259">
      <w:pPr>
        <w:pStyle w:val="Heading1"/>
      </w:pPr>
      <w:bookmarkStart w:id="1" w:name="O_931458"/>
      <w:bookmarkEnd w:id="1"/>
      <w:r w:rsidRPr="003A6259">
        <w:t>Modification History</w:t>
      </w:r>
    </w:p>
    <w:p w:rsidR="00000000" w:rsidRPr="003A6259" w:rsidP="00037658">
      <w:pPr>
        <w:pStyle w:val="BodyText"/>
      </w:pPr>
      <w:r w:rsidRPr="003A6259">
        <w:t>Release 1. Supersedes and is equivalent to LMTGN3007B Monitor and operate trade waste</w:t>
      </w:r>
    </w:p>
    <w:p w:rsidR="00000000" w:rsidRPr="003A6259" w:rsidP="003A6259">
      <w:pPr>
        <w:pStyle w:val="Heading1"/>
      </w:pPr>
      <w:bookmarkStart w:id="2" w:name="O_931466"/>
      <w:bookmarkEnd w:id="2"/>
      <w:r w:rsidRPr="003A6259">
        <w:t>Application</w:t>
      </w:r>
    </w:p>
    <w:p w:rsidR="00000000" w:rsidRPr="003A6259" w:rsidP="00037658">
      <w:pPr>
        <w:pStyle w:val="BodyText"/>
      </w:pPr>
      <w:r w:rsidRPr="003A6259">
        <w:t xml:space="preserve">This unit of competency covers the skills and knowledge required to monitor, operate, measure and report on trade waste </w:t>
      </w:r>
      <w:r w:rsidRPr="003A6259">
        <w:t>system performance and process quality control.</w:t>
      </w:r>
    </w:p>
    <w:p w:rsidR="00000000" w:rsidRPr="003A6259" w:rsidP="00037658">
      <w:pPr>
        <w:pStyle w:val="BodyText"/>
      </w:pPr>
      <w:r w:rsidRPr="003A6259">
        <w:t xml:space="preserve">This unit of competency applies to processing plant operations and inspection of work areas, monitoring, operating, measuring and reporting on trade waste systems. </w:t>
      </w:r>
    </w:p>
    <w:p w:rsidR="00000000" w:rsidRPr="003A6259" w:rsidP="00037658">
      <w:pPr>
        <w:pStyle w:val="BodyText"/>
      </w:pPr>
      <w:r w:rsidRPr="003A6259">
        <w:t>Work may be conducted in restricted space</w:t>
      </w:r>
      <w:r w:rsidRPr="003A6259">
        <w:t>s or exposed conditions or controlled or open environments.</w:t>
      </w:r>
    </w:p>
    <w:p w:rsidR="00000000" w:rsidRPr="003A6259" w:rsidP="00037658">
      <w:pPr>
        <w:pStyle w:val="BodyText"/>
      </w:pPr>
      <w:r w:rsidRPr="003A6259">
        <w:t>This unit of competency is applicable to all sectors of the textiles, clothing and footwear (TCF) industry.</w:t>
      </w:r>
    </w:p>
    <w:p w:rsidR="00000000" w:rsidRPr="003A6259" w:rsidP="00037658">
      <w:pPr>
        <w:pStyle w:val="BodyText"/>
      </w:pPr>
      <w:r w:rsidRPr="003A6259">
        <w:t>Work may be conducted in small to large scale enterprises and may involve individual a</w:t>
      </w:r>
      <w:r w:rsidRPr="003A6259">
        <w:t xml:space="preserve">nd team activities. Work is performed within defined procedures under direct supervision. </w:t>
      </w:r>
    </w:p>
    <w:p w:rsidR="00000000" w:rsidRPr="003A6259" w:rsidP="00037658">
      <w:pPr>
        <w:pStyle w:val="BodyText"/>
      </w:pPr>
      <w:r w:rsidRPr="003A6259">
        <w:t>No licensing, legislative or certification requirements apply to this unit at the time of publication.</w:t>
      </w:r>
    </w:p>
    <w:p w:rsidR="00000000" w:rsidRPr="003A6259" w:rsidP="003A6259">
      <w:pPr>
        <w:pStyle w:val="Heading1"/>
      </w:pPr>
      <w:bookmarkStart w:id="3" w:name="O_931465"/>
      <w:bookmarkEnd w:id="3"/>
      <w:r w:rsidRPr="003A6259">
        <w:t>Pre-requisite Unit</w:t>
      </w:r>
    </w:p>
    <w:p w:rsidR="00000000" w:rsidRPr="003A6259" w:rsidP="00037658">
      <w:pPr>
        <w:pStyle w:val="BodyText"/>
      </w:pPr>
      <w:r w:rsidRPr="003A6259">
        <w:t>Nil</w:t>
      </w:r>
    </w:p>
    <w:p w:rsidR="00000000" w:rsidRPr="003A6259" w:rsidP="003A6259">
      <w:pPr>
        <w:pStyle w:val="Heading1"/>
      </w:pPr>
      <w:bookmarkStart w:id="4" w:name="O_931464"/>
      <w:bookmarkEnd w:id="4"/>
      <w:r w:rsidRPr="003A6259">
        <w:t>Comp</w:t>
      </w:r>
      <w:r w:rsidRPr="003A6259">
        <w:t>etency Field</w:t>
      </w:r>
    </w:p>
    <w:p w:rsidR="00000000" w:rsidRPr="003A6259" w:rsidP="00037658">
      <w:pPr>
        <w:pStyle w:val="BodyText"/>
      </w:pPr>
      <w:r w:rsidRPr="003A6259">
        <w:t>Generic</w:t>
      </w:r>
    </w:p>
    <w:p w:rsidR="00000000" w:rsidRPr="003A6259" w:rsidP="003A6259">
      <w:pPr>
        <w:pStyle w:val="Heading1"/>
      </w:pPr>
      <w:bookmarkStart w:id="5" w:name="O_931463"/>
      <w:bookmarkEnd w:id="5"/>
      <w:r w:rsidRPr="003A6259">
        <w:t>Unit Sector</w:t>
      </w:r>
    </w:p>
    <w:p w:rsidR="00000000" w:rsidRPr="003A6259" w:rsidP="00037658">
      <w:pPr>
        <w:pStyle w:val="BodyText"/>
      </w:pPr>
      <w:r w:rsidRPr="003A6259">
        <w:t>Not applicable</w:t>
      </w:r>
    </w:p>
    <w:p w:rsidR="00000000" w:rsidRPr="003A6259" w:rsidP="003A6259">
      <w:pPr>
        <w:pStyle w:val="Heading1"/>
      </w:pPr>
      <w:bookmarkStart w:id="6" w:name="O_931462"/>
      <w:bookmarkEnd w:id="6"/>
      <w:r w:rsidRPr="003A62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A62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Performance criteria describe the performance needed to demonstrate achievement of the element.</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6259" w:rsidP="003A6259">
            <w:pPr>
              <w:pStyle w:val="BodyText"/>
            </w:pPr>
            <w:r w:rsidRPr="003A6259">
              <w:t>1</w:t>
            </w:r>
          </w:p>
        </w:tc>
        <w:tc>
          <w:tcPr>
            <w:tcW w:w="1962" w:type="dxa"/>
            <w:vMerge w:val="restart"/>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1.1</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Follow standard operating procedures (SOPs)</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1.2</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Comply with work health and safety (WHS) requirements at all times</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1.3</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Use appropriate personal protective equipment (PPE) in accordance with SOPs</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1.4</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Identify job requirements from specifications, drawings, job sheets or work instructions</w:t>
            </w:r>
          </w:p>
        </w:tc>
      </w:tr>
      <w:tr w:rsidTr="003A62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6259">
            <w:pPr>
              <w:pStyle w:val="BodyText"/>
              <w:rPr>
                <w:lang w:val="en-NZ"/>
              </w:rPr>
            </w:pP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6259" w:rsidP="003A6259">
            <w:pPr>
              <w:pStyle w:val="BodyText"/>
            </w:pPr>
            <w:r w:rsidRPr="003A6259">
              <w:t>2</w:t>
            </w:r>
          </w:p>
        </w:tc>
        <w:tc>
          <w:tcPr>
            <w:tcW w:w="1962" w:type="dxa"/>
            <w:vMerge w:val="restart"/>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rPr>
                <w:rStyle w:val="SpecialBold"/>
              </w:rPr>
              <w:t xml:space="preserve">Monitor treatment plant performance  </w:t>
            </w: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2.1</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Conduct and assess routine plant inspections in accordance with organisational and plant requirements</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2.2</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 xml:space="preserve">Collect and conduct tests of process samples </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2.3</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Collect and report process data according to organisational and plant requirements and workplace procedures</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2.4</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Identify corrosion damage</w:t>
            </w:r>
          </w:p>
        </w:tc>
      </w:tr>
      <w:tr w:rsidTr="003A62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6259">
            <w:pPr>
              <w:pStyle w:val="BodyText"/>
              <w:rPr>
                <w:lang w:val="en-NZ"/>
              </w:rPr>
            </w:pP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6259" w:rsidP="003A6259">
            <w:pPr>
              <w:pStyle w:val="BodyText"/>
            </w:pPr>
            <w:r w:rsidRPr="003A6259">
              <w:t>3</w:t>
            </w:r>
          </w:p>
        </w:tc>
        <w:tc>
          <w:tcPr>
            <w:tcW w:w="1962" w:type="dxa"/>
            <w:vMerge w:val="restart"/>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rPr>
                <w:rStyle w:val="SpecialBold"/>
              </w:rPr>
              <w:t>Control chemical use</w:t>
            </w: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3.1</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Use, handle and store chemicals in accordance with organisational and statutory requirements</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3.2</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Prepare chemical dosing in accordance with plant processes and organisational and statutory requirements</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3.3</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Maintain information related to chemical supply and usage in accordance with statutory requirements</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3.4</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Interact and communicate with other employees and relevant authorities</w:t>
            </w:r>
          </w:p>
        </w:tc>
      </w:tr>
      <w:tr w:rsidTr="003A625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6259">
            <w:pPr>
              <w:pStyle w:val="BodyText"/>
              <w:rPr>
                <w:lang w:val="en-NZ"/>
              </w:rPr>
            </w:pP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6259" w:rsidP="003A6259">
            <w:pPr>
              <w:pStyle w:val="BodyText"/>
            </w:pPr>
            <w:r w:rsidRPr="003A6259">
              <w:t>4</w:t>
            </w:r>
          </w:p>
        </w:tc>
        <w:tc>
          <w:tcPr>
            <w:tcW w:w="1962" w:type="dxa"/>
            <w:vMerge w:val="restart"/>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rPr>
                <w:rStyle w:val="SpecialBold"/>
              </w:rPr>
              <w:t>Operate and control processes</w:t>
            </w: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4.1</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Monitor processes to maintain parameters of operation</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4.2</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Identify and report process faults and operational conditions of plant in accordance with organisational and statutory requirements</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4.3</w:t>
            </w:r>
          </w:p>
        </w:tc>
        <w:tc>
          <w:tcPr>
            <w:tcW w:w="561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Assess basic system adjustments to enhance system performance in accordance with organisational and statutory requirements</w:t>
            </w:r>
          </w:p>
        </w:tc>
      </w:tr>
      <w:tr w:rsidTr="003A62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4.4</w:t>
            </w:r>
          </w:p>
        </w:tc>
        <w:tc>
          <w:tcPr>
            <w:tcW w:w="5610" w:type="dxa"/>
            <w:tcBorders>
              <w:top w:val="nil"/>
              <w:left w:val="nil"/>
              <w:bottom w:val="nil"/>
              <w:right w:val="nil"/>
            </w:tcBorders>
            <w:tcMar>
              <w:top w:w="0" w:type="dxa"/>
              <w:left w:w="62" w:type="dxa"/>
              <w:bottom w:w="0" w:type="dxa"/>
              <w:right w:w="62" w:type="dxa"/>
            </w:tcMar>
          </w:tcPr>
          <w:p w:rsidR="00000000" w:rsidRPr="003A6259" w:rsidP="003A6259">
            <w:pPr>
              <w:pStyle w:val="BodyText"/>
            </w:pPr>
            <w:r w:rsidRPr="003A6259">
              <w:t>Compile reports compiled from plant and system data to meet organisational and statutory requirements</w:t>
            </w:r>
          </w:p>
        </w:tc>
      </w:tr>
    </w:tbl>
    <w:p w:rsidR="00000000" w:rsidRPr="003A6259" w:rsidP="003A6259">
      <w:pPr>
        <w:pStyle w:val="BodyText"/>
      </w:pPr>
    </w:p>
    <w:p w:rsidR="00000000" w:rsidRPr="003A6259" w:rsidP="003A6259">
      <w:pPr>
        <w:pStyle w:val="AllowPageBreak"/>
      </w:pPr>
    </w:p>
    <w:p w:rsidR="00000000" w:rsidRPr="003A6259" w:rsidP="003A6259">
      <w:pPr>
        <w:pStyle w:val="Heading1"/>
      </w:pPr>
      <w:bookmarkStart w:id="7" w:name="O_931461"/>
      <w:bookmarkEnd w:id="7"/>
      <w:r w:rsidRPr="003A6259">
        <w:t>Foundation Skills</w:t>
      </w:r>
    </w:p>
    <w:p w:rsidR="00000000" w:rsidRPr="003A6259" w:rsidP="00037658">
      <w:pPr>
        <w:pStyle w:val="BodyText"/>
      </w:pPr>
      <w:r w:rsidRPr="003A6259">
        <w:t>This section describes those required skills (language, literacy and numeracy) that are essential to performance.</w:t>
      </w:r>
    </w:p>
    <w:p w:rsidR="00000000" w:rsidRPr="003A6259" w:rsidP="00037658">
      <w:pPr>
        <w:pStyle w:val="BodyText"/>
      </w:pPr>
      <w:r w:rsidRPr="003A6259">
        <w:t>Foundation skills essential to performance are explicit in the performance criteria of this unit of competency.</w:t>
      </w:r>
    </w:p>
    <w:p w:rsidR="00000000" w:rsidRPr="003A6259" w:rsidP="003A6259">
      <w:pPr>
        <w:pStyle w:val="Heading1"/>
      </w:pPr>
      <w:bookmarkStart w:id="8" w:name="O_931460"/>
      <w:bookmarkEnd w:id="8"/>
      <w:r w:rsidRPr="003A6259">
        <w:t>Range of Conditions</w:t>
      </w:r>
    </w:p>
    <w:tbl>
      <w:tblPr>
        <w:tblW w:w="0" w:type="auto"/>
        <w:tblCellMar>
          <w:left w:w="62" w:type="dxa"/>
          <w:right w:w="62" w:type="dxa"/>
        </w:tblCellMar>
        <w:tblLook w:val="0000"/>
      </w:tblPr>
      <w:tblGrid>
        <w:gridCol w:w="2163"/>
        <w:gridCol w:w="7033"/>
      </w:tblGrid>
      <w:tr w:rsidTr="000376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t xml:space="preserve">This field allows for different work environments and conditions that may affect performance. Essential operating conditions that may be present (depending on the work situation, needs of the candidate, accessibility of the item, </w:t>
            </w:r>
            <w:r w:rsidRPr="003A6259">
              <w:t>and local industry and regional contexts) are included.</w:t>
            </w:r>
          </w:p>
        </w:tc>
      </w:tr>
      <w:tr w:rsidTr="000376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A6259" w:rsidP="003A6259">
            <w:pPr>
              <w:pStyle w:val="ListBullet"/>
            </w:pPr>
            <w:r w:rsidRPr="003A6259">
              <w:t>requirements prescribed by legislation, awards, agreements and conditions of employment</w:t>
            </w:r>
          </w:p>
          <w:p w:rsidR="00000000" w:rsidRPr="003A6259" w:rsidP="003A6259">
            <w:pPr>
              <w:pStyle w:val="ListBullet"/>
            </w:pPr>
            <w:r w:rsidRPr="003A6259">
              <w:t>SOPs</w:t>
            </w:r>
          </w:p>
          <w:p w:rsidR="00000000" w:rsidRPr="003A6259" w:rsidP="003A6259">
            <w:pPr>
              <w:pStyle w:val="ListBullet"/>
            </w:pPr>
            <w:r w:rsidRPr="003A6259">
              <w:t>work instructions</w:t>
            </w:r>
          </w:p>
          <w:p w:rsidR="00000000" w:rsidRPr="003A6259" w:rsidP="003A6259">
            <w:pPr>
              <w:pStyle w:val="ListBullet"/>
            </w:pPr>
            <w:r w:rsidRPr="003A6259">
              <w:t>oral, written and visual communication</w:t>
            </w:r>
          </w:p>
          <w:p w:rsidR="00000000" w:rsidRPr="003A6259" w:rsidP="003A6259">
            <w:pPr>
              <w:pStyle w:val="ListBullet"/>
            </w:pPr>
            <w:r w:rsidRPr="003A6259">
              <w:t>quality practices, including responsibility for maintenance of own work quality and contribution to quality improvement of team or section output</w:t>
            </w:r>
          </w:p>
          <w:p w:rsidR="00000000" w:rsidRPr="003A6259" w:rsidP="003A6259">
            <w:pPr>
              <w:pStyle w:val="ListBullet"/>
            </w:pPr>
            <w:r w:rsidRPr="003A6259">
              <w:t>housekeeping</w:t>
            </w:r>
          </w:p>
          <w:p w:rsidR="00000000" w:rsidRPr="003A6259" w:rsidP="003A6259">
            <w:pPr>
              <w:pStyle w:val="ListBullet"/>
            </w:pPr>
            <w:r w:rsidRPr="003A6259">
              <w:t>tasks related to environmental protection, waste disposal,</w:t>
            </w:r>
            <w:r w:rsidRPr="003A6259">
              <w:t xml:space="preserve"> pollution control and recycling</w:t>
            </w:r>
          </w:p>
          <w:p w:rsidR="00000000" w:rsidRPr="003A6259" w:rsidP="003A6259">
            <w:pPr>
              <w:pStyle w:val="ListBullet"/>
            </w:pPr>
            <w:r w:rsidRPr="003A6259">
              <w:t>WHS practices</w:t>
            </w:r>
          </w:p>
          <w:p w:rsidR="00000000" w:rsidP="003A6259">
            <w:pPr>
              <w:pStyle w:val="BodyText"/>
              <w:rPr>
                <w:lang w:val="en-NZ"/>
              </w:rPr>
            </w:pPr>
          </w:p>
        </w:tc>
      </w:tr>
      <w:tr w:rsidTr="000376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A6259" w:rsidP="003A6259">
            <w:pPr>
              <w:pStyle w:val="ListBullet"/>
            </w:pPr>
            <w:r w:rsidRPr="003A6259">
              <w:t>the relevant industry or Australian Standards that are current at the time this unit is being undertaken</w:t>
            </w:r>
          </w:p>
          <w:p w:rsidR="00000000" w:rsidP="003A6259">
            <w:pPr>
              <w:pStyle w:val="BodyText"/>
              <w:rPr>
                <w:lang w:val="en-NZ"/>
              </w:rPr>
            </w:pPr>
          </w:p>
        </w:tc>
      </w:tr>
      <w:tr w:rsidTr="000376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rPr>
                <w:rStyle w:val="SpecialBold"/>
              </w:rPr>
              <w:t>Process includes, but is not limited to, one or more of the following</w:t>
            </w:r>
            <w:r w:rsidRPr="003A6259">
              <w:rPr>
                <w:rStyle w:val="SpecialBold"/>
              </w:rPr>
              <w:t>:</w:t>
            </w:r>
          </w:p>
        </w:tc>
        <w:tc>
          <w:tcPr>
            <w:tcW w:w="0" w:type="auto"/>
            <w:tcBorders>
              <w:top w:val="nil"/>
              <w:left w:val="nil"/>
              <w:bottom w:val="nil"/>
              <w:right w:val="nil"/>
            </w:tcBorders>
            <w:tcMar>
              <w:top w:w="0" w:type="dxa"/>
              <w:left w:w="62" w:type="dxa"/>
              <w:bottom w:w="0" w:type="dxa"/>
              <w:right w:w="62" w:type="dxa"/>
            </w:tcMar>
          </w:tcPr>
          <w:p w:rsidR="00000000" w:rsidRPr="003A6259" w:rsidP="003A6259">
            <w:pPr>
              <w:pStyle w:val="ListBullet"/>
            </w:pPr>
            <w:r w:rsidRPr="003A6259">
              <w:t>chemical precipitation</w:t>
            </w:r>
          </w:p>
          <w:p w:rsidR="00000000" w:rsidRPr="003A6259" w:rsidP="003A6259">
            <w:pPr>
              <w:pStyle w:val="ListBullet"/>
            </w:pPr>
            <w:r w:rsidRPr="003A6259">
              <w:t>activated sludge</w:t>
            </w:r>
          </w:p>
          <w:p w:rsidR="00000000" w:rsidRPr="003A6259" w:rsidP="003A6259">
            <w:pPr>
              <w:pStyle w:val="ListBullet"/>
            </w:pPr>
            <w:r w:rsidRPr="003A6259">
              <w:t>biodegradable reduction</w:t>
            </w:r>
          </w:p>
          <w:p w:rsidR="00000000" w:rsidRPr="003A6259" w:rsidP="003A6259">
            <w:pPr>
              <w:pStyle w:val="ListBullet"/>
            </w:pPr>
            <w:r w:rsidRPr="003A6259">
              <w:t>solids handling</w:t>
            </w:r>
          </w:p>
          <w:p w:rsidR="00000000" w:rsidP="003A6259">
            <w:pPr>
              <w:pStyle w:val="BodyText"/>
              <w:rPr>
                <w:lang w:val="en-NZ"/>
              </w:rPr>
            </w:pPr>
          </w:p>
        </w:tc>
      </w:tr>
      <w:tr w:rsidTr="000376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rPr>
                <w:rStyle w:val="SpecialBold"/>
              </w:rPr>
              <w:t>Data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A6259" w:rsidP="003A6259">
            <w:pPr>
              <w:pStyle w:val="ListBullet"/>
            </w:pPr>
            <w:r w:rsidRPr="003A6259">
              <w:t>plant performance data</w:t>
            </w:r>
          </w:p>
          <w:p w:rsidR="00000000" w:rsidRPr="003A6259" w:rsidP="003A6259">
            <w:pPr>
              <w:pStyle w:val="ListBullet"/>
            </w:pPr>
            <w:r w:rsidRPr="003A6259">
              <w:t>chemical usage</w:t>
            </w:r>
          </w:p>
          <w:p w:rsidR="00000000" w:rsidP="003A6259">
            <w:pPr>
              <w:pStyle w:val="BodyText"/>
              <w:rPr>
                <w:lang w:val="en-NZ"/>
              </w:rPr>
            </w:pPr>
          </w:p>
        </w:tc>
      </w:tr>
      <w:tr w:rsidTr="000376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rPr>
                <w:rStyle w:val="SpecialBold"/>
              </w:rPr>
              <w:t>Te</w:t>
            </w:r>
            <w:r w:rsidRPr="003A6259">
              <w:rPr>
                <w:rStyle w:val="SpecialBold"/>
              </w:rPr>
              <w:t>sts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A6259" w:rsidP="003A6259">
            <w:pPr>
              <w:pStyle w:val="ListBullet"/>
            </w:pPr>
            <w:r w:rsidRPr="003A6259">
              <w:t>settling tests</w:t>
            </w:r>
          </w:p>
          <w:p w:rsidR="00000000" w:rsidRPr="003A6259" w:rsidP="003A6259">
            <w:pPr>
              <w:pStyle w:val="ListBullet"/>
            </w:pPr>
            <w:r w:rsidRPr="003A6259">
              <w:t>pH</w:t>
            </w:r>
          </w:p>
          <w:p w:rsidR="00000000" w:rsidRPr="003A6259" w:rsidP="003A6259">
            <w:pPr>
              <w:pStyle w:val="ListBullet"/>
            </w:pPr>
            <w:r w:rsidRPr="003A6259">
              <w:t>dissolved oxygen</w:t>
            </w:r>
          </w:p>
          <w:p w:rsidR="00000000" w:rsidP="003A6259">
            <w:pPr>
              <w:pStyle w:val="BodyText"/>
              <w:rPr>
                <w:lang w:val="en-NZ"/>
              </w:rPr>
            </w:pPr>
          </w:p>
        </w:tc>
      </w:tr>
      <w:tr w:rsidTr="000376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rPr>
                <w:rStyle w:val="SpecialBold"/>
              </w:rPr>
              <w:t>System adjustments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A6259" w:rsidP="003A6259">
            <w:pPr>
              <w:pStyle w:val="ListBullet"/>
            </w:pPr>
            <w:r w:rsidRPr="003A6259">
              <w:t>pH correction</w:t>
            </w:r>
          </w:p>
          <w:p w:rsidR="00000000" w:rsidRPr="003A6259" w:rsidP="003A6259">
            <w:pPr>
              <w:pStyle w:val="ListBullet"/>
            </w:pPr>
            <w:r w:rsidRPr="003A6259">
              <w:t>dissolved oxygen levels</w:t>
            </w:r>
          </w:p>
          <w:p w:rsidR="00000000" w:rsidP="003A6259">
            <w:pPr>
              <w:pStyle w:val="BodyText"/>
              <w:rPr>
                <w:lang w:val="en-NZ"/>
              </w:rPr>
            </w:pPr>
          </w:p>
        </w:tc>
      </w:tr>
      <w:tr w:rsidTr="000376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259">
            <w:pPr>
              <w:pStyle w:val="BodyText"/>
              <w:rPr>
                <w:lang w:val="en-NZ"/>
              </w:rPr>
            </w:pPr>
            <w:r w:rsidRPr="003A6259">
              <w:rPr>
                <w:rStyle w:val="SpecialBold"/>
              </w:rPr>
              <w:t>Equip</w:t>
            </w:r>
            <w:r w:rsidRPr="003A6259">
              <w:rPr>
                <w:rStyle w:val="SpecialBold"/>
              </w:rPr>
              <w:t>ment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A6259" w:rsidP="003A6259">
            <w:pPr>
              <w:pStyle w:val="ListBullet"/>
            </w:pPr>
            <w:r w:rsidRPr="003A6259">
              <w:t>electronic monitoring and metering systems</w:t>
            </w:r>
          </w:p>
          <w:p w:rsidR="00000000" w:rsidRPr="003A6259" w:rsidP="003A6259">
            <w:pPr>
              <w:pStyle w:val="ListBullet"/>
            </w:pPr>
            <w:r w:rsidRPr="003A6259">
              <w:t>manual chart recording systems</w:t>
            </w:r>
          </w:p>
          <w:p w:rsidR="00000000" w:rsidRPr="003A6259" w:rsidP="003A6259">
            <w:pPr>
              <w:pStyle w:val="ListBullet"/>
            </w:pPr>
            <w:r w:rsidRPr="003A6259">
              <w:t>laboratory testing and sampling equipment</w:t>
            </w:r>
          </w:p>
          <w:p w:rsidR="00000000" w:rsidRPr="003A6259" w:rsidP="003A6259">
            <w:pPr>
              <w:pStyle w:val="ListBullet"/>
            </w:pPr>
            <w:r w:rsidRPr="003A6259">
              <w:t>computerised equipment</w:t>
            </w:r>
          </w:p>
        </w:tc>
      </w:tr>
    </w:tbl>
    <w:p w:rsidR="00000000" w:rsidRPr="003A6259" w:rsidP="003A6259">
      <w:pPr>
        <w:pStyle w:val="BodyText"/>
      </w:pPr>
    </w:p>
    <w:p w:rsidR="00000000" w:rsidRPr="003A6259" w:rsidP="003A6259">
      <w:pPr>
        <w:pStyle w:val="AllowPageBreak"/>
      </w:pPr>
    </w:p>
    <w:p w:rsidR="00000000" w:rsidRPr="003A6259" w:rsidP="003A6259">
      <w:pPr>
        <w:pStyle w:val="Heading1"/>
      </w:pPr>
      <w:bookmarkStart w:id="9" w:name="O_931459"/>
      <w:bookmarkEnd w:id="9"/>
      <w:r w:rsidRPr="003A6259">
        <w:t>Unit Mapping Information</w:t>
      </w:r>
    </w:p>
    <w:p w:rsidR="00000000" w:rsidRPr="003A6259" w:rsidP="00037658">
      <w:pPr>
        <w:pStyle w:val="BodyText"/>
      </w:pPr>
      <w:r w:rsidRPr="003A6259">
        <w:t>Release 1. Supersedes and is equivalent to LMTGN3007B Monitor and operate trade waste</w:t>
      </w:r>
    </w:p>
    <w:p w:rsidR="00000000" w:rsidRPr="003A6259" w:rsidP="003A6259">
      <w:pPr>
        <w:pStyle w:val="Heading1"/>
      </w:pPr>
      <w:bookmarkStart w:id="10" w:name="O_931452"/>
      <w:bookmarkEnd w:id="10"/>
      <w:r w:rsidRPr="003A6259">
        <w:t>Links</w:t>
      </w:r>
    </w:p>
    <w:p w:rsidR="00000000" w:rsidRPr="003A6259" w:rsidP="00037658">
      <w:pPr>
        <w:pStyle w:val="BodyText"/>
      </w:pPr>
      <w:r w:rsidRPr="003A625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A12BF">
        <w:rPr>
          <w:rStyle w:val="Hyperlink"/>
        </w:rPr>
        <w:t>https://vetnet.gov.au/Pages/TrainingDocs.aspx?q=a203ec5c-de7d-406b-b3e1-8f1a9b76e92e</w:t>
      </w:r>
      <w:r>
        <w:fldChar w:fldCharType="end"/>
      </w:r>
    </w:p>
    <w:p w:rsidR="00000000" w:rsidRPr="003A6259" w:rsidP="00037658">
      <w:pPr>
        <w:pStyle w:val="BodyText"/>
        <w:sectPr w:rsidSect="003A6259">
          <w:headerReference w:type="default" r:id="rId10"/>
          <w:footerReference w:type="default" r:id="rId11"/>
          <w:pgSz w:w="11908" w:h="16833"/>
          <w:pgMar w:top="1702" w:right="1418" w:bottom="1702" w:left="1418" w:header="992" w:footer="992" w:gutter="0"/>
          <w:cols w:space="720"/>
          <w:noEndnote/>
          <w:docGrid w:linePitch="299"/>
        </w:sectPr>
      </w:pPr>
    </w:p>
    <w:p w:rsidR="00000000" w:rsidRPr="003A6259" w:rsidP="003A6259">
      <w:pPr>
        <w:pStyle w:val="SuperHeading"/>
      </w:pPr>
      <w:r w:rsidRPr="003A6259">
        <w:t>Assessment Requirements for MSTGN3007 Monitor and operate trade waste</w:t>
      </w:r>
    </w:p>
    <w:p w:rsidR="00000000" w:rsidRPr="003A6259" w:rsidP="003A6259">
      <w:pPr>
        <w:pStyle w:val="Heading1"/>
      </w:pPr>
      <w:bookmarkStart w:id="11" w:name="O_931454"/>
      <w:bookmarkEnd w:id="11"/>
      <w:r w:rsidRPr="003A6259">
        <w:t>Modification History</w:t>
      </w:r>
    </w:p>
    <w:p w:rsidR="00000000" w:rsidRPr="003A6259" w:rsidP="00037658">
      <w:pPr>
        <w:pStyle w:val="BodyText"/>
      </w:pPr>
      <w:r w:rsidRPr="003A6259">
        <w:t>Release 1. Supersedes and is equivalent to LMTGN3007B Monitor and operate trade waste</w:t>
      </w:r>
    </w:p>
    <w:p w:rsidR="00000000" w:rsidRPr="003A6259" w:rsidP="003A6259">
      <w:pPr>
        <w:pStyle w:val="Heading1"/>
      </w:pPr>
      <w:bookmarkStart w:id="12" w:name="O_931457"/>
      <w:bookmarkEnd w:id="12"/>
      <w:r w:rsidRPr="003A6259">
        <w:t>Performance Evidence</w:t>
      </w:r>
    </w:p>
    <w:p w:rsidR="00000000" w:rsidRPr="003A6259" w:rsidP="00037658">
      <w:pPr>
        <w:pStyle w:val="BodyText"/>
      </w:pPr>
      <w:r w:rsidRPr="003A6259">
        <w:t>Evidence required to demonstrate competence in this unit must be relevant to and satisfy the requirements of the elements and performance criteria, and include:</w:t>
      </w:r>
    </w:p>
    <w:p w:rsidR="00000000" w:rsidRPr="003A6259" w:rsidP="003A6259">
      <w:pPr>
        <w:pStyle w:val="ListBullet"/>
      </w:pPr>
      <w:r w:rsidRPr="003A6259">
        <w:t>reading and following work instructions, standard operating procedures (S</w:t>
      </w:r>
      <w:r w:rsidRPr="003A6259">
        <w:t xml:space="preserve">OPs), safe work practices </w:t>
      </w:r>
    </w:p>
    <w:p w:rsidR="00000000" w:rsidRPr="003A6259" w:rsidP="003A6259">
      <w:pPr>
        <w:pStyle w:val="ListBullet"/>
      </w:pPr>
      <w:r w:rsidRPr="003A6259">
        <w:t>applying relevant standards</w:t>
      </w:r>
    </w:p>
    <w:p w:rsidR="00000000" w:rsidRPr="003A6259" w:rsidP="003A6259">
      <w:pPr>
        <w:pStyle w:val="ListBullet"/>
      </w:pPr>
      <w:r w:rsidRPr="003A6259">
        <w:t>conducting routine plant inspections, assessing processes, and collecting and conducting tests of process samples, in accordance with organisational and plant requirements</w:t>
      </w:r>
    </w:p>
    <w:p w:rsidR="00000000" w:rsidRPr="003A6259" w:rsidP="003A6259">
      <w:pPr>
        <w:pStyle w:val="ListBullet"/>
      </w:pPr>
      <w:r w:rsidRPr="003A6259">
        <w:t>complying with organisational and statutory requirements to use, handle and store chemicals, prepare and apply chemical and biological dosing</w:t>
      </w:r>
    </w:p>
    <w:p w:rsidR="00000000" w:rsidRPr="003A6259" w:rsidP="003A6259">
      <w:pPr>
        <w:pStyle w:val="ListBullet"/>
      </w:pPr>
      <w:r w:rsidRPr="003A6259">
        <w:t>maintaining accurate records of test results/work records</w:t>
      </w:r>
    </w:p>
    <w:p w:rsidR="00000000" w:rsidRPr="003A6259" w:rsidP="003A6259">
      <w:pPr>
        <w:pStyle w:val="ListBullet"/>
      </w:pPr>
      <w:r w:rsidRPr="003A6259">
        <w:t>communicating effectively within the workplace and maint</w:t>
      </w:r>
      <w:r w:rsidRPr="003A6259">
        <w:t>aining information related to chemical supply and usage</w:t>
      </w:r>
    </w:p>
    <w:p w:rsidR="00000000" w:rsidRPr="003A6259" w:rsidP="003A6259">
      <w:pPr>
        <w:pStyle w:val="ListBullet"/>
      </w:pPr>
      <w:r w:rsidRPr="003A6259">
        <w:t>interpreting and applying established procedures</w:t>
      </w:r>
    </w:p>
    <w:p w:rsidR="00000000" w:rsidRPr="003A6259" w:rsidP="003A6259">
      <w:pPr>
        <w:pStyle w:val="ListBullet"/>
      </w:pPr>
      <w:r w:rsidRPr="003A6259">
        <w:t>identifying and reporting process faults and operational conditions of plant in accordance with organisational and statutory requirements</w:t>
      </w:r>
    </w:p>
    <w:p w:rsidR="00000000" w:rsidRPr="003A6259" w:rsidP="003A6259">
      <w:pPr>
        <w:pStyle w:val="ListBullet"/>
      </w:pPr>
      <w:r w:rsidRPr="003A6259">
        <w:t>compiling rep</w:t>
      </w:r>
      <w:r w:rsidRPr="003A6259">
        <w:t>orts compiled from plant and system data to meet organisational and statutory requirements</w:t>
      </w:r>
    </w:p>
    <w:p w:rsidR="00000000" w:rsidRPr="003A6259" w:rsidP="003A6259">
      <w:pPr>
        <w:pStyle w:val="ListBullet"/>
      </w:pPr>
      <w:r w:rsidRPr="003A6259">
        <w:t>applying workplace procedures.</w:t>
      </w:r>
    </w:p>
    <w:p w:rsidR="00000000" w:rsidRPr="003A6259" w:rsidP="003A6259">
      <w:pPr>
        <w:pStyle w:val="AllowPageBreak"/>
      </w:pPr>
    </w:p>
    <w:p w:rsidR="00000000" w:rsidRPr="003A6259" w:rsidP="003A6259">
      <w:pPr>
        <w:pStyle w:val="Heading1"/>
      </w:pPr>
      <w:bookmarkStart w:id="13" w:name="O_931456"/>
      <w:bookmarkEnd w:id="13"/>
      <w:r w:rsidRPr="003A6259">
        <w:t>Knowledge Evidence</w:t>
      </w:r>
    </w:p>
    <w:p w:rsidR="00000000" w:rsidRPr="003A6259" w:rsidP="00037658">
      <w:pPr>
        <w:pStyle w:val="BodyText"/>
      </w:pPr>
      <w:r w:rsidRPr="003A6259">
        <w:t>Evidence must be provided that demonstrates knowledge of:</w:t>
      </w:r>
    </w:p>
    <w:p w:rsidR="00000000" w:rsidRPr="003A6259" w:rsidP="003A6259">
      <w:pPr>
        <w:pStyle w:val="ListBullet"/>
      </w:pPr>
      <w:r w:rsidRPr="003A6259">
        <w:t xml:space="preserve">safe work practices and procedures and </w:t>
      </w:r>
      <w:r w:rsidRPr="003A6259">
        <w:t>use of personal protective equipment (PPE)</w:t>
      </w:r>
    </w:p>
    <w:p w:rsidR="00000000" w:rsidRPr="003A6259" w:rsidP="003A6259">
      <w:pPr>
        <w:pStyle w:val="ListBullet"/>
      </w:pPr>
      <w:r w:rsidRPr="003A6259">
        <w:t>relevant Australian Standards</w:t>
      </w:r>
    </w:p>
    <w:p w:rsidR="00000000" w:rsidRPr="003A6259" w:rsidP="003A6259">
      <w:pPr>
        <w:pStyle w:val="ListBullet"/>
      </w:pPr>
      <w:r w:rsidRPr="003A6259">
        <w:t>industry process and equipment</w:t>
      </w:r>
    </w:p>
    <w:p w:rsidR="00000000" w:rsidRPr="003A6259" w:rsidP="003A6259">
      <w:pPr>
        <w:pStyle w:val="ListBullet"/>
      </w:pPr>
      <w:r w:rsidRPr="003A6259">
        <w:t>system hydraulics and layout, control systems</w:t>
      </w:r>
    </w:p>
    <w:p w:rsidR="00000000" w:rsidRPr="003A6259" w:rsidP="003A6259">
      <w:pPr>
        <w:pStyle w:val="ListBullet"/>
      </w:pPr>
      <w:r w:rsidRPr="003A6259">
        <w:t>chemical dosing processes</w:t>
      </w:r>
    </w:p>
    <w:p w:rsidR="00000000" w:rsidRPr="003A6259" w:rsidP="003A6259">
      <w:pPr>
        <w:pStyle w:val="ListBullet"/>
      </w:pPr>
      <w:r w:rsidRPr="003A6259">
        <w:t>hazardous material handling procedures</w:t>
      </w:r>
    </w:p>
    <w:p w:rsidR="00000000" w:rsidRPr="003A6259" w:rsidP="003A6259">
      <w:pPr>
        <w:pStyle w:val="ListBullet"/>
      </w:pPr>
      <w:r w:rsidRPr="003A6259">
        <w:t>work health and safety (WHS) and environm</w:t>
      </w:r>
      <w:r w:rsidRPr="003A6259">
        <w:t>ental aspects of relevant testing processes</w:t>
      </w:r>
    </w:p>
    <w:p w:rsidR="00000000" w:rsidRPr="003A6259" w:rsidP="003A6259">
      <w:pPr>
        <w:pStyle w:val="ListBullet"/>
      </w:pPr>
      <w:r w:rsidRPr="003A6259">
        <w:t>workplace procedures and reporting processes</w:t>
      </w:r>
    </w:p>
    <w:p w:rsidR="00000000" w:rsidRPr="003A6259" w:rsidP="003A6259">
      <w:pPr>
        <w:pStyle w:val="ListBullet"/>
      </w:pPr>
      <w:r w:rsidRPr="003A6259">
        <w:t>quality practices</w:t>
      </w:r>
    </w:p>
    <w:p w:rsidR="00000000" w:rsidRPr="003A6259" w:rsidP="003A6259">
      <w:pPr>
        <w:pStyle w:val="ListBullet"/>
      </w:pPr>
      <w:r w:rsidRPr="003A6259">
        <w:t>workplace procedures</w:t>
      </w:r>
    </w:p>
    <w:p w:rsidR="00000000" w:rsidRPr="003A6259" w:rsidP="003A6259">
      <w:pPr>
        <w:pStyle w:val="ListBullet"/>
      </w:pPr>
      <w:r w:rsidRPr="003A6259">
        <w:t>recording and reporting practices.</w:t>
      </w:r>
    </w:p>
    <w:p w:rsidR="00000000" w:rsidRPr="003A6259" w:rsidP="003A6259">
      <w:pPr>
        <w:pStyle w:val="AllowPageBreak"/>
      </w:pPr>
    </w:p>
    <w:p w:rsidR="00000000" w:rsidRPr="003A6259" w:rsidP="003A6259">
      <w:pPr>
        <w:pStyle w:val="Heading1"/>
      </w:pPr>
      <w:bookmarkStart w:id="14" w:name="O_931455"/>
      <w:bookmarkEnd w:id="14"/>
      <w:r w:rsidRPr="003A6259">
        <w:t>Assessment Conditions</w:t>
      </w:r>
    </w:p>
    <w:p w:rsidR="00000000" w:rsidRPr="003A6259" w:rsidP="003A6259">
      <w:pPr>
        <w:pStyle w:val="ListBullet"/>
      </w:pPr>
      <w:r w:rsidRPr="003A6259">
        <w:t>Assessors must:</w:t>
      </w:r>
    </w:p>
    <w:p w:rsidR="00000000" w:rsidRPr="003A6259" w:rsidP="003A6259">
      <w:pPr>
        <w:pStyle w:val="ListBullet2"/>
      </w:pPr>
      <w:r w:rsidRPr="003A6259">
        <w:t>satisfy the assessor competency requirements that are in place at the time of the assessment, as set by the VET regulator</w:t>
      </w:r>
    </w:p>
    <w:p w:rsidR="00000000" w:rsidRPr="003A6259" w:rsidP="003A6259">
      <w:pPr>
        <w:pStyle w:val="ListBullet2"/>
      </w:pPr>
      <w:r w:rsidRPr="003A6259">
        <w:t>have vocational competency in monitoring and operating trade waste, at least to the level being assessed, with relevant industry knowl</w:t>
      </w:r>
      <w:r w:rsidRPr="003A6259">
        <w:t>edge and experience.</w:t>
      </w:r>
    </w:p>
    <w:p w:rsidR="00000000" w:rsidRPr="003A6259" w:rsidP="003A6259">
      <w:pPr>
        <w:pStyle w:val="ListBullet"/>
      </w:pPr>
      <w:r w:rsidRPr="003A6259">
        <w:t>Assessment should occur in operational workplace situations. Where this is not possible, or where personal safety or environmental damage are limiting factors, assessment must occur in a sufficiently rigorous simulated environment ref</w:t>
      </w:r>
      <w:r w:rsidRPr="003A6259">
        <w:t>lecting realistic operational workplace conditions. This must cover all aspects of workplace performance, including environment, task skills, task management skills, contingency management skills and job role environment skills.</w:t>
      </w:r>
    </w:p>
    <w:p w:rsidR="00000000" w:rsidRPr="003A6259" w:rsidP="003A6259">
      <w:pPr>
        <w:pStyle w:val="ListBullet"/>
      </w:pPr>
      <w:r w:rsidRPr="003A6259">
        <w:t>Assessment processes and te</w:t>
      </w:r>
      <w:r w:rsidRPr="003A6259">
        <w:t>chniques must be appropriate to the language, literacy and numeracy requirements of the work being performed and the needs of the candidate.</w:t>
      </w:r>
    </w:p>
    <w:p w:rsidR="00000000" w:rsidRPr="003A6259" w:rsidP="003A6259">
      <w:pPr>
        <w:pStyle w:val="ListBullet"/>
      </w:pPr>
      <w:r w:rsidRPr="003A6259">
        <w:t>Conditions for assessment must include access to all tools, equipment, materials and documentation required, includ</w:t>
      </w:r>
      <w:r w:rsidRPr="003A6259">
        <w:t>ing relevant workplace procedures, product and manufacturing specifications associated with this unit.</w:t>
      </w:r>
    </w:p>
    <w:p w:rsidR="00000000" w:rsidRPr="003A6259" w:rsidP="003A6259">
      <w:pPr>
        <w:pStyle w:val="ListBullet"/>
      </w:pPr>
      <w:r w:rsidRPr="003A6259">
        <w:t>The unit is applicable to all TCF sectors and assessment must ensure it is delivered to suit the industry it is being applied to.</w:t>
      </w:r>
    </w:p>
    <w:p w:rsidR="00000000" w:rsidRPr="003A6259" w:rsidP="003A6259">
      <w:pPr>
        <w:pStyle w:val="AllowPageBreak"/>
      </w:pPr>
    </w:p>
    <w:p w:rsidR="00000000" w:rsidRPr="003A6259" w:rsidP="003A6259">
      <w:pPr>
        <w:pStyle w:val="Heading1"/>
      </w:pPr>
      <w:bookmarkStart w:id="15" w:name="O_931453"/>
      <w:bookmarkEnd w:id="15"/>
      <w:r w:rsidRPr="003A6259">
        <w:t>Links</w:t>
      </w:r>
    </w:p>
    <w:p w:rsidR="00000000" w:rsidRPr="003A6259" w:rsidP="00037658">
      <w:pPr>
        <w:pStyle w:val="BodyText"/>
      </w:pPr>
      <w:r w:rsidRPr="003A625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A12BF">
        <w:rPr>
          <w:rStyle w:val="Hyperlink"/>
        </w:rPr>
        <w:t>https://vetnet.gov.au/Pages/TrainingDocs.aspx?q=a203ec5c-de7d-406b-b3e1-8f1a9b76e92e</w:t>
      </w:r>
      <w:r>
        <w:fldChar w:fldCharType="end"/>
      </w:r>
    </w:p>
    <w:p w:rsidR="00000000" w:rsidRPr="003A6259" w:rsidP="003A6259"/>
    <w:sectPr w:rsidSect="003A62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59" w:rsidRPr="00037658" w:rsidP="000376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658" w:rsidP="003A6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7658" w:rsidP="003A62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37658" w:rsidP="003A62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59" w:rsidP="003A6259">
    <w:pPr>
      <w:pStyle w:val="Footer"/>
      <w:framePr w:wrap="around"/>
    </w:pPr>
    <w:r>
      <w:fldChar w:fldCharType="begin"/>
    </w:r>
    <w:r>
      <w:instrText xml:space="preserve"> DOCPROPERTY  Subject  \* MERGEFORMAT </w:instrText>
    </w:r>
    <w:r>
      <w:fldChar w:fldCharType="separate"/>
    </w:r>
    <w:r w:rsidR="00037658">
      <w:t>Approved</w:t>
    </w:r>
    <w:r w:rsidR="00037658">
      <w:fldChar w:fldCharType="end"/>
    </w:r>
    <w:r>
      <w:tab/>
      <w:t xml:space="preserve">Page </w:t>
    </w:r>
    <w:r>
      <w:fldChar w:fldCharType="begin"/>
    </w:r>
    <w:r>
      <w:instrText xml:space="preserve"> PAGE  \* Arabic  \* MERGEFORMAT </w:instrText>
    </w:r>
    <w:r>
      <w:fldChar w:fldCharType="separate"/>
    </w:r>
    <w:r w:rsidR="000376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7658">
      <w:rPr>
        <w:noProof/>
      </w:rPr>
      <w:t>5</w:t>
    </w:r>
    <w:r>
      <w:rPr>
        <w:noProof/>
      </w:rPr>
      <w:fldChar w:fldCharType="end"/>
    </w:r>
  </w:p>
  <w:p w:rsidR="003A6259" w:rsidP="003A6259">
    <w:pPr>
      <w:pStyle w:val="Footer"/>
      <w:framePr w:wrap="around"/>
    </w:pPr>
    <w:r>
      <w:t xml:space="preserve">© Commonwealth of Australia, </w:t>
    </w:r>
    <w:r>
      <w:fldChar w:fldCharType="begin"/>
    </w:r>
    <w:r>
      <w:instrText xml:space="preserve"> DATE  \@ "yyyy"  \* MERGEFORMAT </w:instrText>
    </w:r>
    <w:r>
      <w:fldChar w:fldCharType="separate"/>
    </w:r>
    <w:r w:rsidR="00037658">
      <w:rPr>
        <w:noProof/>
      </w:rPr>
      <w:t>2025</w:t>
    </w:r>
    <w:r>
      <w:fldChar w:fldCharType="end"/>
    </w:r>
    <w:r>
      <w:tab/>
    </w:r>
    <w:r>
      <w:fldChar w:fldCharType="begin"/>
    </w:r>
    <w:r>
      <w:instrText xml:space="preserve"> DOCPROPERTY  Author  \* MERGEFORMAT </w:instrText>
    </w:r>
    <w:r>
      <w:fldChar w:fldCharType="separate"/>
    </w:r>
    <w:r w:rsidR="00037658">
      <w:t>Skills Insight</w:t>
    </w:r>
    <w:r w:rsidR="00037658">
      <w:fldChar w:fldCharType="end"/>
    </w:r>
  </w:p>
  <w:p w:rsidR="003A6259" w:rsidP="003A6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6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259" w:rsidRPr="00037658" w:rsidP="000376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658" w:rsidRPr="002D2AF8" w:rsidP="003A6259">
    <w:pPr>
      <w:pStyle w:val="Header"/>
      <w:framePr w:wrap="around"/>
    </w:pPr>
    <w:r>
      <w:fldChar w:fldCharType="begin"/>
    </w:r>
    <w:r>
      <w:instrText xml:space="preserve"> TITLE   \* MERGEFORMAT </w:instrText>
    </w:r>
    <w:r>
      <w:fldChar w:fldCharType="separate"/>
    </w:r>
    <w:r>
      <w:t>MSTGN3007 Monitor and operate trade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7658" w:rsidP="003A62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259" w:rsidRPr="002D2AF8" w:rsidP="003A6259">
    <w:pPr>
      <w:pStyle w:val="Header"/>
      <w:framePr w:wrap="around"/>
    </w:pPr>
    <w:r>
      <w:fldChar w:fldCharType="begin"/>
    </w:r>
    <w:r>
      <w:instrText xml:space="preserve"> TITLE   \* MERGEFORMAT </w:instrText>
    </w:r>
    <w:r>
      <w:fldChar w:fldCharType="separate"/>
    </w:r>
    <w:r w:rsidR="00037658">
      <w:t>MSTGN3007 Monitor and operate trade waste</w:t>
    </w:r>
    <w:r w:rsidR="00037658">
      <w:fldChar w:fldCharType="end"/>
    </w:r>
    <w:r>
      <w:tab/>
      <w:t xml:space="preserve">Date this document was generated: </w:t>
    </w:r>
    <w:r>
      <w:fldChar w:fldCharType="begin"/>
    </w:r>
    <w:r>
      <w:instrText xml:space="preserve"> CREATEDATE  \@ "d MMMM yyyy"  \* MERGEFORMAT </w:instrText>
    </w:r>
    <w:r>
      <w:fldChar w:fldCharType="separate"/>
    </w:r>
    <w:r w:rsidR="00037658">
      <w:rPr>
        <w:noProof/>
      </w:rPr>
      <w:t>2 March 2025</w:t>
    </w:r>
    <w:r>
      <w:fldChar w:fldCharType="end"/>
    </w:r>
  </w:p>
  <w:p w:rsidR="003A6259" w:rsidP="003A6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E0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08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CA5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259"/>
    <w:pPr>
      <w:spacing w:before="360" w:after="60"/>
      <w:outlineLvl w:val="0"/>
    </w:pPr>
    <w:rPr>
      <w:sz w:val="32"/>
    </w:rPr>
  </w:style>
  <w:style w:type="paragraph" w:styleId="Heading2">
    <w:name w:val="heading 2"/>
    <w:basedOn w:val="HeadingBase"/>
    <w:next w:val="BodyText"/>
    <w:link w:val="Heading2Char"/>
    <w:qFormat/>
    <w:rsid w:val="003A6259"/>
    <w:pPr>
      <w:keepLines/>
      <w:spacing w:before="240" w:after="120"/>
      <w:outlineLvl w:val="1"/>
    </w:pPr>
    <w:rPr>
      <w:sz w:val="28"/>
      <w:szCs w:val="40"/>
    </w:rPr>
  </w:style>
  <w:style w:type="paragraph" w:styleId="Heading3">
    <w:name w:val="heading 3"/>
    <w:basedOn w:val="HeadingBase"/>
    <w:next w:val="BodyText"/>
    <w:link w:val="Heading3Char"/>
    <w:qFormat/>
    <w:rsid w:val="003A6259"/>
    <w:pPr>
      <w:spacing w:before="180" w:after="120"/>
      <w:outlineLvl w:val="2"/>
    </w:pPr>
    <w:rPr>
      <w:spacing w:val="-10"/>
      <w:kern w:val="32"/>
    </w:rPr>
  </w:style>
  <w:style w:type="paragraph" w:styleId="Heading4">
    <w:name w:val="heading 4"/>
    <w:basedOn w:val="HeadingBase"/>
    <w:next w:val="BodyText"/>
    <w:link w:val="Heading4Char"/>
    <w:qFormat/>
    <w:rsid w:val="003A6259"/>
    <w:pPr>
      <w:spacing w:before="160" w:after="120"/>
      <w:outlineLvl w:val="3"/>
    </w:pPr>
    <w:rPr>
      <w:sz w:val="22"/>
    </w:rPr>
  </w:style>
  <w:style w:type="paragraph" w:styleId="Heading5">
    <w:name w:val="heading 5"/>
    <w:basedOn w:val="HeadingBase"/>
    <w:next w:val="Normal"/>
    <w:link w:val="Heading5Char"/>
    <w:qFormat/>
    <w:rsid w:val="003A6259"/>
    <w:pPr>
      <w:spacing w:before="80"/>
      <w:outlineLvl w:val="4"/>
    </w:pPr>
    <w:rPr>
      <w:color w:val="918585"/>
      <w:sz w:val="20"/>
    </w:rPr>
  </w:style>
  <w:style w:type="paragraph" w:styleId="Heading6">
    <w:name w:val="heading 6"/>
    <w:basedOn w:val="HeadingBase"/>
    <w:next w:val="Normal"/>
    <w:link w:val="Heading6Char"/>
    <w:qFormat/>
    <w:rsid w:val="003A6259"/>
    <w:pPr>
      <w:spacing w:before="60"/>
      <w:outlineLvl w:val="5"/>
    </w:pPr>
    <w:rPr>
      <w:color w:val="918585"/>
      <w:sz w:val="20"/>
    </w:rPr>
  </w:style>
  <w:style w:type="paragraph" w:styleId="Heading7">
    <w:name w:val="heading 7"/>
    <w:basedOn w:val="Normal"/>
    <w:next w:val="Normal"/>
    <w:link w:val="Heading7Char"/>
    <w:qFormat/>
    <w:rsid w:val="003A6259"/>
    <w:pPr>
      <w:ind w:left="720"/>
      <w:outlineLvl w:val="6"/>
    </w:pPr>
    <w:rPr>
      <w:i/>
    </w:rPr>
  </w:style>
  <w:style w:type="paragraph" w:styleId="Heading8">
    <w:name w:val="heading 8"/>
    <w:basedOn w:val="Normal"/>
    <w:next w:val="Normal"/>
    <w:link w:val="Heading8Char"/>
    <w:qFormat/>
    <w:rsid w:val="003A6259"/>
    <w:pPr>
      <w:ind w:left="720"/>
      <w:outlineLvl w:val="7"/>
    </w:pPr>
    <w:rPr>
      <w:i/>
    </w:rPr>
  </w:style>
  <w:style w:type="paragraph" w:styleId="Heading9">
    <w:name w:val="heading 9"/>
    <w:basedOn w:val="Normal"/>
    <w:next w:val="Normal"/>
    <w:link w:val="Heading9Char"/>
    <w:qFormat/>
    <w:rsid w:val="003A6259"/>
    <w:pPr>
      <w:ind w:left="720"/>
      <w:outlineLvl w:val="8"/>
    </w:pPr>
    <w:rPr>
      <w:i/>
    </w:rPr>
  </w:style>
  <w:style w:type="character" w:default="1" w:styleId="DefaultParagraphFont">
    <w:name w:val="Default Paragraph Font"/>
    <w:uiPriority w:val="1"/>
    <w:unhideWhenUsed/>
    <w:rsid w:val="003A6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259"/>
  </w:style>
  <w:style w:type="character" w:customStyle="1" w:styleId="Heading1Char">
    <w:name w:val="Heading 1 Char"/>
    <w:basedOn w:val="DefaultParagraphFont"/>
    <w:link w:val="Heading1"/>
    <w:rsid w:val="003A6259"/>
    <w:rPr>
      <w:rFonts w:ascii="Times New Roman" w:eastAsia="Times New Roman" w:hAnsi="Times New Roman" w:cs="Times New Roman"/>
      <w:b/>
      <w:sz w:val="32"/>
      <w:szCs w:val="20"/>
      <w:lang w:eastAsia="en-US"/>
    </w:rPr>
  </w:style>
  <w:style w:type="paragraph" w:styleId="BodyText">
    <w:name w:val="Body Text"/>
    <w:basedOn w:val="Normal"/>
    <w:link w:val="BodyTextChar"/>
    <w:rsid w:val="003A6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259"/>
    <w:rPr>
      <w:rFonts w:ascii="Times New Roman" w:eastAsia="Times New Roman" w:hAnsi="Times New Roman" w:cs="Times New Roman"/>
      <w:sz w:val="24"/>
      <w:lang w:eastAsia="en-US"/>
    </w:rPr>
  </w:style>
  <w:style w:type="paragraph" w:styleId="ListBullet">
    <w:name w:val="List Bullet"/>
    <w:basedOn w:val="List"/>
    <w:rsid w:val="003A6259"/>
    <w:pPr>
      <w:numPr>
        <w:numId w:val="12"/>
      </w:numPr>
      <w:tabs>
        <w:tab w:val="clear" w:pos="340"/>
      </w:tabs>
      <w:spacing w:before="40" w:after="40"/>
    </w:pPr>
  </w:style>
  <w:style w:type="character" w:customStyle="1" w:styleId="SpecialBold">
    <w:name w:val="Special Bold"/>
    <w:basedOn w:val="DefaultParagraphFont"/>
    <w:rsid w:val="003A6259"/>
    <w:rPr>
      <w:b/>
      <w:spacing w:val="0"/>
    </w:rPr>
  </w:style>
  <w:style w:type="paragraph" w:styleId="ListBullet2">
    <w:name w:val="List Bullet 2"/>
    <w:basedOn w:val="List2"/>
    <w:rsid w:val="003A6259"/>
    <w:pPr>
      <w:numPr>
        <w:numId w:val="13"/>
      </w:numPr>
      <w:tabs>
        <w:tab w:val="clear" w:pos="680"/>
      </w:tabs>
    </w:pPr>
  </w:style>
  <w:style w:type="paragraph" w:customStyle="1" w:styleId="SuperHeading">
    <w:name w:val="SuperHeading"/>
    <w:basedOn w:val="Normal"/>
    <w:rsid w:val="003A6259"/>
    <w:pPr>
      <w:spacing w:before="240" w:after="120"/>
      <w:outlineLvl w:val="0"/>
    </w:pPr>
    <w:rPr>
      <w:rFonts w:ascii="Times New Roman" w:hAnsi="Times New Roman"/>
      <w:b/>
      <w:sz w:val="32"/>
    </w:rPr>
  </w:style>
  <w:style w:type="paragraph" w:customStyle="1" w:styleId="AllowPageBreak">
    <w:name w:val="AllowPageBreak"/>
    <w:rsid w:val="003A6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259"/>
    <w:rPr>
      <w:rFonts w:ascii="Courier New" w:eastAsia="Times New Roman" w:hAnsi="Courier New" w:cs="Times New Roman"/>
      <w:i/>
      <w:szCs w:val="20"/>
      <w:lang w:eastAsia="en-US"/>
    </w:rPr>
  </w:style>
  <w:style w:type="paragraph" w:customStyle="1" w:styleId="HeadingBase">
    <w:name w:val="Heading Base"/>
    <w:rsid w:val="003A6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259"/>
    <w:pPr>
      <w:tabs>
        <w:tab w:val="right" w:leader="dot" w:pos="9072"/>
      </w:tabs>
      <w:ind w:left="567"/>
    </w:pPr>
    <w:rPr>
      <w:szCs w:val="22"/>
    </w:rPr>
  </w:style>
  <w:style w:type="paragraph" w:customStyle="1" w:styleId="TOCBase">
    <w:name w:val="TOC Base"/>
    <w:rsid w:val="003A6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259"/>
    <w:pPr>
      <w:tabs>
        <w:tab w:val="right" w:leader="dot" w:pos="9072"/>
      </w:tabs>
      <w:spacing w:before="40" w:after="40"/>
      <w:ind w:left="284"/>
    </w:pPr>
    <w:rPr>
      <w:rFonts w:ascii="Times New Roman" w:hAnsi="Times New Roman"/>
    </w:rPr>
  </w:style>
  <w:style w:type="paragraph" w:styleId="TOC1">
    <w:name w:val="toc 1"/>
    <w:basedOn w:val="TOCBase"/>
    <w:next w:val="Normal"/>
    <w:rsid w:val="003A6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259"/>
    <w:rPr>
      <w:rFonts w:ascii="Times New Roman" w:eastAsia="Times New Roman" w:hAnsi="Times New Roman" w:cs="Times New Roman"/>
      <w:sz w:val="16"/>
      <w:lang w:eastAsia="en-US"/>
    </w:rPr>
  </w:style>
  <w:style w:type="paragraph" w:styleId="Title">
    <w:name w:val="Title"/>
    <w:basedOn w:val="HeadingBase"/>
    <w:link w:val="TitleChar"/>
    <w:qFormat/>
    <w:rsid w:val="003A6259"/>
    <w:pPr>
      <w:spacing w:before="5040"/>
      <w:jc w:val="center"/>
    </w:pPr>
    <w:rPr>
      <w:sz w:val="48"/>
      <w:szCs w:val="72"/>
      <w:lang w:val="en-US"/>
    </w:rPr>
  </w:style>
  <w:style w:type="character" w:customStyle="1" w:styleId="TitleChar">
    <w:name w:val="Title Char"/>
    <w:basedOn w:val="DefaultParagraphFont"/>
    <w:link w:val="Title"/>
    <w:rsid w:val="003A6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259"/>
    <w:pPr>
      <w:tabs>
        <w:tab w:val="left" w:pos="3600"/>
        <w:tab w:val="left" w:pos="3958"/>
      </w:tabs>
    </w:pPr>
  </w:style>
  <w:style w:type="paragraph" w:styleId="List">
    <w:name w:val="List"/>
    <w:basedOn w:val="BodyText"/>
    <w:next w:val="BodyText"/>
    <w:rsid w:val="003A6259"/>
    <w:pPr>
      <w:tabs>
        <w:tab w:val="left" w:pos="340"/>
      </w:tabs>
      <w:spacing w:before="60" w:after="60"/>
      <w:ind w:left="340" w:hanging="340"/>
    </w:pPr>
  </w:style>
  <w:style w:type="paragraph" w:customStyle="1" w:styleId="Note">
    <w:name w:val="Note"/>
    <w:basedOn w:val="BodyText"/>
    <w:rsid w:val="003A6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259"/>
    <w:pPr>
      <w:framePr w:wrap="auto" w:hAnchor="text" w:y="6049"/>
    </w:pPr>
    <w:rPr>
      <w:color w:val="000000"/>
      <w:sz w:val="40"/>
    </w:rPr>
  </w:style>
  <w:style w:type="paragraph" w:customStyle="1" w:styleId="TOCTitle">
    <w:name w:val="TOCTitle"/>
    <w:basedOn w:val="Heading1"/>
    <w:rsid w:val="003A6259"/>
    <w:pPr>
      <w:spacing w:after="240"/>
      <w:jc w:val="center"/>
      <w:outlineLvl w:val="9"/>
    </w:pPr>
    <w:rPr>
      <w:caps/>
    </w:rPr>
  </w:style>
  <w:style w:type="paragraph" w:customStyle="1" w:styleId="Version">
    <w:name w:val="Version"/>
    <w:rsid w:val="003A6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259"/>
    <w:pPr>
      <w:keepNext w:val="0"/>
      <w:tabs>
        <w:tab w:val="right" w:pos="4176"/>
      </w:tabs>
      <w:ind w:left="198" w:hanging="198"/>
    </w:pPr>
    <w:rPr>
      <w:rFonts w:ascii="Garamond" w:hAnsi="Garamond"/>
    </w:rPr>
  </w:style>
  <w:style w:type="paragraph" w:styleId="IndexHeading">
    <w:name w:val="index heading"/>
    <w:basedOn w:val="Normal"/>
    <w:next w:val="Index1"/>
    <w:semiHidden/>
    <w:rsid w:val="003A6259"/>
    <w:pPr>
      <w:spacing w:before="120" w:after="120"/>
    </w:pPr>
    <w:rPr>
      <w:rFonts w:ascii="Arial" w:hAnsi="Arial"/>
      <w:b/>
      <w:color w:val="918585"/>
      <w:sz w:val="24"/>
    </w:rPr>
  </w:style>
  <w:style w:type="paragraph" w:styleId="Header">
    <w:name w:val="header"/>
    <w:basedOn w:val="Normal"/>
    <w:link w:val="HeaderChar"/>
    <w:rsid w:val="003A6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259"/>
    <w:rPr>
      <w:rFonts w:ascii="Times New Roman" w:eastAsia="Times New Roman" w:hAnsi="Times New Roman" w:cs="Times New Roman"/>
      <w:sz w:val="16"/>
      <w:szCs w:val="20"/>
      <w:lang w:val="en-GB" w:eastAsia="en-US"/>
    </w:rPr>
  </w:style>
  <w:style w:type="paragraph" w:customStyle="1" w:styleId="Chapter">
    <w:name w:val="Chapter"/>
    <w:basedOn w:val="Normal"/>
    <w:rsid w:val="003A6259"/>
    <w:pPr>
      <w:spacing w:before="240"/>
    </w:pPr>
    <w:rPr>
      <w:rFonts w:ascii="Times New Roman" w:hAnsi="Times New Roman"/>
      <w:smallCaps/>
      <w:spacing w:val="80"/>
      <w:sz w:val="28"/>
    </w:rPr>
  </w:style>
  <w:style w:type="paragraph" w:customStyle="1" w:styleId="InChapter">
    <w:name w:val="InChapter"/>
    <w:basedOn w:val="Heading3"/>
    <w:rsid w:val="003A6259"/>
    <w:pPr>
      <w:spacing w:after="240"/>
      <w:outlineLvl w:val="9"/>
    </w:pPr>
    <w:rPr>
      <w:noProof/>
    </w:rPr>
  </w:style>
  <w:style w:type="paragraph" w:styleId="Index2">
    <w:name w:val="index 2"/>
    <w:basedOn w:val="Normal"/>
    <w:next w:val="Normal"/>
    <w:semiHidden/>
    <w:rsid w:val="003A6259"/>
    <w:pPr>
      <w:tabs>
        <w:tab w:val="right" w:pos="4176"/>
      </w:tabs>
      <w:ind w:left="568" w:hanging="284"/>
    </w:pPr>
    <w:rPr>
      <w:rFonts w:ascii="Garamond" w:hAnsi="Garamond"/>
    </w:rPr>
  </w:style>
  <w:style w:type="paragraph" w:customStyle="1" w:styleId="Byline">
    <w:name w:val="Byline"/>
    <w:rsid w:val="003A6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259"/>
    <w:pPr>
      <w:tabs>
        <w:tab w:val="clear" w:pos="3600"/>
        <w:tab w:val="clear" w:pos="3958"/>
      </w:tabs>
      <w:jc w:val="right"/>
    </w:pPr>
  </w:style>
  <w:style w:type="character" w:styleId="Emphasis">
    <w:name w:val="Emphasis"/>
    <w:basedOn w:val="DefaultParagraphFont"/>
    <w:qFormat/>
    <w:rsid w:val="003A6259"/>
    <w:rPr>
      <w:i/>
    </w:rPr>
  </w:style>
  <w:style w:type="paragraph" w:styleId="Caption">
    <w:name w:val="caption"/>
    <w:basedOn w:val="BodyText"/>
    <w:next w:val="Normal"/>
    <w:qFormat/>
    <w:rsid w:val="003A6259"/>
    <w:pPr>
      <w:framePr w:w="2268" w:hSpace="181" w:vSpace="181" w:wrap="around" w:vAnchor="text" w:hAnchor="page" w:x="1135" w:y="285" w:anchorLock="1"/>
    </w:pPr>
    <w:rPr>
      <w:i/>
    </w:rPr>
  </w:style>
  <w:style w:type="paragraph" w:customStyle="1" w:styleId="MiniTOCTitle">
    <w:name w:val="MiniTOCTitle"/>
    <w:basedOn w:val="Heading4"/>
    <w:rsid w:val="003A6259"/>
    <w:pPr>
      <w:spacing w:before="240"/>
      <w:outlineLvl w:val="9"/>
    </w:pPr>
    <w:rPr>
      <w:noProof/>
      <w:sz w:val="24"/>
    </w:rPr>
  </w:style>
  <w:style w:type="paragraph" w:customStyle="1" w:styleId="MiniTOCItem">
    <w:name w:val="MiniTOCItem"/>
    <w:basedOn w:val="ListBullet"/>
    <w:rsid w:val="003A6259"/>
    <w:pPr>
      <w:numPr>
        <w:numId w:val="0"/>
      </w:numPr>
      <w:tabs>
        <w:tab w:val="right" w:leader="dot" w:pos="6521"/>
      </w:tabs>
      <w:spacing w:before="0" w:after="0"/>
    </w:pPr>
  </w:style>
  <w:style w:type="paragraph" w:customStyle="1" w:styleId="TOFTitle">
    <w:name w:val="TOFTitle"/>
    <w:basedOn w:val="TOCTitle"/>
    <w:rsid w:val="003A6259"/>
  </w:style>
  <w:style w:type="paragraph" w:styleId="TableofFigures">
    <w:name w:val="table of figures"/>
    <w:basedOn w:val="Normal"/>
    <w:next w:val="Normal"/>
    <w:semiHidden/>
    <w:rsid w:val="003A6259"/>
    <w:pPr>
      <w:tabs>
        <w:tab w:val="right" w:leader="dot" w:pos="9072"/>
      </w:tabs>
      <w:ind w:left="970" w:hanging="403"/>
    </w:pPr>
    <w:rPr>
      <w:rFonts w:ascii="Times New Roman" w:hAnsi="Times New Roman"/>
      <w:b/>
    </w:rPr>
  </w:style>
  <w:style w:type="paragraph" w:styleId="ListNumber">
    <w:name w:val="List Number"/>
    <w:basedOn w:val="List"/>
    <w:rsid w:val="003A6259"/>
    <w:pPr>
      <w:numPr>
        <w:numId w:val="15"/>
      </w:numPr>
      <w:tabs>
        <w:tab w:val="clear" w:pos="340"/>
      </w:tabs>
    </w:pPr>
  </w:style>
  <w:style w:type="character" w:customStyle="1" w:styleId="WingdingSymbols">
    <w:name w:val="Wingding Symbols"/>
    <w:rsid w:val="003A6259"/>
    <w:rPr>
      <w:rFonts w:ascii="Wingdings" w:hAnsi="Wingdings"/>
    </w:rPr>
  </w:style>
  <w:style w:type="paragraph" w:customStyle="1" w:styleId="TableHeading">
    <w:name w:val="Table Heading"/>
    <w:basedOn w:val="HeadingBase"/>
    <w:rsid w:val="003A6259"/>
    <w:pPr>
      <w:keepLines/>
      <w:pBdr>
        <w:bottom w:val="single" w:sz="6" w:space="1" w:color="918585"/>
      </w:pBdr>
      <w:spacing w:before="240"/>
    </w:pPr>
  </w:style>
  <w:style w:type="character" w:customStyle="1" w:styleId="HotSpot">
    <w:name w:val="HotSpot"/>
    <w:rsid w:val="003A6259"/>
    <w:rPr>
      <w:color w:val="0033CC"/>
      <w:u w:val="none"/>
    </w:rPr>
  </w:style>
  <w:style w:type="paragraph" w:customStyle="1" w:styleId="BodyTextRight">
    <w:name w:val="Body Text Right"/>
    <w:basedOn w:val="BodyText"/>
    <w:rsid w:val="003A6259"/>
    <w:pPr>
      <w:spacing w:before="0" w:after="0"/>
      <w:jc w:val="right"/>
    </w:pPr>
  </w:style>
  <w:style w:type="paragraph" w:styleId="Index3">
    <w:name w:val="index 3"/>
    <w:basedOn w:val="ListNumber2"/>
    <w:next w:val="Normal"/>
    <w:semiHidden/>
    <w:rsid w:val="003A6259"/>
    <w:pPr>
      <w:numPr>
        <w:numId w:val="0"/>
      </w:numPr>
      <w:tabs>
        <w:tab w:val="right" w:leader="dot" w:pos="4176"/>
      </w:tabs>
    </w:pPr>
  </w:style>
  <w:style w:type="paragraph" w:styleId="ListNumber2">
    <w:name w:val="List Number 2"/>
    <w:basedOn w:val="List2"/>
    <w:rsid w:val="003A6259"/>
    <w:pPr>
      <w:numPr>
        <w:numId w:val="10"/>
      </w:numPr>
      <w:tabs>
        <w:tab w:val="clear" w:pos="1060"/>
      </w:tabs>
    </w:pPr>
  </w:style>
  <w:style w:type="paragraph" w:customStyle="1" w:styleId="MarginNote">
    <w:name w:val="Margin Note"/>
    <w:basedOn w:val="BodyText"/>
    <w:rsid w:val="003A6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259"/>
    <w:rPr>
      <w:sz w:val="32"/>
    </w:rPr>
  </w:style>
  <w:style w:type="paragraph" w:customStyle="1" w:styleId="HeadingProcedure">
    <w:name w:val="Heading Procedure"/>
    <w:basedOn w:val="HeadingBase"/>
    <w:next w:val="Normal"/>
    <w:rsid w:val="003A6259"/>
    <w:pPr>
      <w:tabs>
        <w:tab w:val="left" w:pos="0"/>
      </w:tabs>
      <w:spacing w:before="120" w:after="60"/>
    </w:pPr>
    <w:rPr>
      <w:i/>
      <w:color w:val="918585"/>
      <w:sz w:val="22"/>
    </w:rPr>
  </w:style>
  <w:style w:type="paragraph" w:customStyle="1" w:styleId="TableBodyText">
    <w:name w:val="Table Body Text"/>
    <w:basedOn w:val="BodyText"/>
    <w:rsid w:val="003A6259"/>
    <w:pPr>
      <w:spacing w:before="60" w:after="60"/>
    </w:pPr>
  </w:style>
  <w:style w:type="paragraph" w:styleId="ListContinue">
    <w:name w:val="List Continue"/>
    <w:basedOn w:val="List"/>
    <w:rsid w:val="003A6259"/>
    <w:pPr>
      <w:ind w:firstLine="0"/>
    </w:pPr>
  </w:style>
  <w:style w:type="paragraph" w:customStyle="1" w:styleId="ListNote">
    <w:name w:val="List Note"/>
    <w:basedOn w:val="List"/>
    <w:rsid w:val="003A6259"/>
    <w:pPr>
      <w:pBdr>
        <w:top w:val="single" w:sz="6" w:space="2" w:color="918585"/>
        <w:bottom w:val="single" w:sz="6" w:space="2" w:color="918585"/>
      </w:pBdr>
      <w:tabs>
        <w:tab w:val="left" w:pos="1021"/>
      </w:tabs>
      <w:ind w:firstLine="0"/>
    </w:pPr>
  </w:style>
  <w:style w:type="paragraph" w:customStyle="1" w:styleId="Warning">
    <w:name w:val="Warning"/>
    <w:basedOn w:val="BodyText"/>
    <w:rsid w:val="003A6259"/>
    <w:pPr>
      <w:shd w:val="clear" w:color="auto" w:fill="D9D9D9"/>
      <w:tabs>
        <w:tab w:val="left" w:pos="992"/>
      </w:tabs>
      <w:ind w:left="119" w:right="119"/>
    </w:pPr>
    <w:rPr>
      <w:sz w:val="20"/>
    </w:rPr>
  </w:style>
  <w:style w:type="paragraph" w:customStyle="1" w:styleId="MarginIcons">
    <w:name w:val="Margin Icons"/>
    <w:basedOn w:val="BodyText"/>
    <w:rsid w:val="003A6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259"/>
    <w:rPr>
      <w:rFonts w:ascii="Courier New" w:hAnsi="Courier New"/>
    </w:rPr>
  </w:style>
  <w:style w:type="paragraph" w:customStyle="1" w:styleId="NoteBullet">
    <w:name w:val="Note Bullet"/>
    <w:basedOn w:val="Note"/>
    <w:rsid w:val="003A6259"/>
    <w:pPr>
      <w:tabs>
        <w:tab w:val="clear" w:pos="680"/>
      </w:tabs>
      <w:spacing w:before="60" w:after="60"/>
    </w:pPr>
  </w:style>
  <w:style w:type="paragraph" w:customStyle="1" w:styleId="SubHeading2">
    <w:name w:val="SubHeading2"/>
    <w:basedOn w:val="HeadingBase"/>
    <w:rsid w:val="003A6259"/>
    <w:pPr>
      <w:spacing w:before="240" w:after="60"/>
    </w:pPr>
    <w:rPr>
      <w:sz w:val="20"/>
    </w:rPr>
  </w:style>
  <w:style w:type="paragraph" w:customStyle="1" w:styleId="SubHeading1">
    <w:name w:val="SubHeading1"/>
    <w:basedOn w:val="HeadingBase"/>
    <w:rsid w:val="003A6259"/>
    <w:pPr>
      <w:spacing w:before="240" w:after="60"/>
    </w:pPr>
    <w:rPr>
      <w:color w:val="918585"/>
      <w:sz w:val="22"/>
    </w:rPr>
  </w:style>
  <w:style w:type="paragraph" w:customStyle="1" w:styleId="SideHeading">
    <w:name w:val="Side Heading"/>
    <w:basedOn w:val="HeadingBase"/>
    <w:rsid w:val="003A6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259"/>
    <w:pPr>
      <w:tabs>
        <w:tab w:val="num" w:pos="360"/>
      </w:tabs>
    </w:pPr>
  </w:style>
  <w:style w:type="paragraph" w:styleId="PlainText">
    <w:name w:val="Plain Text"/>
    <w:basedOn w:val="Normal"/>
    <w:link w:val="PlainTextChar"/>
    <w:rsid w:val="003A6259"/>
    <w:rPr>
      <w:sz w:val="20"/>
    </w:rPr>
  </w:style>
  <w:style w:type="character" w:customStyle="1" w:styleId="PlainTextChar">
    <w:name w:val="Plain Text Char"/>
    <w:basedOn w:val="DefaultParagraphFont"/>
    <w:link w:val="PlainText"/>
    <w:rsid w:val="003A6259"/>
    <w:rPr>
      <w:rFonts w:ascii="Courier New" w:eastAsia="Times New Roman" w:hAnsi="Courier New" w:cs="Times New Roman"/>
      <w:sz w:val="20"/>
      <w:szCs w:val="20"/>
      <w:lang w:eastAsia="en-US"/>
    </w:rPr>
  </w:style>
  <w:style w:type="character" w:customStyle="1" w:styleId="MenuOption">
    <w:name w:val="Menu Option"/>
    <w:basedOn w:val="DefaultParagraphFont"/>
    <w:rsid w:val="003A6259"/>
    <w:rPr>
      <w:b/>
      <w:smallCaps/>
    </w:rPr>
  </w:style>
  <w:style w:type="paragraph" w:customStyle="1" w:styleId="TableListNumber">
    <w:name w:val="Table List Number"/>
    <w:basedOn w:val="ListNumber"/>
    <w:rsid w:val="003A6259"/>
    <w:pPr>
      <w:numPr>
        <w:numId w:val="0"/>
      </w:numPr>
    </w:pPr>
  </w:style>
  <w:style w:type="paragraph" w:styleId="TOC4">
    <w:name w:val="toc 4"/>
    <w:basedOn w:val="TOCBase"/>
    <w:next w:val="Normal"/>
    <w:semiHidden/>
    <w:rsid w:val="003A6259"/>
    <w:pPr>
      <w:tabs>
        <w:tab w:val="right" w:leader="dot" w:pos="9071"/>
      </w:tabs>
      <w:ind w:left="1701"/>
    </w:pPr>
  </w:style>
  <w:style w:type="paragraph" w:customStyle="1" w:styleId="ListAlpha">
    <w:name w:val="List Alpha"/>
    <w:basedOn w:val="List"/>
    <w:rsid w:val="003A6259"/>
    <w:pPr>
      <w:numPr>
        <w:numId w:val="9"/>
      </w:numPr>
    </w:pPr>
  </w:style>
  <w:style w:type="paragraph" w:customStyle="1" w:styleId="ListAlpha2">
    <w:name w:val="List Alpha 2"/>
    <w:basedOn w:val="List2"/>
    <w:rsid w:val="003A6259"/>
    <w:pPr>
      <w:numPr>
        <w:numId w:val="8"/>
      </w:numPr>
    </w:pPr>
  </w:style>
  <w:style w:type="paragraph" w:styleId="List2">
    <w:name w:val="List 2"/>
    <w:basedOn w:val="BodyText"/>
    <w:rsid w:val="003A6259"/>
    <w:pPr>
      <w:tabs>
        <w:tab w:val="left" w:pos="680"/>
      </w:tabs>
      <w:spacing w:before="60" w:after="60"/>
      <w:ind w:left="680" w:hanging="340"/>
    </w:pPr>
  </w:style>
  <w:style w:type="paragraph" w:styleId="List3">
    <w:name w:val="List 3"/>
    <w:basedOn w:val="BodyText"/>
    <w:rsid w:val="003A6259"/>
    <w:pPr>
      <w:tabs>
        <w:tab w:val="left" w:pos="1021"/>
      </w:tabs>
      <w:spacing w:before="60" w:after="60"/>
      <w:ind w:left="1020" w:hanging="340"/>
    </w:pPr>
  </w:style>
  <w:style w:type="paragraph" w:styleId="List4">
    <w:name w:val="List 4"/>
    <w:basedOn w:val="BodyText"/>
    <w:rsid w:val="003A6259"/>
    <w:pPr>
      <w:tabs>
        <w:tab w:val="left" w:pos="1361"/>
      </w:tabs>
      <w:spacing w:before="60" w:after="60"/>
      <w:ind w:left="1361" w:hanging="340"/>
    </w:pPr>
  </w:style>
  <w:style w:type="paragraph" w:styleId="List5">
    <w:name w:val="List 5"/>
    <w:basedOn w:val="BodyText"/>
    <w:rsid w:val="003A6259"/>
    <w:pPr>
      <w:tabs>
        <w:tab w:val="left" w:pos="1701"/>
      </w:tabs>
      <w:spacing w:before="60" w:after="60"/>
      <w:ind w:left="1701" w:hanging="340"/>
    </w:pPr>
  </w:style>
  <w:style w:type="paragraph" w:styleId="ListBullet3">
    <w:name w:val="List Bullet 3"/>
    <w:basedOn w:val="List3"/>
    <w:rsid w:val="003A6259"/>
    <w:pPr>
      <w:numPr>
        <w:numId w:val="14"/>
      </w:numPr>
      <w:tabs>
        <w:tab w:val="clear" w:pos="1021"/>
      </w:tabs>
      <w:ind w:left="1037" w:hanging="357"/>
    </w:pPr>
  </w:style>
  <w:style w:type="paragraph" w:styleId="ListBullet4">
    <w:name w:val="List Bullet 4"/>
    <w:basedOn w:val="List4"/>
    <w:rsid w:val="003A6259"/>
    <w:pPr>
      <w:numPr>
        <w:numId w:val="3"/>
      </w:numPr>
      <w:tabs>
        <w:tab w:val="clear" w:pos="1361"/>
      </w:tabs>
    </w:pPr>
  </w:style>
  <w:style w:type="paragraph" w:styleId="ListBullet5">
    <w:name w:val="List Bullet 5"/>
    <w:basedOn w:val="List5"/>
    <w:rsid w:val="003A6259"/>
    <w:pPr>
      <w:numPr>
        <w:numId w:val="4"/>
      </w:numPr>
    </w:pPr>
  </w:style>
  <w:style w:type="paragraph" w:styleId="ListContinue2">
    <w:name w:val="List Continue 2"/>
    <w:basedOn w:val="List2"/>
    <w:rsid w:val="003A6259"/>
    <w:pPr>
      <w:ind w:firstLine="0"/>
    </w:pPr>
  </w:style>
  <w:style w:type="paragraph" w:styleId="ListContinue3">
    <w:name w:val="List Continue 3"/>
    <w:basedOn w:val="List3"/>
    <w:rsid w:val="003A6259"/>
    <w:pPr>
      <w:ind w:left="1021" w:firstLine="0"/>
    </w:pPr>
  </w:style>
  <w:style w:type="paragraph" w:styleId="ListContinue4">
    <w:name w:val="List Continue 4"/>
    <w:basedOn w:val="List4"/>
    <w:rsid w:val="003A6259"/>
    <w:pPr>
      <w:ind w:firstLine="0"/>
    </w:pPr>
  </w:style>
  <w:style w:type="paragraph" w:styleId="ListContinue5">
    <w:name w:val="List Continue 5"/>
    <w:basedOn w:val="List5"/>
    <w:rsid w:val="003A6259"/>
    <w:pPr>
      <w:ind w:firstLine="0"/>
    </w:pPr>
  </w:style>
  <w:style w:type="paragraph" w:styleId="ListNumber3">
    <w:name w:val="List Number 3"/>
    <w:basedOn w:val="List3"/>
    <w:rsid w:val="003A6259"/>
    <w:pPr>
      <w:numPr>
        <w:numId w:val="5"/>
      </w:numPr>
    </w:pPr>
  </w:style>
  <w:style w:type="paragraph" w:styleId="ListNumber4">
    <w:name w:val="List Number 4"/>
    <w:basedOn w:val="List4"/>
    <w:rsid w:val="003A6259"/>
    <w:pPr>
      <w:numPr>
        <w:numId w:val="6"/>
      </w:numPr>
    </w:pPr>
  </w:style>
  <w:style w:type="paragraph" w:styleId="ListNumber5">
    <w:name w:val="List Number 5"/>
    <w:basedOn w:val="List5"/>
    <w:rsid w:val="003A6259"/>
    <w:pPr>
      <w:numPr>
        <w:numId w:val="7"/>
      </w:numPr>
    </w:pPr>
  </w:style>
  <w:style w:type="paragraph" w:styleId="BlockText">
    <w:name w:val="Block Text"/>
    <w:basedOn w:val="Normal"/>
    <w:rsid w:val="003A6259"/>
    <w:pPr>
      <w:spacing w:after="120"/>
      <w:ind w:left="1440" w:right="1440"/>
    </w:pPr>
  </w:style>
  <w:style w:type="character" w:customStyle="1" w:styleId="Subscript">
    <w:name w:val="Subscript"/>
    <w:basedOn w:val="DefaultParagraphFont"/>
    <w:rsid w:val="003A6259"/>
    <w:rPr>
      <w:sz w:val="16"/>
      <w:vertAlign w:val="subscript"/>
    </w:rPr>
  </w:style>
  <w:style w:type="character" w:customStyle="1" w:styleId="Superscript">
    <w:name w:val="Superscript"/>
    <w:basedOn w:val="DefaultParagraphFont"/>
    <w:rsid w:val="003A6259"/>
    <w:rPr>
      <w:sz w:val="16"/>
      <w:vertAlign w:val="superscript"/>
    </w:rPr>
  </w:style>
  <w:style w:type="character" w:customStyle="1" w:styleId="Symbols">
    <w:name w:val="Symbols"/>
    <w:basedOn w:val="DefaultParagraphFont"/>
    <w:rsid w:val="003A6259"/>
    <w:rPr>
      <w:rFonts w:ascii="Symbol" w:hAnsi="Symbol"/>
    </w:rPr>
  </w:style>
  <w:style w:type="character" w:customStyle="1" w:styleId="MenuOptions">
    <w:name w:val="Menu Options"/>
    <w:basedOn w:val="DefaultParagraphFont"/>
    <w:rsid w:val="003A6259"/>
    <w:rPr>
      <w:rFonts w:ascii="Arial Narrow" w:hAnsi="Arial Narrow"/>
      <w:smallCaps/>
    </w:rPr>
  </w:style>
  <w:style w:type="character" w:customStyle="1" w:styleId="Buttons">
    <w:name w:val="Buttons"/>
    <w:basedOn w:val="DefaultParagraphFont"/>
    <w:rsid w:val="003A6259"/>
    <w:rPr>
      <w:b/>
    </w:rPr>
  </w:style>
  <w:style w:type="character" w:customStyle="1" w:styleId="Underlined">
    <w:name w:val="Underlined"/>
    <w:basedOn w:val="DefaultParagraphFont"/>
    <w:rsid w:val="003A6259"/>
    <w:rPr>
      <w:u w:val="single"/>
    </w:rPr>
  </w:style>
  <w:style w:type="paragraph" w:customStyle="1" w:styleId="TableBodyTextRight">
    <w:name w:val="Table Body Text Right"/>
    <w:basedOn w:val="TableBodyText"/>
    <w:rsid w:val="003A6259"/>
    <w:pPr>
      <w:widowControl w:val="0"/>
      <w:autoSpaceDE w:val="0"/>
      <w:autoSpaceDN w:val="0"/>
      <w:adjustRightInd w:val="0"/>
      <w:jc w:val="right"/>
    </w:pPr>
    <w:rPr>
      <w:rFonts w:cs="Arial"/>
      <w:szCs w:val="18"/>
    </w:rPr>
  </w:style>
  <w:style w:type="paragraph" w:customStyle="1" w:styleId="CopyrightText">
    <w:name w:val="Copyright Text"/>
    <w:basedOn w:val="BodyText"/>
    <w:rsid w:val="003A6259"/>
    <w:rPr>
      <w:sz w:val="18"/>
    </w:rPr>
  </w:style>
  <w:style w:type="paragraph" w:customStyle="1" w:styleId="BodySmallRight">
    <w:name w:val="Body Small Right"/>
    <w:basedOn w:val="BodyTextRight"/>
    <w:rsid w:val="003A6259"/>
    <w:rPr>
      <w:sz w:val="18"/>
      <w:szCs w:val="18"/>
    </w:rPr>
  </w:style>
  <w:style w:type="paragraph" w:customStyle="1" w:styleId="MarginEdition">
    <w:name w:val="Margin Edition"/>
    <w:basedOn w:val="MarginNote"/>
    <w:rsid w:val="003A6259"/>
    <w:pPr>
      <w:spacing w:before="0" w:after="0"/>
    </w:pPr>
    <w:rPr>
      <w:rFonts w:ascii="Times New Roman" w:hAnsi="Times New Roman"/>
      <w:color w:val="999999"/>
    </w:rPr>
  </w:style>
  <w:style w:type="paragraph" w:customStyle="1" w:styleId="Spacer">
    <w:name w:val="Spacer"/>
    <w:basedOn w:val="Normal"/>
    <w:rsid w:val="003A6259"/>
    <w:rPr>
      <w:sz w:val="2"/>
      <w:szCs w:val="2"/>
    </w:rPr>
  </w:style>
  <w:style w:type="character" w:customStyle="1" w:styleId="Small">
    <w:name w:val="Small"/>
    <w:basedOn w:val="DefaultParagraphFont"/>
    <w:rsid w:val="003A6259"/>
    <w:rPr>
      <w:sz w:val="16"/>
    </w:rPr>
  </w:style>
  <w:style w:type="paragraph" w:customStyle="1" w:styleId="WideTable">
    <w:name w:val="Wide Table"/>
    <w:basedOn w:val="Normal"/>
    <w:rsid w:val="003A6259"/>
    <w:pPr>
      <w:ind w:left="-1418"/>
    </w:pPr>
    <w:rPr>
      <w:sz w:val="2"/>
      <w:szCs w:val="2"/>
    </w:rPr>
  </w:style>
  <w:style w:type="character" w:styleId="PageNumber">
    <w:name w:val="page number"/>
    <w:basedOn w:val="DefaultParagraphFont"/>
    <w:rsid w:val="003A6259"/>
  </w:style>
  <w:style w:type="paragraph" w:styleId="Quote">
    <w:name w:val="Quote"/>
    <w:basedOn w:val="Heading1"/>
    <w:link w:val="QuoteChar"/>
    <w:qFormat/>
    <w:rsid w:val="003A6259"/>
    <w:rPr>
      <w:b w:val="0"/>
      <w:sz w:val="72"/>
      <w:szCs w:val="72"/>
      <w:lang w:val="en-NZ"/>
    </w:rPr>
  </w:style>
  <w:style w:type="character" w:customStyle="1" w:styleId="QuoteChar">
    <w:name w:val="Quote Char"/>
    <w:basedOn w:val="DefaultParagraphFont"/>
    <w:link w:val="Quote"/>
    <w:rsid w:val="003A6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259"/>
    <w:pPr>
      <w:pageBreakBefore/>
    </w:pPr>
  </w:style>
  <w:style w:type="paragraph" w:customStyle="1" w:styleId="Border">
    <w:name w:val="Border"/>
    <w:basedOn w:val="Normal"/>
    <w:qFormat/>
    <w:rsid w:val="003A6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259"/>
    <w:rPr>
      <w:b/>
      <w:bCs/>
      <w:i/>
      <w:iCs/>
      <w:color w:val="auto"/>
    </w:rPr>
  </w:style>
  <w:style w:type="paragraph" w:styleId="IntenseQuote">
    <w:name w:val="Intense Quote"/>
    <w:basedOn w:val="Normal"/>
    <w:next w:val="Normal"/>
    <w:link w:val="IntenseQuoteChar"/>
    <w:uiPriority w:val="30"/>
    <w:qFormat/>
    <w:rsid w:val="003A6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259"/>
    <w:rPr>
      <w:smallCaps/>
      <w:color w:val="auto"/>
      <w:u w:val="single"/>
    </w:rPr>
  </w:style>
  <w:style w:type="character" w:styleId="IntenseReference">
    <w:name w:val="Intense Reference"/>
    <w:basedOn w:val="DefaultParagraphFont"/>
    <w:uiPriority w:val="32"/>
    <w:qFormat/>
    <w:rsid w:val="003A6259"/>
    <w:rPr>
      <w:b/>
      <w:bCs/>
      <w:smallCaps/>
      <w:color w:val="auto"/>
      <w:spacing w:val="5"/>
      <w:u w:val="single"/>
    </w:rPr>
  </w:style>
  <w:style w:type="paragraph" w:customStyle="1" w:styleId="2ColumnHeading">
    <w:name w:val="2Column Heading"/>
    <w:basedOn w:val="BodyText"/>
    <w:qFormat/>
    <w:rsid w:val="003A6259"/>
    <w:pPr>
      <w:spacing w:after="60"/>
      <w:ind w:left="-2268"/>
    </w:pPr>
    <w:rPr>
      <w:b/>
    </w:rPr>
  </w:style>
  <w:style w:type="paragraph" w:customStyle="1" w:styleId="Heading1TOC">
    <w:name w:val="Heading1 TOC"/>
    <w:basedOn w:val="Normal"/>
    <w:qFormat/>
    <w:rsid w:val="003A6259"/>
    <w:pPr>
      <w:spacing w:before="240" w:after="120"/>
    </w:pPr>
    <w:rPr>
      <w:rFonts w:ascii="Times New Roman" w:hAnsi="Times New Roman"/>
      <w:b/>
      <w:sz w:val="32"/>
    </w:rPr>
  </w:style>
  <w:style w:type="paragraph" w:customStyle="1" w:styleId="Heading2TOC">
    <w:name w:val="Heading2 TOC"/>
    <w:basedOn w:val="Normal"/>
    <w:qFormat/>
    <w:rsid w:val="003A6259"/>
    <w:pPr>
      <w:spacing w:before="240" w:after="60"/>
    </w:pPr>
    <w:rPr>
      <w:rFonts w:ascii="Times New Roman" w:hAnsi="Times New Roman"/>
      <w:b/>
      <w:sz w:val="28"/>
    </w:rPr>
  </w:style>
  <w:style w:type="character" w:customStyle="1" w:styleId="Underline">
    <w:name w:val="Underline"/>
    <w:basedOn w:val="DefaultParagraphFont"/>
    <w:qFormat/>
    <w:rsid w:val="003A6259"/>
    <w:rPr>
      <w:u w:val="single"/>
    </w:rPr>
  </w:style>
  <w:style w:type="character" w:customStyle="1" w:styleId="BoldandItalics">
    <w:name w:val="Bold and Italics"/>
    <w:qFormat/>
    <w:rsid w:val="003A6259"/>
    <w:rPr>
      <w:b/>
      <w:i/>
      <w:u w:val="none"/>
    </w:rPr>
  </w:style>
  <w:style w:type="paragraph" w:styleId="BalloonText">
    <w:name w:val="Balloon Text"/>
    <w:basedOn w:val="Normal"/>
    <w:link w:val="BalloonTextChar"/>
    <w:rsid w:val="003A6259"/>
    <w:rPr>
      <w:rFonts w:ascii="Tahoma" w:hAnsi="Tahoma" w:cs="Tahoma"/>
      <w:sz w:val="16"/>
      <w:szCs w:val="16"/>
    </w:rPr>
  </w:style>
  <w:style w:type="character" w:customStyle="1" w:styleId="BalloonTextChar">
    <w:name w:val="Balloon Text Char"/>
    <w:basedOn w:val="DefaultParagraphFont"/>
    <w:link w:val="BalloonText"/>
    <w:rsid w:val="003A6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259"/>
    <w:rPr>
      <w:b/>
      <w:color w:val="660033"/>
      <w:spacing w:val="0"/>
    </w:rPr>
  </w:style>
  <w:style w:type="paragraph" w:customStyle="1" w:styleId="Nameditemlist">
    <w:name w:val="Named item list"/>
    <w:basedOn w:val="BodyText"/>
    <w:qFormat/>
    <w:rsid w:val="003A6259"/>
    <w:pPr>
      <w:tabs>
        <w:tab w:val="left" w:pos="2835"/>
      </w:tabs>
      <w:ind w:left="2835" w:hanging="2835"/>
    </w:pPr>
  </w:style>
  <w:style w:type="paragraph" w:customStyle="1" w:styleId="BodyTextnopadding">
    <w:name w:val="Body Text no padding"/>
    <w:basedOn w:val="BodyText"/>
    <w:qFormat/>
    <w:rsid w:val="003A6259"/>
    <w:pPr>
      <w:spacing w:before="0" w:after="0"/>
    </w:pPr>
  </w:style>
  <w:style w:type="paragraph" w:customStyle="1" w:styleId="BodyTextBold">
    <w:name w:val="Body Text Bold"/>
    <w:basedOn w:val="BodyText"/>
    <w:qFormat/>
    <w:rsid w:val="003A6259"/>
    <w:rPr>
      <w:b/>
    </w:rPr>
  </w:style>
  <w:style w:type="character" w:styleId="Hyperlink">
    <w:name w:val="Hyperlink"/>
    <w:basedOn w:val="DefaultParagraphFont"/>
    <w:uiPriority w:val="99"/>
    <w:unhideWhenUsed/>
    <w:rsid w:val="000376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7394</Characters>
  <Application>Microsoft Office Word</Application>
  <DocSecurity>0</DocSecurity>
  <Lines>295</Lines>
  <Paragraphs>164</Paragraphs>
  <ScaleCrop>false</ScaleCrop>
  <Company>Author-it Software Corporation Ltd.</Company>
  <LinksUpToDate>false</LinksUpToDate>
  <CharactersWithSpaces>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MSTGN3007 Monitor and operate trade waste</dc:title>
  <dc:subject>Approved</dc:subject>
  <dc:creator>Skills Insight</dc:creator>
  <cp:keywords>Release: 1</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