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414A" w:rsidP="003741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MSTGN3006 Draw 3-D designs</w:t>
      </w:r>
      <w:r>
        <w:fldChar w:fldCharType="end"/>
      </w:r>
    </w:p>
    <w:p w:rsidR="0037414A" w:rsidP="0037414A">
      <w:pPr>
        <w:pStyle w:val="Version"/>
        <w:sectPr w:rsidSect="00627C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7C9C" w:rsidP="00627C9C">
      <w:pPr>
        <w:pStyle w:val="SuperHeading"/>
      </w:pPr>
      <w:r w:rsidRPr="00627C9C">
        <w:t>MSTGN3006 Draw 3-D designs</w:t>
      </w:r>
    </w:p>
    <w:p w:rsidR="00000000" w:rsidRPr="00627C9C" w:rsidP="00627C9C">
      <w:pPr>
        <w:pStyle w:val="Heading1"/>
      </w:pPr>
      <w:bookmarkStart w:id="1" w:name="O_931439"/>
      <w:bookmarkEnd w:id="1"/>
      <w:r w:rsidRPr="00627C9C">
        <w:t>Modification History</w:t>
      </w:r>
    </w:p>
    <w:p w:rsidR="00000000" w:rsidRPr="00627C9C" w:rsidP="0037414A">
      <w:pPr>
        <w:pStyle w:val="BodyText"/>
      </w:pPr>
      <w:r w:rsidRPr="00627C9C">
        <w:t>Release 1. Supersedes and is equivalent to LMTGN3008A Draw 3D designs</w:t>
      </w:r>
    </w:p>
    <w:p w:rsidR="00000000" w:rsidRPr="00627C9C" w:rsidP="00627C9C">
      <w:pPr>
        <w:pStyle w:val="Heading1"/>
      </w:pPr>
      <w:bookmarkStart w:id="2" w:name="O_931447"/>
      <w:bookmarkEnd w:id="2"/>
      <w:r w:rsidRPr="00627C9C">
        <w:t>Application</w:t>
      </w:r>
    </w:p>
    <w:p w:rsidR="00000000" w:rsidRPr="00627C9C" w:rsidP="0037414A">
      <w:pPr>
        <w:pStyle w:val="BodyText"/>
      </w:pPr>
      <w:r w:rsidRPr="00627C9C">
        <w:t>This unit of competency covers the skills and knowledge required to draw 3-D designs for custom-made and production textile, clothing an</w:t>
      </w:r>
      <w:r w:rsidRPr="00627C9C">
        <w:t>d footwear (TCF) products.</w:t>
      </w:r>
    </w:p>
    <w:p w:rsidR="00000000" w:rsidRPr="00627C9C" w:rsidP="0037414A">
      <w:pPr>
        <w:pStyle w:val="BodyText"/>
      </w:pPr>
      <w:r w:rsidRPr="00627C9C">
        <w:t>The unit of competency applies to the illustration or drawing of designs from the designer or rough sketch. The 3-D drawings feature all perspectives of the product, and are used as a communication tool for construction or promo</w:t>
      </w:r>
      <w:r w:rsidRPr="00627C9C">
        <w:t>tional purposes. The drawing may be done manually or by computer.</w:t>
      </w:r>
    </w:p>
    <w:p w:rsidR="00000000" w:rsidRPr="00627C9C" w:rsidP="0037414A">
      <w:pPr>
        <w:pStyle w:val="BodyText"/>
      </w:pPr>
      <w:r w:rsidRPr="00627C9C">
        <w:t>This unit of competency is applicable to all sectors of the TCF industry.</w:t>
      </w:r>
    </w:p>
    <w:p w:rsidR="00000000" w:rsidRPr="00627C9C" w:rsidP="0037414A">
      <w:pPr>
        <w:pStyle w:val="BodyText"/>
      </w:pPr>
      <w:r w:rsidRPr="00627C9C">
        <w:t>Work may be conducted in small to large scale enterprises and may involve individual and team activities.</w:t>
      </w:r>
    </w:p>
    <w:p w:rsidR="00000000" w:rsidRPr="00627C9C" w:rsidP="0037414A">
      <w:pPr>
        <w:pStyle w:val="BodyText"/>
      </w:pPr>
      <w:r w:rsidRPr="00627C9C">
        <w:t>No lice</w:t>
      </w:r>
      <w:r w:rsidRPr="00627C9C">
        <w:t>nsing, legislative or certification requirements apply to this unit at the time of publication.</w:t>
      </w:r>
    </w:p>
    <w:p w:rsidR="00000000" w:rsidRPr="00627C9C" w:rsidP="00627C9C">
      <w:pPr>
        <w:pStyle w:val="Heading1"/>
      </w:pPr>
      <w:bookmarkStart w:id="3" w:name="O_931446"/>
      <w:bookmarkEnd w:id="3"/>
      <w:r w:rsidRPr="00627C9C">
        <w:t>Pre-requisite Unit</w:t>
      </w:r>
    </w:p>
    <w:p w:rsidR="00000000" w:rsidRPr="00627C9C" w:rsidP="0037414A">
      <w:pPr>
        <w:pStyle w:val="BodyText"/>
      </w:pPr>
      <w:r w:rsidRPr="00627C9C">
        <w:t>Nil</w:t>
      </w:r>
    </w:p>
    <w:p w:rsidR="00000000" w:rsidRPr="00627C9C" w:rsidP="00627C9C">
      <w:pPr>
        <w:pStyle w:val="Heading1"/>
      </w:pPr>
      <w:bookmarkStart w:id="4" w:name="O_931445"/>
      <w:bookmarkEnd w:id="4"/>
      <w:r w:rsidRPr="00627C9C">
        <w:t>Competency Field</w:t>
      </w:r>
    </w:p>
    <w:p w:rsidR="00000000" w:rsidRPr="00627C9C" w:rsidP="0037414A">
      <w:pPr>
        <w:pStyle w:val="BodyText"/>
      </w:pPr>
      <w:r w:rsidRPr="00627C9C">
        <w:t>Generic</w:t>
      </w:r>
    </w:p>
    <w:p w:rsidR="00000000" w:rsidRPr="00627C9C" w:rsidP="00627C9C">
      <w:pPr>
        <w:pStyle w:val="Heading1"/>
      </w:pPr>
      <w:bookmarkStart w:id="5" w:name="O_931444"/>
      <w:bookmarkEnd w:id="5"/>
      <w:r w:rsidRPr="00627C9C">
        <w:t>Unit Sector</w:t>
      </w:r>
    </w:p>
    <w:p w:rsidR="00000000" w:rsidRPr="00627C9C" w:rsidP="0037414A">
      <w:pPr>
        <w:pStyle w:val="BodyText"/>
      </w:pPr>
      <w:r w:rsidRPr="00627C9C">
        <w:t>Not applicable</w:t>
      </w:r>
    </w:p>
    <w:p w:rsidR="00000000" w:rsidRPr="00627C9C" w:rsidP="00627C9C">
      <w:pPr>
        <w:pStyle w:val="Heading1"/>
      </w:pPr>
      <w:bookmarkStart w:id="6" w:name="O_931443"/>
      <w:bookmarkEnd w:id="6"/>
      <w:r w:rsidRPr="00627C9C">
        <w:t>Elements and Perf</w:t>
      </w:r>
      <w:r w:rsidRPr="00627C9C">
        <w:t>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627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9C">
            <w:pPr>
              <w:pStyle w:val="BodyText"/>
              <w:rPr>
                <w:lang w:val="en-NZ"/>
              </w:rPr>
            </w:pPr>
            <w:r w:rsidRPr="00627C9C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9C">
            <w:pPr>
              <w:pStyle w:val="BodyText"/>
              <w:rPr>
                <w:lang w:val="en-NZ"/>
              </w:rPr>
            </w:pPr>
            <w:r w:rsidRPr="00627C9C">
              <w:t>Performance criteria describe the performance needed to demonstrate achievement of the element.</w:t>
            </w:r>
          </w:p>
        </w:tc>
      </w:tr>
      <w:tr w:rsidTr="00627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C9C" w:rsidP="00627C9C">
            <w:pPr>
              <w:pStyle w:val="BodyText"/>
            </w:pPr>
            <w:r w:rsidRPr="00627C9C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9C">
            <w:pPr>
              <w:pStyle w:val="BodyText"/>
              <w:rPr>
                <w:lang w:val="en-NZ"/>
              </w:rPr>
            </w:pPr>
            <w:r w:rsidRPr="00627C9C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9C">
            <w:pPr>
              <w:pStyle w:val="BodyText"/>
              <w:rPr>
                <w:lang w:val="en-NZ"/>
              </w:rPr>
            </w:pPr>
            <w:r w:rsidRPr="00627C9C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9C">
            <w:pPr>
              <w:pStyle w:val="BodyText"/>
              <w:rPr>
                <w:lang w:val="en-NZ"/>
              </w:rPr>
            </w:pPr>
            <w:r w:rsidRPr="00627C9C">
              <w:t>Follow standard operating procedures (SOPs)</w:t>
            </w:r>
          </w:p>
        </w:tc>
      </w:tr>
      <w:tr w:rsidTr="00627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9C">
            <w:pPr>
              <w:pStyle w:val="BodyText"/>
              <w:rPr>
                <w:lang w:val="en-NZ"/>
              </w:rPr>
            </w:pPr>
            <w:r w:rsidRPr="00627C9C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9C">
            <w:pPr>
              <w:pStyle w:val="BodyText"/>
              <w:rPr>
                <w:lang w:val="en-NZ"/>
              </w:rPr>
            </w:pPr>
            <w:r w:rsidRPr="00627C9C">
              <w:t>Comply with work health and safety (WHS) requirements at all times</w:t>
            </w:r>
          </w:p>
        </w:tc>
      </w:tr>
      <w:tr w:rsidTr="00627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9C">
            <w:pPr>
              <w:pStyle w:val="BodyText"/>
              <w:rPr>
                <w:lang w:val="en-NZ"/>
              </w:rPr>
            </w:pPr>
            <w:r w:rsidRPr="00627C9C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9C">
            <w:pPr>
              <w:pStyle w:val="BodyText"/>
              <w:rPr>
                <w:lang w:val="en-NZ"/>
              </w:rPr>
            </w:pPr>
            <w:r w:rsidRPr="00627C9C">
              <w:t>Use appropriate personal protective equipment (PPE) in accordance with SOPs</w:t>
            </w:r>
          </w:p>
        </w:tc>
      </w:tr>
      <w:tr w:rsidTr="00627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9C">
            <w:pPr>
              <w:pStyle w:val="BodyText"/>
              <w:rPr>
                <w:lang w:val="en-NZ"/>
              </w:rPr>
            </w:pPr>
            <w:r w:rsidRPr="00627C9C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9C">
            <w:pPr>
              <w:pStyle w:val="BodyText"/>
              <w:rPr>
                <w:lang w:val="en-NZ"/>
              </w:rPr>
            </w:pPr>
            <w:r w:rsidRPr="00627C9C">
              <w:t>Identify job requirements from specifications, drawings, job sheets or work instructions</w:t>
            </w:r>
          </w:p>
        </w:tc>
      </w:tr>
      <w:tr w:rsidTr="00627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9C">
            <w:pPr>
              <w:pStyle w:val="BodyText"/>
              <w:rPr>
                <w:lang w:val="en-NZ"/>
              </w:rPr>
            </w:pPr>
          </w:p>
        </w:tc>
      </w:tr>
      <w:tr w:rsidTr="00627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C9C" w:rsidP="00627C9C">
            <w:pPr>
              <w:pStyle w:val="BodyText"/>
            </w:pPr>
            <w:r w:rsidRPr="00627C9C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9C">
            <w:pPr>
              <w:pStyle w:val="BodyText"/>
              <w:rPr>
                <w:lang w:val="en-NZ"/>
              </w:rPr>
            </w:pPr>
            <w:r w:rsidRPr="00627C9C">
              <w:rPr>
                <w:rStyle w:val="SpecialBold"/>
              </w:rPr>
              <w:t>Prepare for drawing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9C">
            <w:pPr>
              <w:pStyle w:val="BodyText"/>
              <w:rPr>
                <w:lang w:val="en-NZ"/>
              </w:rPr>
            </w:pPr>
            <w:r w:rsidRPr="00627C9C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9C">
            <w:pPr>
              <w:pStyle w:val="BodyText"/>
              <w:rPr>
                <w:lang w:val="en-NZ"/>
              </w:rPr>
            </w:pPr>
            <w:r w:rsidRPr="00627C9C">
              <w:t xml:space="preserve">Select and prepare drawing tools and equipment </w:t>
            </w:r>
          </w:p>
        </w:tc>
      </w:tr>
      <w:tr w:rsidTr="00627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9C">
            <w:pPr>
              <w:pStyle w:val="BodyText"/>
              <w:rPr>
                <w:lang w:val="en-NZ"/>
              </w:rPr>
            </w:pPr>
            <w:r w:rsidRPr="00627C9C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9C">
            <w:pPr>
              <w:pStyle w:val="BodyText"/>
              <w:rPr>
                <w:lang w:val="en-NZ"/>
              </w:rPr>
            </w:pPr>
            <w:r w:rsidRPr="00627C9C">
              <w:t>Set up workbench and seating according to WHS practices</w:t>
            </w:r>
          </w:p>
        </w:tc>
      </w:tr>
      <w:tr w:rsidTr="00627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9C">
            <w:pPr>
              <w:pStyle w:val="BodyText"/>
              <w:rPr>
                <w:lang w:val="en-NZ"/>
              </w:rPr>
            </w:pPr>
            <w:r w:rsidRPr="00627C9C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9C">
            <w:pPr>
              <w:pStyle w:val="BodyText"/>
              <w:rPr>
                <w:lang w:val="en-NZ"/>
              </w:rPr>
            </w:pPr>
            <w:r w:rsidRPr="00627C9C">
              <w:t>Interpret designer or rough sketch based on workplace procedures and input from client, designer, producer or a re</w:t>
            </w:r>
            <w:r w:rsidRPr="00627C9C">
              <w:t>cord of an existing product</w:t>
            </w:r>
          </w:p>
        </w:tc>
      </w:tr>
      <w:tr w:rsidTr="00627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9C">
            <w:pPr>
              <w:pStyle w:val="BodyText"/>
              <w:rPr>
                <w:lang w:val="en-NZ"/>
              </w:rPr>
            </w:pPr>
            <w:r w:rsidRPr="00627C9C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9C">
            <w:pPr>
              <w:pStyle w:val="BodyText"/>
              <w:rPr>
                <w:lang w:val="en-NZ"/>
              </w:rPr>
            </w:pPr>
            <w:r w:rsidRPr="00627C9C">
              <w:t>Identify features, specifications and quality criteria for drawing</w:t>
            </w:r>
          </w:p>
        </w:tc>
      </w:tr>
      <w:tr w:rsidTr="00627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9C">
            <w:pPr>
              <w:pStyle w:val="BodyText"/>
              <w:rPr>
                <w:lang w:val="en-NZ"/>
              </w:rPr>
            </w:pPr>
          </w:p>
        </w:tc>
      </w:tr>
      <w:tr w:rsidTr="00627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C9C" w:rsidP="00627C9C">
            <w:pPr>
              <w:pStyle w:val="BodyText"/>
            </w:pPr>
            <w:r w:rsidRPr="00627C9C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9C">
            <w:pPr>
              <w:pStyle w:val="BodyText"/>
              <w:rPr>
                <w:lang w:val="en-NZ"/>
              </w:rPr>
            </w:pPr>
            <w:r w:rsidRPr="00627C9C">
              <w:rPr>
                <w:rStyle w:val="SpecialBold"/>
              </w:rPr>
              <w:t>Apply 3-D drawing techniques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9C">
            <w:pPr>
              <w:pStyle w:val="BodyText"/>
              <w:rPr>
                <w:lang w:val="en-NZ"/>
              </w:rPr>
            </w:pPr>
            <w:r w:rsidRPr="00627C9C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9C">
            <w:pPr>
              <w:pStyle w:val="BodyText"/>
              <w:rPr>
                <w:lang w:val="en-NZ"/>
              </w:rPr>
            </w:pPr>
            <w:r w:rsidRPr="00627C9C">
              <w:t>Accurately draw design of product using templates, where required, and sh</w:t>
            </w:r>
            <w:r w:rsidRPr="00627C9C">
              <w:t xml:space="preserve">owing relevant wearing or placement angles </w:t>
            </w:r>
          </w:p>
        </w:tc>
      </w:tr>
      <w:tr w:rsidTr="00627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9C">
            <w:pPr>
              <w:pStyle w:val="BodyText"/>
              <w:rPr>
                <w:lang w:val="en-NZ"/>
              </w:rPr>
            </w:pPr>
            <w:r w:rsidRPr="00627C9C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9C">
            <w:pPr>
              <w:pStyle w:val="BodyText"/>
              <w:rPr>
                <w:lang w:val="en-NZ"/>
              </w:rPr>
            </w:pPr>
            <w:r w:rsidRPr="00627C9C">
              <w:t>Draw front, back and profile views of the product</w:t>
            </w:r>
          </w:p>
        </w:tc>
      </w:tr>
      <w:tr w:rsidTr="00627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9C">
            <w:pPr>
              <w:pStyle w:val="BodyText"/>
              <w:rPr>
                <w:lang w:val="en-NZ"/>
              </w:rPr>
            </w:pPr>
            <w:r w:rsidRPr="00627C9C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9C">
            <w:pPr>
              <w:pStyle w:val="BodyText"/>
              <w:rPr>
                <w:lang w:val="en-NZ"/>
              </w:rPr>
            </w:pPr>
            <w:r w:rsidRPr="00627C9C">
              <w:t xml:space="preserve">Confirm drawing with customer or designer and make necessary adjustments to meet requirements </w:t>
            </w:r>
          </w:p>
        </w:tc>
      </w:tr>
      <w:tr w:rsidTr="00627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9C">
            <w:pPr>
              <w:pStyle w:val="BodyText"/>
              <w:rPr>
                <w:lang w:val="en-NZ"/>
              </w:rPr>
            </w:pPr>
          </w:p>
        </w:tc>
      </w:tr>
      <w:tr w:rsidTr="00627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C9C" w:rsidP="00627C9C">
            <w:pPr>
              <w:pStyle w:val="BodyText"/>
            </w:pPr>
            <w:r w:rsidRPr="00627C9C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9C">
            <w:pPr>
              <w:pStyle w:val="BodyText"/>
              <w:rPr>
                <w:lang w:val="en-NZ"/>
              </w:rPr>
            </w:pPr>
            <w:r w:rsidRPr="00627C9C">
              <w:rPr>
                <w:rStyle w:val="SpecialBold"/>
              </w:rPr>
              <w:t>Finalise 3-D designs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9C">
            <w:pPr>
              <w:pStyle w:val="BodyText"/>
              <w:rPr>
                <w:lang w:val="en-NZ"/>
              </w:rPr>
            </w:pPr>
            <w:r w:rsidRPr="00627C9C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9C">
            <w:pPr>
              <w:pStyle w:val="BodyText"/>
              <w:rPr>
                <w:lang w:val="en-NZ"/>
              </w:rPr>
            </w:pPr>
            <w:r w:rsidRPr="00627C9C">
              <w:t>Render finalised drawing according to requirements by hand or computer</w:t>
            </w:r>
          </w:p>
        </w:tc>
      </w:tr>
      <w:tr w:rsidTr="00627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9C">
            <w:pPr>
              <w:pStyle w:val="BodyText"/>
              <w:rPr>
                <w:lang w:val="en-NZ"/>
              </w:rPr>
            </w:pPr>
            <w:r w:rsidRPr="00627C9C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9C">
            <w:pPr>
              <w:pStyle w:val="BodyText"/>
              <w:rPr>
                <w:lang w:val="en-NZ"/>
              </w:rPr>
            </w:pPr>
            <w:r w:rsidRPr="00627C9C">
              <w:t xml:space="preserve">Select presentation materials, tools and equipment  </w:t>
            </w:r>
          </w:p>
        </w:tc>
      </w:tr>
      <w:tr w:rsidTr="00627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9C">
            <w:pPr>
              <w:pStyle w:val="BodyText"/>
              <w:rPr>
                <w:lang w:val="en-NZ"/>
              </w:rPr>
            </w:pPr>
            <w:r w:rsidRPr="00627C9C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9C">
            <w:pPr>
              <w:pStyle w:val="BodyText"/>
              <w:rPr>
                <w:lang w:val="en-NZ"/>
              </w:rPr>
            </w:pPr>
            <w:r w:rsidRPr="00627C9C">
              <w:t xml:space="preserve">Apply visual presentation techniques to final illustration </w:t>
            </w:r>
          </w:p>
        </w:tc>
      </w:tr>
      <w:tr w:rsidTr="00627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9C">
            <w:pPr>
              <w:pStyle w:val="BodyText"/>
              <w:rPr>
                <w:lang w:val="en-NZ"/>
              </w:rPr>
            </w:pPr>
            <w:r w:rsidRPr="00627C9C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9C">
            <w:pPr>
              <w:pStyle w:val="BodyText"/>
              <w:rPr>
                <w:lang w:val="en-NZ"/>
              </w:rPr>
            </w:pPr>
            <w:r w:rsidRPr="00627C9C">
              <w:t>Present final illustration of 3-D design to client</w:t>
            </w:r>
          </w:p>
        </w:tc>
      </w:tr>
      <w:tr w:rsidTr="00627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9C">
            <w:pPr>
              <w:pStyle w:val="BodyText"/>
              <w:rPr>
                <w:lang w:val="en-NZ"/>
              </w:rPr>
            </w:pPr>
            <w:r w:rsidRPr="00627C9C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C9C" w:rsidP="00627C9C">
            <w:pPr>
              <w:pStyle w:val="BodyText"/>
            </w:pPr>
            <w:r w:rsidRPr="00627C9C">
              <w:t>File and store documentation</w:t>
            </w:r>
          </w:p>
        </w:tc>
      </w:tr>
    </w:tbl>
    <w:p w:rsidR="00000000" w:rsidRPr="00627C9C" w:rsidP="00627C9C">
      <w:pPr>
        <w:pStyle w:val="BodyText"/>
      </w:pPr>
    </w:p>
    <w:p w:rsidR="00000000" w:rsidRPr="00627C9C" w:rsidP="00627C9C">
      <w:pPr>
        <w:pStyle w:val="AllowPageBreak"/>
      </w:pPr>
    </w:p>
    <w:p w:rsidR="00000000" w:rsidRPr="00627C9C" w:rsidP="00627C9C">
      <w:pPr>
        <w:pStyle w:val="Heading1"/>
      </w:pPr>
      <w:bookmarkStart w:id="7" w:name="O_931442"/>
      <w:bookmarkEnd w:id="7"/>
      <w:r w:rsidRPr="00627C9C">
        <w:t>Foundation Skills</w:t>
      </w:r>
    </w:p>
    <w:p w:rsidR="00000000" w:rsidRPr="00627C9C" w:rsidP="0037414A">
      <w:pPr>
        <w:pStyle w:val="BodyText"/>
      </w:pPr>
      <w:r w:rsidRPr="00627C9C">
        <w:t>This section describes those required skills (language, literacy and numeracy) that are essential to performance.</w:t>
      </w:r>
    </w:p>
    <w:p w:rsidR="00000000" w:rsidRPr="00627C9C" w:rsidP="0037414A">
      <w:pPr>
        <w:pStyle w:val="BodyText"/>
      </w:pPr>
      <w:r w:rsidRPr="00627C9C">
        <w:t>Foundation skills essential to performance are explicit in the performance criteria of this unit of competency.</w:t>
      </w:r>
    </w:p>
    <w:p w:rsidR="00000000" w:rsidRPr="00627C9C" w:rsidP="00627C9C">
      <w:pPr>
        <w:pStyle w:val="Heading1"/>
      </w:pPr>
      <w:bookmarkStart w:id="8" w:name="O_931441"/>
      <w:bookmarkEnd w:id="8"/>
      <w:r w:rsidRPr="00627C9C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3741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9C">
            <w:pPr>
              <w:pStyle w:val="BodyText"/>
              <w:rPr>
                <w:lang w:val="en-NZ"/>
              </w:rPr>
            </w:pPr>
            <w:r w:rsidRPr="00627C9C">
              <w:t>This field allows for different work environments and conditions that may affect performance. Essential ope</w:t>
            </w:r>
            <w:r w:rsidRPr="00627C9C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3741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9C">
            <w:pPr>
              <w:pStyle w:val="BodyText"/>
              <w:rPr>
                <w:lang w:val="en-NZ"/>
              </w:rPr>
            </w:pPr>
            <w:r w:rsidRPr="00627C9C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C9C" w:rsidP="00627C9C">
            <w:pPr>
              <w:pStyle w:val="ListBullet"/>
            </w:pPr>
            <w:r w:rsidRPr="00627C9C">
              <w:t>requirements pr</w:t>
            </w:r>
            <w:r w:rsidRPr="00627C9C">
              <w:t>escribed by legislation, awards, agreements and conditions of employment</w:t>
            </w:r>
          </w:p>
          <w:p w:rsidR="00000000" w:rsidRPr="00627C9C" w:rsidP="00627C9C">
            <w:pPr>
              <w:pStyle w:val="ListBullet"/>
            </w:pPr>
            <w:r w:rsidRPr="00627C9C">
              <w:t>SOPs</w:t>
            </w:r>
          </w:p>
          <w:p w:rsidR="00000000" w:rsidRPr="00627C9C" w:rsidP="00627C9C">
            <w:pPr>
              <w:pStyle w:val="ListBullet"/>
            </w:pPr>
            <w:r w:rsidRPr="00627C9C">
              <w:t>work instructions</w:t>
            </w:r>
          </w:p>
          <w:p w:rsidR="00000000" w:rsidRPr="00627C9C" w:rsidP="00627C9C">
            <w:pPr>
              <w:pStyle w:val="ListBullet"/>
            </w:pPr>
            <w:r w:rsidRPr="00627C9C">
              <w:t>oral, written and visual communication</w:t>
            </w:r>
          </w:p>
          <w:p w:rsidR="00000000" w:rsidRPr="00627C9C" w:rsidP="00627C9C">
            <w:pPr>
              <w:pStyle w:val="ListBullet"/>
            </w:pPr>
            <w:r w:rsidRPr="00627C9C">
              <w:t>quality practices, including responsibility for maintenance of own work quality and contribution to quality improvement o</w:t>
            </w:r>
            <w:r w:rsidRPr="00627C9C">
              <w:t>f team or section output</w:t>
            </w:r>
          </w:p>
          <w:p w:rsidR="00000000" w:rsidRPr="00627C9C" w:rsidP="00627C9C">
            <w:pPr>
              <w:pStyle w:val="ListBullet"/>
            </w:pPr>
            <w:r w:rsidRPr="00627C9C">
              <w:t>housekeeping</w:t>
            </w:r>
          </w:p>
          <w:p w:rsidR="00000000" w:rsidRPr="00627C9C" w:rsidP="00627C9C">
            <w:pPr>
              <w:pStyle w:val="ListBullet"/>
            </w:pPr>
            <w:r w:rsidRPr="00627C9C">
              <w:t>tasks related to environmental protection, waste disposal, pollution control and recycling</w:t>
            </w:r>
          </w:p>
          <w:p w:rsidR="00000000" w:rsidRPr="00627C9C" w:rsidP="00627C9C">
            <w:pPr>
              <w:pStyle w:val="ListBullet"/>
            </w:pPr>
            <w:r w:rsidRPr="00627C9C">
              <w:t>WHS practices</w:t>
            </w:r>
          </w:p>
          <w:p w:rsidR="00000000" w:rsidP="00627C9C">
            <w:pPr>
              <w:pStyle w:val="BodyText"/>
              <w:rPr>
                <w:lang w:val="en-NZ"/>
              </w:rPr>
            </w:pPr>
          </w:p>
        </w:tc>
      </w:tr>
      <w:tr w:rsidTr="003741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9C">
            <w:pPr>
              <w:pStyle w:val="BodyText"/>
              <w:rPr>
                <w:lang w:val="en-NZ"/>
              </w:rPr>
            </w:pPr>
            <w:r w:rsidRPr="00627C9C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C9C" w:rsidP="00627C9C">
            <w:pPr>
              <w:pStyle w:val="ListBullet"/>
            </w:pPr>
            <w:r w:rsidRPr="00627C9C">
              <w:t>the relevant industry or Australian Standards that are current at the time this unit is being undertaken</w:t>
            </w:r>
          </w:p>
          <w:p w:rsidR="00000000" w:rsidP="00627C9C">
            <w:pPr>
              <w:pStyle w:val="BodyText"/>
              <w:rPr>
                <w:lang w:val="en-NZ"/>
              </w:rPr>
            </w:pPr>
          </w:p>
        </w:tc>
      </w:tr>
      <w:tr w:rsidTr="003741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9C">
            <w:pPr>
              <w:pStyle w:val="BodyText"/>
              <w:rPr>
                <w:lang w:val="en-NZ"/>
              </w:rPr>
            </w:pPr>
            <w:r w:rsidRPr="00627C9C">
              <w:rPr>
                <w:rStyle w:val="SpecialBold"/>
              </w:rPr>
              <w:t>Input includes, but is not limited to,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C9C" w:rsidP="00627C9C">
            <w:pPr>
              <w:pStyle w:val="ListBullet"/>
            </w:pPr>
            <w:r w:rsidRPr="00627C9C">
              <w:t>verbal description from client</w:t>
            </w:r>
          </w:p>
          <w:p w:rsidR="00000000" w:rsidRPr="00627C9C" w:rsidP="00627C9C">
            <w:pPr>
              <w:pStyle w:val="ListBullet"/>
            </w:pPr>
            <w:r w:rsidRPr="00627C9C">
              <w:t>discussion between client and producer</w:t>
            </w:r>
          </w:p>
          <w:p w:rsidR="00000000" w:rsidRPr="00627C9C" w:rsidP="00627C9C">
            <w:pPr>
              <w:pStyle w:val="ListBullet"/>
            </w:pPr>
            <w:r w:rsidRPr="00627C9C">
              <w:t>discussio</w:t>
            </w:r>
            <w:r w:rsidRPr="00627C9C">
              <w:t>n and description between producer and designer</w:t>
            </w:r>
          </w:p>
          <w:p w:rsidR="00000000" w:rsidRPr="00627C9C" w:rsidP="00627C9C">
            <w:pPr>
              <w:pStyle w:val="ListBullet"/>
            </w:pPr>
            <w:r w:rsidRPr="00627C9C">
              <w:t>a record of an existing product</w:t>
            </w:r>
          </w:p>
          <w:p w:rsidR="00000000" w:rsidP="00627C9C">
            <w:pPr>
              <w:pStyle w:val="BodyText"/>
              <w:rPr>
                <w:lang w:val="en-NZ"/>
              </w:rPr>
            </w:pPr>
          </w:p>
        </w:tc>
      </w:tr>
      <w:tr w:rsidTr="003741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9C">
            <w:pPr>
              <w:pStyle w:val="BodyText"/>
              <w:rPr>
                <w:lang w:val="en-NZ"/>
              </w:rPr>
            </w:pPr>
            <w:r w:rsidRPr="00627C9C">
              <w:rPr>
                <w:rStyle w:val="SpecialBold"/>
              </w:rPr>
              <w:t>Interpret includes, but is not limited to, three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C9C" w:rsidP="00627C9C">
            <w:pPr>
              <w:pStyle w:val="ListBullet"/>
            </w:pPr>
            <w:r w:rsidRPr="00627C9C">
              <w:t>parts or sections of the product</w:t>
            </w:r>
          </w:p>
          <w:p w:rsidR="00000000" w:rsidRPr="00627C9C" w:rsidP="00627C9C">
            <w:pPr>
              <w:pStyle w:val="ListBullet"/>
            </w:pPr>
            <w:r w:rsidRPr="00627C9C">
              <w:t>trims or features</w:t>
            </w:r>
          </w:p>
          <w:p w:rsidR="00000000" w:rsidRPr="00627C9C" w:rsidP="00627C9C">
            <w:pPr>
              <w:pStyle w:val="ListBullet"/>
            </w:pPr>
            <w:r w:rsidRPr="00627C9C">
              <w:t>shape and silhouette</w:t>
            </w:r>
          </w:p>
          <w:p w:rsidR="00000000" w:rsidRPr="00627C9C" w:rsidP="00627C9C">
            <w:pPr>
              <w:pStyle w:val="ListBullet"/>
            </w:pPr>
            <w:r w:rsidRPr="00627C9C">
              <w:t xml:space="preserve">colour </w:t>
            </w:r>
          </w:p>
          <w:p w:rsidR="00000000" w:rsidRPr="00627C9C" w:rsidP="00627C9C">
            <w:pPr>
              <w:pStyle w:val="ListBullet"/>
            </w:pPr>
            <w:r w:rsidRPr="00627C9C">
              <w:t>textures</w:t>
            </w:r>
          </w:p>
          <w:p w:rsidR="00000000" w:rsidRPr="00627C9C" w:rsidP="00627C9C">
            <w:pPr>
              <w:pStyle w:val="ListBullet"/>
            </w:pPr>
            <w:r w:rsidRPr="00627C9C">
              <w:t>balance</w:t>
            </w:r>
          </w:p>
          <w:p w:rsidR="00000000" w:rsidRPr="00627C9C" w:rsidP="00627C9C">
            <w:pPr>
              <w:pStyle w:val="ListBullet"/>
            </w:pPr>
            <w:r w:rsidRPr="00627C9C">
              <w:t xml:space="preserve">how the product is worn </w:t>
            </w:r>
          </w:p>
          <w:p w:rsidR="00000000" w:rsidRPr="00627C9C" w:rsidP="00627C9C">
            <w:pPr>
              <w:pStyle w:val="ListBullet"/>
            </w:pPr>
            <w:r w:rsidRPr="00627C9C">
              <w:t>traditional and non-traditional materials</w:t>
            </w:r>
          </w:p>
          <w:p w:rsidR="00000000" w:rsidP="00627C9C">
            <w:pPr>
              <w:pStyle w:val="BodyText"/>
              <w:rPr>
                <w:lang w:val="en-NZ"/>
              </w:rPr>
            </w:pPr>
          </w:p>
        </w:tc>
      </w:tr>
      <w:tr w:rsidTr="003741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9C">
            <w:pPr>
              <w:pStyle w:val="BodyText"/>
              <w:rPr>
                <w:lang w:val="en-NZ"/>
              </w:rPr>
            </w:pPr>
            <w:r w:rsidRPr="00627C9C">
              <w:rPr>
                <w:rStyle w:val="SpecialBold"/>
              </w:rPr>
              <w:t>Product includes, but is not limited to,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C9C" w:rsidP="00627C9C">
            <w:pPr>
              <w:pStyle w:val="ListBullet"/>
            </w:pPr>
            <w:r w:rsidRPr="00627C9C">
              <w:t>headwear</w:t>
            </w:r>
          </w:p>
          <w:p w:rsidR="00000000" w:rsidRPr="00627C9C" w:rsidP="00627C9C">
            <w:pPr>
              <w:pStyle w:val="ListBullet"/>
            </w:pPr>
            <w:r w:rsidRPr="00627C9C">
              <w:t>footwear</w:t>
            </w:r>
          </w:p>
          <w:p w:rsidR="00000000" w:rsidRPr="00627C9C" w:rsidP="00627C9C">
            <w:pPr>
              <w:pStyle w:val="ListBullet"/>
            </w:pPr>
            <w:r w:rsidRPr="00627C9C">
              <w:t>accessories</w:t>
            </w:r>
          </w:p>
          <w:p w:rsidR="00000000" w:rsidRPr="00627C9C" w:rsidP="00627C9C">
            <w:pPr>
              <w:pStyle w:val="ListBullet"/>
            </w:pPr>
            <w:r w:rsidRPr="00627C9C">
              <w:t>garment</w:t>
            </w:r>
          </w:p>
          <w:p w:rsidR="00000000" w:rsidRPr="00627C9C" w:rsidP="00627C9C">
            <w:pPr>
              <w:pStyle w:val="ListBullet"/>
            </w:pPr>
            <w:r w:rsidRPr="00627C9C">
              <w:t>other textile product</w:t>
            </w:r>
          </w:p>
          <w:p w:rsidR="00000000" w:rsidP="00627C9C">
            <w:pPr>
              <w:pStyle w:val="BodyText"/>
              <w:rPr>
                <w:lang w:val="en-NZ"/>
              </w:rPr>
            </w:pPr>
          </w:p>
        </w:tc>
      </w:tr>
      <w:tr w:rsidTr="003741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C9C">
            <w:pPr>
              <w:pStyle w:val="BodyText"/>
              <w:rPr>
                <w:lang w:val="en-NZ"/>
              </w:rPr>
            </w:pPr>
            <w:r w:rsidRPr="00627C9C">
              <w:rPr>
                <w:rStyle w:val="SpecialBold"/>
              </w:rPr>
              <w:t>Angles include, but are not limited to,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C9C" w:rsidP="00627C9C">
            <w:pPr>
              <w:pStyle w:val="ListBullet"/>
            </w:pPr>
            <w:r w:rsidRPr="00627C9C">
              <w:t xml:space="preserve">side </w:t>
            </w:r>
          </w:p>
          <w:p w:rsidR="00000000" w:rsidRPr="00627C9C" w:rsidP="00627C9C">
            <w:pPr>
              <w:pStyle w:val="ListBullet"/>
            </w:pPr>
            <w:r w:rsidRPr="00627C9C">
              <w:t xml:space="preserve">front </w:t>
            </w:r>
          </w:p>
          <w:p w:rsidR="00000000" w:rsidRPr="00627C9C" w:rsidP="00627C9C">
            <w:pPr>
              <w:pStyle w:val="ListBullet"/>
            </w:pPr>
            <w:r w:rsidRPr="00627C9C">
              <w:t xml:space="preserve">back </w:t>
            </w:r>
          </w:p>
          <w:p w:rsidR="00000000" w:rsidRPr="00627C9C" w:rsidP="00627C9C">
            <w:pPr>
              <w:pStyle w:val="ListBullet"/>
            </w:pPr>
            <w:r w:rsidRPr="00627C9C">
              <w:t>square</w:t>
            </w:r>
          </w:p>
        </w:tc>
      </w:tr>
    </w:tbl>
    <w:p w:rsidR="00000000" w:rsidRPr="00627C9C" w:rsidP="00627C9C">
      <w:pPr>
        <w:pStyle w:val="BodyText"/>
      </w:pPr>
    </w:p>
    <w:p w:rsidR="00000000" w:rsidRPr="00627C9C" w:rsidP="00627C9C">
      <w:pPr>
        <w:pStyle w:val="AllowPageBreak"/>
      </w:pPr>
    </w:p>
    <w:p w:rsidR="00000000" w:rsidRPr="00627C9C" w:rsidP="00627C9C">
      <w:pPr>
        <w:pStyle w:val="Heading1"/>
      </w:pPr>
      <w:bookmarkStart w:id="9" w:name="O_931440"/>
      <w:bookmarkEnd w:id="9"/>
      <w:r w:rsidRPr="00627C9C">
        <w:t>Unit Mapping Information</w:t>
      </w:r>
    </w:p>
    <w:p w:rsidR="00000000" w:rsidRPr="00627C9C" w:rsidP="0037414A">
      <w:pPr>
        <w:pStyle w:val="BodyText"/>
      </w:pPr>
      <w:r w:rsidRPr="00627C9C">
        <w:t>Release 1. Supersedes and is equivalent to LMTGN3008A Draw 3D designs</w:t>
      </w:r>
    </w:p>
    <w:p w:rsidR="00000000" w:rsidRPr="00627C9C" w:rsidP="00627C9C">
      <w:pPr>
        <w:pStyle w:val="Heading1"/>
      </w:pPr>
      <w:bookmarkStart w:id="10" w:name="O_931433"/>
      <w:bookmarkEnd w:id="10"/>
      <w:r w:rsidRPr="00627C9C">
        <w:t>Links</w:t>
      </w:r>
    </w:p>
    <w:p w:rsidR="00000000" w:rsidRPr="00627C9C" w:rsidP="0037414A">
      <w:pPr>
        <w:pStyle w:val="BodyText"/>
      </w:pPr>
      <w:r w:rsidRPr="00627C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9E2B7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27C9C" w:rsidP="0037414A">
      <w:pPr>
        <w:pStyle w:val="BodyText"/>
        <w:sectPr w:rsidSect="00627C9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27C9C" w:rsidP="00627C9C">
      <w:pPr>
        <w:pStyle w:val="SuperHeading"/>
      </w:pPr>
      <w:r w:rsidRPr="00627C9C">
        <w:t>Assessment Requirements for MSTGN3006 Draw 3-D designs</w:t>
      </w:r>
    </w:p>
    <w:p w:rsidR="00000000" w:rsidRPr="00627C9C" w:rsidP="00627C9C">
      <w:pPr>
        <w:pStyle w:val="Heading1"/>
      </w:pPr>
      <w:bookmarkStart w:id="11" w:name="O_931435"/>
      <w:bookmarkEnd w:id="11"/>
      <w:r w:rsidRPr="00627C9C">
        <w:t>Modification History</w:t>
      </w:r>
    </w:p>
    <w:p w:rsidR="00000000" w:rsidRPr="00627C9C" w:rsidP="0037414A">
      <w:pPr>
        <w:pStyle w:val="BodyText"/>
      </w:pPr>
      <w:r w:rsidRPr="00627C9C">
        <w:t>Release 1. Supersedes and is equivalent to LMTGN3008A Draw 3D designs</w:t>
      </w:r>
    </w:p>
    <w:p w:rsidR="00000000" w:rsidRPr="00627C9C" w:rsidP="00627C9C">
      <w:pPr>
        <w:pStyle w:val="Heading1"/>
      </w:pPr>
      <w:bookmarkStart w:id="12" w:name="O_931438"/>
      <w:bookmarkEnd w:id="12"/>
      <w:r w:rsidRPr="00627C9C">
        <w:t>Performance Evidence</w:t>
      </w:r>
    </w:p>
    <w:p w:rsidR="00000000" w:rsidRPr="00627C9C" w:rsidP="0037414A">
      <w:pPr>
        <w:pStyle w:val="BodyText"/>
      </w:pPr>
      <w:r w:rsidRPr="00627C9C">
        <w:t>Evidence required to demonstrate competence in this unit must be relevant to and satisfy the requirements of the elemen</w:t>
      </w:r>
      <w:r w:rsidRPr="00627C9C">
        <w:t>ts and performance criteria, and include:</w:t>
      </w:r>
    </w:p>
    <w:p w:rsidR="00000000" w:rsidRPr="00627C9C" w:rsidP="00627C9C">
      <w:pPr>
        <w:pStyle w:val="ListBullet"/>
      </w:pPr>
      <w:r w:rsidRPr="00627C9C">
        <w:t xml:space="preserve">reading and following work instructions, standard operating procedures (SOPs), safe work practices </w:t>
      </w:r>
    </w:p>
    <w:p w:rsidR="00000000" w:rsidRPr="00627C9C" w:rsidP="00627C9C">
      <w:pPr>
        <w:pStyle w:val="ListBullet"/>
      </w:pPr>
      <w:r w:rsidRPr="00627C9C">
        <w:t>applying relevant standards</w:t>
      </w:r>
    </w:p>
    <w:p w:rsidR="00000000" w:rsidRPr="00627C9C" w:rsidP="00627C9C">
      <w:pPr>
        <w:pStyle w:val="ListBullet"/>
      </w:pPr>
      <w:r w:rsidRPr="00627C9C">
        <w:t>interpreting design based on workplace procedures and input from client, designer, pr</w:t>
      </w:r>
      <w:r w:rsidRPr="00627C9C">
        <w:t>oducer or a record of an existing product</w:t>
      </w:r>
    </w:p>
    <w:p w:rsidR="00000000" w:rsidRPr="00627C9C" w:rsidP="00627C9C">
      <w:pPr>
        <w:pStyle w:val="ListBullet"/>
      </w:pPr>
      <w:r w:rsidRPr="00627C9C">
        <w:t>using drawing tools and equipment to illustrate designs</w:t>
      </w:r>
    </w:p>
    <w:p w:rsidR="00000000" w:rsidRPr="00627C9C" w:rsidP="00627C9C">
      <w:pPr>
        <w:pStyle w:val="ListBullet"/>
      </w:pPr>
      <w:r w:rsidRPr="00627C9C">
        <w:t>drawing an accurate 3-D drawing of a design product using templates, where required, and showing relevant wearing or placement angles</w:t>
      </w:r>
    </w:p>
    <w:p w:rsidR="00000000" w:rsidRPr="00627C9C" w:rsidP="00627C9C">
      <w:pPr>
        <w:pStyle w:val="ListBullet"/>
      </w:pPr>
      <w:r w:rsidRPr="00627C9C">
        <w:t>seeking and applying feedback from client</w:t>
      </w:r>
    </w:p>
    <w:p w:rsidR="00000000" w:rsidRPr="00627C9C" w:rsidP="00627C9C">
      <w:pPr>
        <w:pStyle w:val="ListBullet"/>
      </w:pPr>
      <w:r w:rsidRPr="00627C9C">
        <w:t>rendering finalised drawing by hand or computer to create 3-D design, including front, back and profile views of the product</w:t>
      </w:r>
    </w:p>
    <w:p w:rsidR="00000000" w:rsidRPr="00627C9C" w:rsidP="00627C9C">
      <w:pPr>
        <w:pStyle w:val="ListBullet"/>
      </w:pPr>
      <w:r w:rsidRPr="00627C9C">
        <w:t>applying quality criteria in the completion of the drawing</w:t>
      </w:r>
    </w:p>
    <w:p w:rsidR="00000000" w:rsidRPr="00627C9C" w:rsidP="00627C9C">
      <w:pPr>
        <w:pStyle w:val="ListBullet"/>
      </w:pPr>
      <w:r w:rsidRPr="00627C9C">
        <w:t>presenting final drawings that</w:t>
      </w:r>
      <w:r w:rsidRPr="00627C9C">
        <w:t xml:space="preserve"> accurately represent designs for at least three (3) different products using visual presentation techniques</w:t>
      </w:r>
    </w:p>
    <w:p w:rsidR="00000000" w:rsidRPr="00627C9C" w:rsidP="00627C9C">
      <w:pPr>
        <w:pStyle w:val="ListBullet"/>
      </w:pPr>
      <w:r w:rsidRPr="00627C9C">
        <w:t>maintaining accurate records</w:t>
      </w:r>
    </w:p>
    <w:p w:rsidR="00000000" w:rsidRPr="00627C9C" w:rsidP="00627C9C">
      <w:pPr>
        <w:pStyle w:val="ListBullet"/>
      </w:pPr>
      <w:r w:rsidRPr="00627C9C">
        <w:t>applying workplace procedures.</w:t>
      </w:r>
    </w:p>
    <w:p w:rsidR="00000000" w:rsidRPr="00627C9C" w:rsidP="00627C9C">
      <w:pPr>
        <w:pStyle w:val="AllowPageBreak"/>
      </w:pPr>
    </w:p>
    <w:p w:rsidR="00000000" w:rsidRPr="00627C9C" w:rsidP="00627C9C">
      <w:pPr>
        <w:pStyle w:val="Heading1"/>
      </w:pPr>
      <w:bookmarkStart w:id="13" w:name="O_931437"/>
      <w:bookmarkEnd w:id="13"/>
      <w:r w:rsidRPr="00627C9C">
        <w:t>Knowledge Evidence</w:t>
      </w:r>
    </w:p>
    <w:p w:rsidR="00000000" w:rsidRPr="00627C9C" w:rsidP="0037414A">
      <w:pPr>
        <w:pStyle w:val="BodyText"/>
      </w:pPr>
      <w:r w:rsidRPr="00627C9C">
        <w:t>Evidence must be provided that demonstrates knowled</w:t>
      </w:r>
      <w:r w:rsidRPr="00627C9C">
        <w:t>ge of:</w:t>
      </w:r>
    </w:p>
    <w:p w:rsidR="00000000" w:rsidRPr="00627C9C" w:rsidP="00627C9C">
      <w:pPr>
        <w:pStyle w:val="ListBullet"/>
      </w:pPr>
      <w:r w:rsidRPr="00627C9C">
        <w:t>safe work practices and procedures and use of personal protective equipment (PPE)</w:t>
      </w:r>
    </w:p>
    <w:p w:rsidR="00000000" w:rsidRPr="00627C9C" w:rsidP="00627C9C">
      <w:pPr>
        <w:pStyle w:val="ListBullet"/>
      </w:pPr>
      <w:r w:rsidRPr="00627C9C">
        <w:t xml:space="preserve">relevant Australian Standards </w:t>
      </w:r>
    </w:p>
    <w:p w:rsidR="00000000" w:rsidRPr="00627C9C" w:rsidP="00627C9C">
      <w:pPr>
        <w:pStyle w:val="ListBullet"/>
      </w:pPr>
      <w:r w:rsidRPr="00627C9C">
        <w:t xml:space="preserve">parts of and terminology of the product </w:t>
      </w:r>
    </w:p>
    <w:p w:rsidR="00000000" w:rsidRPr="00627C9C" w:rsidP="00627C9C">
      <w:pPr>
        <w:pStyle w:val="ListBullet"/>
      </w:pPr>
      <w:r w:rsidRPr="00627C9C">
        <w:t>drawing tools and equipment, such as:</w:t>
      </w:r>
    </w:p>
    <w:p w:rsidR="00000000" w:rsidRPr="00627C9C" w:rsidP="00627C9C">
      <w:pPr>
        <w:pStyle w:val="ListBullet2"/>
      </w:pPr>
      <w:r w:rsidRPr="00627C9C">
        <w:t>HB lead pencil</w:t>
      </w:r>
    </w:p>
    <w:p w:rsidR="00000000" w:rsidRPr="00627C9C" w:rsidP="00627C9C">
      <w:pPr>
        <w:pStyle w:val="ListBullet2"/>
      </w:pPr>
      <w:r w:rsidRPr="00627C9C">
        <w:t>eraser</w:t>
      </w:r>
    </w:p>
    <w:p w:rsidR="00000000" w:rsidRPr="00627C9C" w:rsidP="00627C9C">
      <w:pPr>
        <w:pStyle w:val="ListBullet2"/>
      </w:pPr>
      <w:r w:rsidRPr="00627C9C">
        <w:t>pencil sharpener</w:t>
      </w:r>
    </w:p>
    <w:p w:rsidR="00000000" w:rsidRPr="00627C9C" w:rsidP="00627C9C">
      <w:pPr>
        <w:pStyle w:val="ListBullet2"/>
      </w:pPr>
      <w:r w:rsidRPr="00627C9C">
        <w:t>black felt tip pens (02, 04 and 06)</w:t>
      </w:r>
    </w:p>
    <w:p w:rsidR="00000000" w:rsidRPr="00627C9C" w:rsidP="00627C9C">
      <w:pPr>
        <w:pStyle w:val="ListBullet2"/>
      </w:pPr>
      <w:r w:rsidRPr="00627C9C">
        <w:t>A3 layout pad</w:t>
      </w:r>
    </w:p>
    <w:p w:rsidR="00000000" w:rsidRPr="00627C9C" w:rsidP="00627C9C">
      <w:pPr>
        <w:pStyle w:val="ListBullet2"/>
      </w:pPr>
      <w:r w:rsidRPr="00627C9C">
        <w:t>computer and software</w:t>
      </w:r>
    </w:p>
    <w:p w:rsidR="00000000" w:rsidRPr="00627C9C" w:rsidP="00627C9C">
      <w:pPr>
        <w:pStyle w:val="ListBullet"/>
      </w:pPr>
      <w:r w:rsidRPr="00627C9C">
        <w:t>drawing templates, such as:</w:t>
      </w:r>
    </w:p>
    <w:p w:rsidR="00000000" w:rsidRPr="00627C9C" w:rsidP="00627C9C">
      <w:pPr>
        <w:pStyle w:val="ListBullet2"/>
      </w:pPr>
      <w:r w:rsidRPr="00627C9C">
        <w:t>variety of different face or body shapes, necks and shoulders</w:t>
      </w:r>
    </w:p>
    <w:p w:rsidR="00000000" w:rsidRPr="00627C9C" w:rsidP="00627C9C">
      <w:pPr>
        <w:pStyle w:val="ListBullet2"/>
      </w:pPr>
      <w:r w:rsidRPr="00627C9C">
        <w:t xml:space="preserve">variety of body or head profiles </w:t>
      </w:r>
    </w:p>
    <w:p w:rsidR="00000000" w:rsidRPr="00627C9C" w:rsidP="00627C9C">
      <w:pPr>
        <w:pStyle w:val="ListBullet2"/>
      </w:pPr>
      <w:r w:rsidRPr="00627C9C">
        <w:t>facial features (eyes, eyebrows, nose, mouth and ears)</w:t>
      </w:r>
    </w:p>
    <w:p w:rsidR="00000000" w:rsidRPr="00627C9C" w:rsidP="00627C9C">
      <w:pPr>
        <w:pStyle w:val="ListBullet2"/>
      </w:pPr>
      <w:r w:rsidRPr="00627C9C">
        <w:t>hai</w:t>
      </w:r>
      <w:r w:rsidRPr="00627C9C">
        <w:t>r styles and colouring</w:t>
      </w:r>
    </w:p>
    <w:p w:rsidR="00000000" w:rsidRPr="00627C9C" w:rsidP="00627C9C">
      <w:pPr>
        <w:pStyle w:val="ListBullet2"/>
      </w:pPr>
      <w:r w:rsidRPr="00627C9C">
        <w:t>women, men or children</w:t>
      </w:r>
    </w:p>
    <w:p w:rsidR="00000000" w:rsidRPr="00627C9C" w:rsidP="00627C9C">
      <w:pPr>
        <w:pStyle w:val="ListBullet2"/>
      </w:pPr>
      <w:r w:rsidRPr="00627C9C">
        <w:t>product styles</w:t>
      </w:r>
    </w:p>
    <w:p w:rsidR="00000000" w:rsidRPr="00627C9C" w:rsidP="00627C9C">
      <w:pPr>
        <w:pStyle w:val="ListBullet"/>
      </w:pPr>
      <w:r w:rsidRPr="00627C9C">
        <w:t>presentation materials, tools and equipment, such as:</w:t>
      </w:r>
    </w:p>
    <w:p w:rsidR="00000000" w:rsidRPr="00627C9C" w:rsidP="00627C9C">
      <w:pPr>
        <w:pStyle w:val="ListBullet2"/>
      </w:pPr>
      <w:r w:rsidRPr="00627C9C">
        <w:t xml:space="preserve">mounting board </w:t>
      </w:r>
    </w:p>
    <w:p w:rsidR="00000000" w:rsidRPr="00627C9C" w:rsidP="00627C9C">
      <w:pPr>
        <w:pStyle w:val="ListBullet2"/>
      </w:pPr>
      <w:r w:rsidRPr="00627C9C">
        <w:t>frames</w:t>
      </w:r>
    </w:p>
    <w:p w:rsidR="00000000" w:rsidRPr="00627C9C" w:rsidP="00627C9C">
      <w:pPr>
        <w:pStyle w:val="ListBullet2"/>
      </w:pPr>
      <w:r w:rsidRPr="00627C9C">
        <w:t>backings</w:t>
      </w:r>
    </w:p>
    <w:p w:rsidR="00000000" w:rsidRPr="00627C9C" w:rsidP="00627C9C">
      <w:pPr>
        <w:pStyle w:val="ListBullet2"/>
      </w:pPr>
      <w:r w:rsidRPr="00627C9C">
        <w:t>electronic</w:t>
      </w:r>
    </w:p>
    <w:p w:rsidR="00000000" w:rsidRPr="00627C9C" w:rsidP="00627C9C">
      <w:pPr>
        <w:pStyle w:val="ListBullet2"/>
      </w:pPr>
      <w:r w:rsidRPr="00627C9C">
        <w:t>cutting tools</w:t>
      </w:r>
    </w:p>
    <w:p w:rsidR="00000000" w:rsidRPr="00627C9C" w:rsidP="00627C9C">
      <w:pPr>
        <w:pStyle w:val="ListBullet2"/>
      </w:pPr>
      <w:r w:rsidRPr="00627C9C">
        <w:t>adhesives</w:t>
      </w:r>
    </w:p>
    <w:p w:rsidR="00000000" w:rsidRPr="00627C9C" w:rsidP="00627C9C">
      <w:pPr>
        <w:pStyle w:val="ListBullet2"/>
      </w:pPr>
      <w:r w:rsidRPr="00627C9C">
        <w:t>cover sheet to protect illustration (e.g. plastic sleeves and drawing paper)</w:t>
      </w:r>
    </w:p>
    <w:p w:rsidR="00000000" w:rsidRPr="00627C9C" w:rsidP="00627C9C">
      <w:pPr>
        <w:pStyle w:val="ListBullet"/>
      </w:pPr>
      <w:r w:rsidRPr="00627C9C">
        <w:t>rendering techniques, such as:</w:t>
      </w:r>
    </w:p>
    <w:p w:rsidR="00000000" w:rsidRPr="00627C9C" w:rsidP="00627C9C">
      <w:pPr>
        <w:pStyle w:val="ListBullet2"/>
      </w:pPr>
      <w:r w:rsidRPr="00627C9C">
        <w:t>solid colour</w:t>
      </w:r>
    </w:p>
    <w:p w:rsidR="00000000" w:rsidRPr="00627C9C" w:rsidP="00627C9C">
      <w:pPr>
        <w:pStyle w:val="ListBullet2"/>
      </w:pPr>
      <w:r w:rsidRPr="00627C9C">
        <w:t>wash</w:t>
      </w:r>
    </w:p>
    <w:p w:rsidR="00000000" w:rsidRPr="00627C9C" w:rsidP="00627C9C">
      <w:pPr>
        <w:pStyle w:val="ListBullet2"/>
      </w:pPr>
      <w:r w:rsidRPr="00627C9C">
        <w:t>felt pens</w:t>
      </w:r>
    </w:p>
    <w:p w:rsidR="00000000" w:rsidRPr="00627C9C" w:rsidP="00627C9C">
      <w:pPr>
        <w:pStyle w:val="ListBullet2"/>
      </w:pPr>
      <w:r w:rsidRPr="00627C9C">
        <w:t>gouache</w:t>
      </w:r>
    </w:p>
    <w:p w:rsidR="00000000" w:rsidRPr="00627C9C" w:rsidP="00627C9C">
      <w:pPr>
        <w:pStyle w:val="ListBullet2"/>
      </w:pPr>
      <w:r w:rsidRPr="00627C9C">
        <w:t>pen and ink</w:t>
      </w:r>
    </w:p>
    <w:p w:rsidR="00000000" w:rsidRPr="00627C9C" w:rsidP="00627C9C">
      <w:pPr>
        <w:pStyle w:val="ListBullet2"/>
      </w:pPr>
      <w:r w:rsidRPr="00627C9C">
        <w:t>pencil</w:t>
      </w:r>
    </w:p>
    <w:p w:rsidR="00000000" w:rsidRPr="00627C9C" w:rsidP="00627C9C">
      <w:pPr>
        <w:pStyle w:val="ListBullet2"/>
      </w:pPr>
      <w:r w:rsidRPr="00627C9C">
        <w:t>shading</w:t>
      </w:r>
    </w:p>
    <w:p w:rsidR="00000000" w:rsidRPr="00627C9C" w:rsidP="00627C9C">
      <w:pPr>
        <w:pStyle w:val="ListBullet"/>
      </w:pPr>
      <w:r w:rsidRPr="00627C9C">
        <w:t>industry standards</w:t>
      </w:r>
    </w:p>
    <w:p w:rsidR="00000000" w:rsidRPr="00627C9C" w:rsidP="00627C9C">
      <w:pPr>
        <w:pStyle w:val="ListBullet"/>
      </w:pPr>
      <w:r w:rsidRPr="00627C9C">
        <w:t>visual presentation, such as:</w:t>
      </w:r>
    </w:p>
    <w:p w:rsidR="00000000" w:rsidRPr="00627C9C" w:rsidP="00627C9C">
      <w:pPr>
        <w:pStyle w:val="ListBullet2"/>
      </w:pPr>
      <w:r w:rsidRPr="00627C9C">
        <w:t>mounting</w:t>
      </w:r>
    </w:p>
    <w:p w:rsidR="00000000" w:rsidRPr="00627C9C" w:rsidP="00627C9C">
      <w:pPr>
        <w:pStyle w:val="ListBullet2"/>
      </w:pPr>
      <w:r w:rsidRPr="00627C9C">
        <w:t>display of different angles of product</w:t>
      </w:r>
    </w:p>
    <w:p w:rsidR="00000000" w:rsidRPr="00627C9C" w:rsidP="00627C9C">
      <w:pPr>
        <w:pStyle w:val="ListBullet2"/>
      </w:pPr>
      <w:r w:rsidRPr="00627C9C">
        <w:t>production notes</w:t>
      </w:r>
    </w:p>
    <w:p w:rsidR="00000000" w:rsidRPr="00627C9C" w:rsidP="00627C9C">
      <w:pPr>
        <w:pStyle w:val="ListBullet2"/>
      </w:pPr>
      <w:r w:rsidRPr="00627C9C">
        <w:t>electronic methods</w:t>
      </w:r>
    </w:p>
    <w:p w:rsidR="00000000" w:rsidRPr="00627C9C" w:rsidP="00627C9C">
      <w:pPr>
        <w:pStyle w:val="ListBullet"/>
      </w:pPr>
      <w:r w:rsidRPr="00627C9C">
        <w:t xml:space="preserve">enterprise requirements </w:t>
      </w:r>
    </w:p>
    <w:p w:rsidR="00000000" w:rsidRPr="00627C9C" w:rsidP="00627C9C">
      <w:pPr>
        <w:pStyle w:val="ListBullet"/>
      </w:pPr>
      <w:r w:rsidRPr="00627C9C">
        <w:t>traditional and non-traditional materials quality concepts</w:t>
      </w:r>
    </w:p>
    <w:p w:rsidR="00000000" w:rsidRPr="00627C9C" w:rsidP="00627C9C">
      <w:pPr>
        <w:pStyle w:val="ListBullet"/>
      </w:pPr>
      <w:r w:rsidRPr="00627C9C">
        <w:t>quality criteria:</w:t>
      </w:r>
    </w:p>
    <w:p w:rsidR="00000000" w:rsidRPr="00627C9C" w:rsidP="00627C9C">
      <w:pPr>
        <w:pStyle w:val="ListBullet2"/>
      </w:pPr>
      <w:r w:rsidRPr="00627C9C">
        <w:t>proportion</w:t>
      </w:r>
    </w:p>
    <w:p w:rsidR="00000000" w:rsidRPr="00627C9C" w:rsidP="00627C9C">
      <w:pPr>
        <w:pStyle w:val="ListBullet2"/>
      </w:pPr>
      <w:r w:rsidRPr="00627C9C">
        <w:t>perspective</w:t>
      </w:r>
    </w:p>
    <w:p w:rsidR="00000000" w:rsidRPr="00627C9C" w:rsidP="00627C9C">
      <w:pPr>
        <w:pStyle w:val="ListBullet2"/>
      </w:pPr>
      <w:r w:rsidRPr="00627C9C">
        <w:t>detailing</w:t>
      </w:r>
    </w:p>
    <w:p w:rsidR="00000000" w:rsidRPr="00627C9C" w:rsidP="00627C9C">
      <w:pPr>
        <w:pStyle w:val="ListBullet2"/>
      </w:pPr>
      <w:r w:rsidRPr="00627C9C">
        <w:t>neatness</w:t>
      </w:r>
    </w:p>
    <w:p w:rsidR="00000000" w:rsidRPr="00627C9C" w:rsidP="00627C9C">
      <w:pPr>
        <w:pStyle w:val="ListBullet2"/>
      </w:pPr>
      <w:r w:rsidRPr="00627C9C">
        <w:t>accuracy</w:t>
      </w:r>
    </w:p>
    <w:p w:rsidR="00000000" w:rsidRPr="00627C9C" w:rsidP="00627C9C">
      <w:pPr>
        <w:pStyle w:val="ListBullet2"/>
      </w:pPr>
      <w:r w:rsidRPr="00627C9C">
        <w:t>the media to be used</w:t>
      </w:r>
    </w:p>
    <w:p w:rsidR="00000000" w:rsidRPr="00627C9C" w:rsidP="00627C9C">
      <w:pPr>
        <w:pStyle w:val="ListBullet2"/>
      </w:pPr>
      <w:r w:rsidRPr="00627C9C">
        <w:t>rendering</w:t>
      </w:r>
    </w:p>
    <w:p w:rsidR="00000000" w:rsidRPr="00627C9C" w:rsidP="00627C9C">
      <w:pPr>
        <w:pStyle w:val="ListBullet2"/>
      </w:pPr>
      <w:r w:rsidRPr="00627C9C">
        <w:t>size of the drawing</w:t>
      </w:r>
    </w:p>
    <w:p w:rsidR="00000000" w:rsidRPr="00627C9C" w:rsidP="00627C9C">
      <w:pPr>
        <w:pStyle w:val="ListBullet"/>
      </w:pPr>
      <w:r w:rsidRPr="00627C9C">
        <w:t>workplace procedures</w:t>
      </w:r>
    </w:p>
    <w:p w:rsidR="00000000" w:rsidRPr="00627C9C" w:rsidP="00627C9C">
      <w:pPr>
        <w:pStyle w:val="ListBullet"/>
      </w:pPr>
      <w:r w:rsidRPr="00627C9C">
        <w:t>recording and reporting practices.</w:t>
      </w:r>
    </w:p>
    <w:p w:rsidR="00000000" w:rsidRPr="00627C9C" w:rsidP="00627C9C">
      <w:pPr>
        <w:pStyle w:val="AllowPageBreak"/>
      </w:pPr>
    </w:p>
    <w:p w:rsidR="00000000" w:rsidRPr="00627C9C" w:rsidP="00627C9C">
      <w:pPr>
        <w:pStyle w:val="Heading1"/>
      </w:pPr>
      <w:bookmarkStart w:id="14" w:name="O_931436"/>
      <w:bookmarkEnd w:id="14"/>
      <w:r w:rsidRPr="00627C9C">
        <w:t>Assessment Conditions</w:t>
      </w:r>
    </w:p>
    <w:p w:rsidR="00000000" w:rsidRPr="00627C9C" w:rsidP="00627C9C">
      <w:pPr>
        <w:pStyle w:val="ListBullet"/>
      </w:pPr>
      <w:r w:rsidRPr="00627C9C">
        <w:t>Assessors must:</w:t>
      </w:r>
    </w:p>
    <w:p w:rsidR="00000000" w:rsidRPr="00627C9C" w:rsidP="00627C9C">
      <w:pPr>
        <w:pStyle w:val="ListBullet2"/>
      </w:pPr>
      <w:r w:rsidRPr="00627C9C">
        <w:t xml:space="preserve">satisfy the assessor competency requirements that are in place at the time of the assessment, as set by the VET </w:t>
      </w:r>
      <w:r w:rsidRPr="00627C9C">
        <w:t>regulator</w:t>
      </w:r>
    </w:p>
    <w:p w:rsidR="00000000" w:rsidRPr="00627C9C" w:rsidP="00627C9C">
      <w:pPr>
        <w:pStyle w:val="ListBullet2"/>
      </w:pPr>
      <w:r w:rsidRPr="00627C9C">
        <w:t>have vocational competency in drawing 3-D designs, at least to the level being assessed, with relevant industry knowledge and experience.</w:t>
      </w:r>
    </w:p>
    <w:p w:rsidR="00000000" w:rsidRPr="00627C9C" w:rsidP="00627C9C">
      <w:pPr>
        <w:pStyle w:val="ListBullet"/>
      </w:pPr>
      <w:r w:rsidRPr="00627C9C">
        <w:t xml:space="preserve">Assessment should occur in operational workplace situations. Where this is not possible, or where personal </w:t>
      </w:r>
      <w:r w:rsidRPr="00627C9C">
        <w:t xml:space="preserve">safety or environmental damage are limiting factors, assessment must occur in a sufficiently rigorous simulated environment reflecting realistic operational workplace conditions. This must cover all aspects of workplace performance, including environment, </w:t>
      </w:r>
      <w:r w:rsidRPr="00627C9C">
        <w:t>task skills, task management skills, contingency management skills and job role environment skills.</w:t>
      </w:r>
    </w:p>
    <w:p w:rsidR="00000000" w:rsidRPr="00627C9C" w:rsidP="00627C9C">
      <w:pPr>
        <w:pStyle w:val="ListBullet"/>
      </w:pPr>
      <w:r w:rsidRPr="00627C9C">
        <w:t>Assessment processes and techniques must be appropriate to the language, literacy and numeracy requirements of the work being performed and the needs of the</w:t>
      </w:r>
      <w:r w:rsidRPr="00627C9C">
        <w:t xml:space="preserve"> candidate.</w:t>
      </w:r>
    </w:p>
    <w:p w:rsidR="00000000" w:rsidRPr="00627C9C" w:rsidP="00627C9C">
      <w:pPr>
        <w:pStyle w:val="ListBullet"/>
      </w:pPr>
      <w:r w:rsidRPr="00627C9C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627C9C" w:rsidP="00627C9C">
      <w:pPr>
        <w:pStyle w:val="ListBullet"/>
      </w:pPr>
      <w:r w:rsidRPr="00627C9C">
        <w:t xml:space="preserve">The unit is applicable to </w:t>
      </w:r>
      <w:r w:rsidRPr="00627C9C">
        <w:t>all TCF sectors and assessment must ensure it is delivered to suit the industry it is being applied to.</w:t>
      </w:r>
    </w:p>
    <w:p w:rsidR="00000000" w:rsidRPr="00627C9C" w:rsidP="00627C9C">
      <w:pPr>
        <w:pStyle w:val="AllowPageBreak"/>
      </w:pPr>
    </w:p>
    <w:p w:rsidR="00000000" w:rsidRPr="00627C9C" w:rsidP="00627C9C">
      <w:pPr>
        <w:pStyle w:val="Heading1"/>
      </w:pPr>
      <w:bookmarkStart w:id="15" w:name="O_931434"/>
      <w:bookmarkEnd w:id="15"/>
      <w:r w:rsidRPr="00627C9C">
        <w:t>Links</w:t>
      </w:r>
    </w:p>
    <w:p w:rsidR="00000000" w:rsidRPr="00627C9C" w:rsidP="0037414A">
      <w:pPr>
        <w:pStyle w:val="BodyText"/>
      </w:pPr>
      <w:r w:rsidRPr="00627C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9E2B7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27C9C" w:rsidP="00627C9C"/>
    <w:sectPr w:rsidSect="00627C9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C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C9C" w:rsidRPr="0037414A" w:rsidP="003741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C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14A" w:rsidP="00627C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7414A" w:rsidP="00627C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7414A" w:rsidP="00627C9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C9C" w:rsidP="00627C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7414A">
      <w:t>Approved</w:t>
    </w:r>
    <w:r w:rsidR="0037414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7414A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7414A">
      <w:rPr>
        <w:noProof/>
      </w:rPr>
      <w:t>6</w:t>
    </w:r>
    <w:r>
      <w:rPr>
        <w:noProof/>
      </w:rPr>
      <w:fldChar w:fldCharType="end"/>
    </w:r>
  </w:p>
  <w:p w:rsidR="00627C9C" w:rsidP="00627C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7414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7414A">
      <w:t>Skills Insight</w:t>
    </w:r>
    <w:r w:rsidR="0037414A">
      <w:fldChar w:fldCharType="end"/>
    </w:r>
  </w:p>
  <w:p w:rsidR="00627C9C" w:rsidP="00627C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C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1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7C9C" w:rsidRPr="0037414A" w:rsidP="003741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C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14A" w:rsidRPr="002D2AF8" w:rsidP="00627C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MSTGN3006 Draw 3-D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7414A" w:rsidP="00627C9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C9C" w:rsidRPr="002D2AF8" w:rsidP="00627C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7414A">
      <w:t>MSTGN3006 Draw 3-D designs</w:t>
    </w:r>
    <w:r w:rsidR="0037414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7414A">
      <w:rPr>
        <w:noProof/>
      </w:rPr>
      <w:t>1 March 2025</w:t>
    </w:r>
    <w:r>
      <w:fldChar w:fldCharType="end"/>
    </w:r>
  </w:p>
  <w:p w:rsidR="00627C9C" w:rsidP="00627C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1C58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6EAB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3026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C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7C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7C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7C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7C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7C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7C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7C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7C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7C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7C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7C9C"/>
  </w:style>
  <w:style w:type="character" w:customStyle="1" w:styleId="Heading1Char">
    <w:name w:val="Heading 1 Char"/>
    <w:basedOn w:val="DefaultParagraphFont"/>
    <w:link w:val="Heading1"/>
    <w:rsid w:val="00627C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7C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7C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7C9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7C9C"/>
    <w:rPr>
      <w:b/>
      <w:spacing w:val="0"/>
    </w:rPr>
  </w:style>
  <w:style w:type="paragraph" w:styleId="ListBullet2">
    <w:name w:val="List Bullet 2"/>
    <w:basedOn w:val="List2"/>
    <w:rsid w:val="00627C9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7C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7C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7C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7C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7C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7C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7C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7C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7C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7C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7C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7C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7C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7C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7C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7C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7C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7C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7C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7C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7C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7C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7C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7C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7C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7C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7C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7C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7C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7C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7C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7C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7C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7C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7C9C"/>
    <w:rPr>
      <w:i/>
    </w:rPr>
  </w:style>
  <w:style w:type="paragraph" w:styleId="Caption">
    <w:name w:val="caption"/>
    <w:basedOn w:val="BodyText"/>
    <w:next w:val="Normal"/>
    <w:qFormat/>
    <w:rsid w:val="00627C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7C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7C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7C9C"/>
  </w:style>
  <w:style w:type="paragraph" w:styleId="TableofFigures">
    <w:name w:val="table of figures"/>
    <w:basedOn w:val="Normal"/>
    <w:next w:val="Normal"/>
    <w:semiHidden/>
    <w:rsid w:val="00627C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7C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7C9C"/>
    <w:rPr>
      <w:rFonts w:ascii="Wingdings" w:hAnsi="Wingdings"/>
    </w:rPr>
  </w:style>
  <w:style w:type="paragraph" w:customStyle="1" w:styleId="TableHeading">
    <w:name w:val="Table Heading"/>
    <w:basedOn w:val="HeadingBase"/>
    <w:rsid w:val="00627C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7C9C"/>
    <w:rPr>
      <w:color w:val="0033CC"/>
      <w:u w:val="none"/>
    </w:rPr>
  </w:style>
  <w:style w:type="paragraph" w:customStyle="1" w:styleId="BodyTextRight">
    <w:name w:val="Body Text Right"/>
    <w:basedOn w:val="BodyText"/>
    <w:rsid w:val="00627C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7C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7C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7C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7C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7C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7C9C"/>
    <w:rPr>
      <w:sz w:val="32"/>
    </w:rPr>
  </w:style>
  <w:style w:type="paragraph" w:customStyle="1" w:styleId="HeadingProcedure">
    <w:name w:val="Heading Procedure"/>
    <w:basedOn w:val="HeadingBase"/>
    <w:next w:val="Normal"/>
    <w:rsid w:val="00627C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7C9C"/>
    <w:pPr>
      <w:spacing w:before="60" w:after="60"/>
    </w:pPr>
  </w:style>
  <w:style w:type="paragraph" w:styleId="ListContinue">
    <w:name w:val="List Continue"/>
    <w:basedOn w:val="List"/>
    <w:rsid w:val="00627C9C"/>
    <w:pPr>
      <w:ind w:firstLine="0"/>
    </w:pPr>
  </w:style>
  <w:style w:type="paragraph" w:customStyle="1" w:styleId="ListNote">
    <w:name w:val="List Note"/>
    <w:basedOn w:val="List"/>
    <w:rsid w:val="00627C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7C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7C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7C9C"/>
    <w:rPr>
      <w:rFonts w:ascii="Courier New" w:hAnsi="Courier New"/>
    </w:rPr>
  </w:style>
  <w:style w:type="paragraph" w:customStyle="1" w:styleId="NoteBullet">
    <w:name w:val="Note Bullet"/>
    <w:basedOn w:val="Note"/>
    <w:rsid w:val="00627C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7C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7C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7C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7C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7C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7C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7C9C"/>
    <w:rPr>
      <w:b/>
      <w:smallCaps/>
    </w:rPr>
  </w:style>
  <w:style w:type="paragraph" w:customStyle="1" w:styleId="TableListNumber">
    <w:name w:val="Table List Number"/>
    <w:basedOn w:val="ListNumber"/>
    <w:rsid w:val="00627C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7C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7C9C"/>
    <w:pPr>
      <w:numPr>
        <w:numId w:val="9"/>
      </w:numPr>
    </w:pPr>
  </w:style>
  <w:style w:type="paragraph" w:customStyle="1" w:styleId="ListAlpha2">
    <w:name w:val="List Alpha 2"/>
    <w:basedOn w:val="List2"/>
    <w:rsid w:val="00627C9C"/>
    <w:pPr>
      <w:numPr>
        <w:numId w:val="8"/>
      </w:numPr>
    </w:pPr>
  </w:style>
  <w:style w:type="paragraph" w:styleId="List2">
    <w:name w:val="List 2"/>
    <w:basedOn w:val="BodyText"/>
    <w:rsid w:val="00627C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7C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7C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7C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7C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7C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7C9C"/>
    <w:pPr>
      <w:numPr>
        <w:numId w:val="4"/>
      </w:numPr>
    </w:pPr>
  </w:style>
  <w:style w:type="paragraph" w:styleId="ListContinue2">
    <w:name w:val="List Continue 2"/>
    <w:basedOn w:val="List2"/>
    <w:rsid w:val="00627C9C"/>
    <w:pPr>
      <w:ind w:firstLine="0"/>
    </w:pPr>
  </w:style>
  <w:style w:type="paragraph" w:styleId="ListContinue3">
    <w:name w:val="List Continue 3"/>
    <w:basedOn w:val="List3"/>
    <w:rsid w:val="00627C9C"/>
    <w:pPr>
      <w:ind w:left="1021" w:firstLine="0"/>
    </w:pPr>
  </w:style>
  <w:style w:type="paragraph" w:styleId="ListContinue4">
    <w:name w:val="List Continue 4"/>
    <w:basedOn w:val="List4"/>
    <w:rsid w:val="00627C9C"/>
    <w:pPr>
      <w:ind w:firstLine="0"/>
    </w:pPr>
  </w:style>
  <w:style w:type="paragraph" w:styleId="ListContinue5">
    <w:name w:val="List Continue 5"/>
    <w:basedOn w:val="List5"/>
    <w:rsid w:val="00627C9C"/>
    <w:pPr>
      <w:ind w:firstLine="0"/>
    </w:pPr>
  </w:style>
  <w:style w:type="paragraph" w:styleId="ListNumber3">
    <w:name w:val="List Number 3"/>
    <w:basedOn w:val="List3"/>
    <w:rsid w:val="00627C9C"/>
    <w:pPr>
      <w:numPr>
        <w:numId w:val="5"/>
      </w:numPr>
    </w:pPr>
  </w:style>
  <w:style w:type="paragraph" w:styleId="ListNumber4">
    <w:name w:val="List Number 4"/>
    <w:basedOn w:val="List4"/>
    <w:rsid w:val="00627C9C"/>
    <w:pPr>
      <w:numPr>
        <w:numId w:val="6"/>
      </w:numPr>
    </w:pPr>
  </w:style>
  <w:style w:type="paragraph" w:styleId="ListNumber5">
    <w:name w:val="List Number 5"/>
    <w:basedOn w:val="List5"/>
    <w:rsid w:val="00627C9C"/>
    <w:pPr>
      <w:numPr>
        <w:numId w:val="7"/>
      </w:numPr>
    </w:pPr>
  </w:style>
  <w:style w:type="paragraph" w:styleId="BlockText">
    <w:name w:val="Block Text"/>
    <w:basedOn w:val="Normal"/>
    <w:rsid w:val="00627C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7C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7C9C"/>
    <w:rPr>
      <w:sz w:val="16"/>
      <w:vertAlign w:val="superscript"/>
    </w:rPr>
  </w:style>
  <w:style w:type="character" w:customStyle="1" w:styleId="Symbols">
    <w:name w:val="Symbols"/>
    <w:basedOn w:val="DefaultParagraphFont"/>
    <w:rsid w:val="00627C9C"/>
    <w:rPr>
      <w:rFonts w:ascii="Symbol" w:hAnsi="Symbol"/>
    </w:rPr>
  </w:style>
  <w:style w:type="character" w:customStyle="1" w:styleId="MenuOptions">
    <w:name w:val="Menu Options"/>
    <w:basedOn w:val="DefaultParagraphFont"/>
    <w:rsid w:val="00627C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7C9C"/>
    <w:rPr>
      <w:b/>
    </w:rPr>
  </w:style>
  <w:style w:type="character" w:customStyle="1" w:styleId="Underlined">
    <w:name w:val="Underlined"/>
    <w:basedOn w:val="DefaultParagraphFont"/>
    <w:rsid w:val="00627C9C"/>
    <w:rPr>
      <w:u w:val="single"/>
    </w:rPr>
  </w:style>
  <w:style w:type="paragraph" w:customStyle="1" w:styleId="TableBodyTextRight">
    <w:name w:val="Table Body Text Right"/>
    <w:basedOn w:val="TableBodyText"/>
    <w:rsid w:val="00627C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7C9C"/>
    <w:rPr>
      <w:sz w:val="18"/>
    </w:rPr>
  </w:style>
  <w:style w:type="paragraph" w:customStyle="1" w:styleId="BodySmallRight">
    <w:name w:val="Body Small Right"/>
    <w:basedOn w:val="BodyTextRight"/>
    <w:rsid w:val="00627C9C"/>
    <w:rPr>
      <w:sz w:val="18"/>
      <w:szCs w:val="18"/>
    </w:rPr>
  </w:style>
  <w:style w:type="paragraph" w:customStyle="1" w:styleId="MarginEdition">
    <w:name w:val="Margin Edition"/>
    <w:basedOn w:val="MarginNote"/>
    <w:rsid w:val="00627C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7C9C"/>
    <w:rPr>
      <w:sz w:val="2"/>
      <w:szCs w:val="2"/>
    </w:rPr>
  </w:style>
  <w:style w:type="character" w:customStyle="1" w:styleId="Small">
    <w:name w:val="Small"/>
    <w:basedOn w:val="DefaultParagraphFont"/>
    <w:rsid w:val="00627C9C"/>
    <w:rPr>
      <w:sz w:val="16"/>
    </w:rPr>
  </w:style>
  <w:style w:type="paragraph" w:customStyle="1" w:styleId="WideTable">
    <w:name w:val="Wide Table"/>
    <w:basedOn w:val="Normal"/>
    <w:rsid w:val="00627C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7C9C"/>
  </w:style>
  <w:style w:type="paragraph" w:styleId="Quote">
    <w:name w:val="Quote"/>
    <w:basedOn w:val="Heading1"/>
    <w:link w:val="QuoteChar"/>
    <w:qFormat/>
    <w:rsid w:val="00627C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7C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7C9C"/>
    <w:pPr>
      <w:pageBreakBefore/>
    </w:pPr>
  </w:style>
  <w:style w:type="paragraph" w:customStyle="1" w:styleId="Border">
    <w:name w:val="Border"/>
    <w:basedOn w:val="Normal"/>
    <w:qFormat/>
    <w:rsid w:val="00627C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7C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C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C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7C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7C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7C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7C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7C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7C9C"/>
    <w:rPr>
      <w:u w:val="single"/>
    </w:rPr>
  </w:style>
  <w:style w:type="character" w:customStyle="1" w:styleId="BoldandItalics">
    <w:name w:val="Bold and Italics"/>
    <w:qFormat/>
    <w:rsid w:val="00627C9C"/>
    <w:rPr>
      <w:b/>
      <w:i/>
      <w:u w:val="none"/>
    </w:rPr>
  </w:style>
  <w:style w:type="paragraph" w:styleId="BalloonText">
    <w:name w:val="Balloon Text"/>
    <w:basedOn w:val="Normal"/>
    <w:link w:val="BalloonTextChar"/>
    <w:rsid w:val="00627C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7C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7C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7C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7C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7C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7C9C"/>
    <w:pPr>
      <w:spacing w:before="0" w:after="0"/>
    </w:pPr>
  </w:style>
  <w:style w:type="paragraph" w:customStyle="1" w:styleId="BodyTextBold">
    <w:name w:val="Body Text Bold"/>
    <w:basedOn w:val="BodyText"/>
    <w:qFormat/>
    <w:rsid w:val="00627C9C"/>
    <w:rPr>
      <w:b/>
    </w:rPr>
  </w:style>
  <w:style w:type="character" w:styleId="Hyperlink">
    <w:name w:val="Hyperlink"/>
    <w:basedOn w:val="DefaultParagraphFont"/>
    <w:uiPriority w:val="99"/>
    <w:unhideWhenUsed/>
    <w:rsid w:val="003741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1232</Words>
  <Characters>7580</Characters>
  <Application>Microsoft Office Word</Application>
  <DocSecurity>0</DocSecurity>
  <Lines>329</Lines>
  <Paragraphs>220</Paragraphs>
  <ScaleCrop>false</ScaleCrop>
  <Company>Author-it Software Corporation Ltd.</Company>
  <LinksUpToDate>false</LinksUpToDate>
  <CharactersWithSpaces>8592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MSTGN3006 Draw 3-D designs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2025-03-01T09:11:00Z</dcterms:created>
  <dcterms:modified xsi:type="dcterms:W3CDTF">2025-03-01T09:11:00Z</dcterms:modified>
</cp:coreProperties>
</file>