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420" w:rsidP="002B64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MSTGN2018 Work in the TCF industry</w:t>
      </w:r>
      <w:r>
        <w:fldChar w:fldCharType="end"/>
      </w:r>
    </w:p>
    <w:p w:rsidR="002B6420" w:rsidP="002B6420">
      <w:pPr>
        <w:pStyle w:val="Version"/>
        <w:sectPr w:rsidSect="00712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2DB7" w:rsidP="00712DB7">
      <w:pPr>
        <w:pStyle w:val="SuperHeading"/>
      </w:pPr>
      <w:r w:rsidRPr="00712DB7">
        <w:t>Assessment Requirements for MSTGN2018 Work in the TCF industry</w:t>
      </w:r>
    </w:p>
    <w:p w:rsidR="00000000" w:rsidRPr="00712DB7" w:rsidP="00712DB7">
      <w:pPr>
        <w:pStyle w:val="Heading1"/>
      </w:pPr>
      <w:bookmarkStart w:id="1" w:name="O_1064890"/>
      <w:bookmarkEnd w:id="1"/>
      <w:r w:rsidRPr="00712DB7">
        <w:t>Modification History</w:t>
      </w:r>
    </w:p>
    <w:p w:rsidR="00000000" w:rsidRPr="00712DB7" w:rsidP="002B6420">
      <w:pPr>
        <w:pStyle w:val="BodyText"/>
      </w:pPr>
      <w:r w:rsidRPr="00712DB7">
        <w:t xml:space="preserve">Release 1. Supersedes </w:t>
      </w:r>
      <w:r w:rsidRPr="00712DB7">
        <w:rPr>
          <w:rStyle w:val="SpecialBold"/>
        </w:rPr>
        <w:t xml:space="preserve">and is equivalent to </w:t>
      </w:r>
      <w:r w:rsidRPr="00712DB7">
        <w:t>MSTGN2003 Work in the TCF industry</w:t>
      </w:r>
      <w:r w:rsidRPr="00712DB7">
        <w:rPr>
          <w:rStyle w:val="SpecialBold"/>
        </w:rPr>
        <w:t>.</w:t>
      </w:r>
    </w:p>
    <w:p w:rsidR="00000000" w:rsidRPr="00712DB7" w:rsidP="00712DB7">
      <w:pPr>
        <w:pStyle w:val="Heading1"/>
      </w:pPr>
      <w:bookmarkStart w:id="2" w:name="O_1064891"/>
      <w:bookmarkEnd w:id="2"/>
      <w:r w:rsidRPr="00712DB7">
        <w:t>Performance Evidence</w:t>
      </w:r>
    </w:p>
    <w:p w:rsidR="00000000" w:rsidRPr="00712DB7" w:rsidP="002B6420">
      <w:pPr>
        <w:pStyle w:val="BodyText"/>
      </w:pPr>
      <w:r w:rsidRPr="00712DB7">
        <w:t>There must be evidence the candidate has completed the tasks outlined in the elements and performance criteria of this unit, and:</w:t>
      </w:r>
    </w:p>
    <w:p w:rsidR="00000000" w:rsidRPr="00712DB7" w:rsidP="00712DB7">
      <w:pPr>
        <w:pStyle w:val="ListBullet"/>
      </w:pPr>
      <w:r w:rsidRPr="00712DB7">
        <w:t>recognised key industry sectors and industry bodies</w:t>
      </w:r>
    </w:p>
    <w:p w:rsidR="00000000" w:rsidRPr="00712DB7" w:rsidP="00712DB7">
      <w:pPr>
        <w:pStyle w:val="ListBullet"/>
      </w:pPr>
      <w:r w:rsidRPr="00712DB7">
        <w:t>identified the following for 1 TCF sector:</w:t>
      </w:r>
    </w:p>
    <w:p w:rsidR="00000000" w:rsidRPr="00712DB7" w:rsidP="00712DB7">
      <w:pPr>
        <w:pStyle w:val="ListBullet3"/>
      </w:pPr>
      <w:r w:rsidRPr="00712DB7">
        <w:t>relevant standards, legislati</w:t>
      </w:r>
      <w:r w:rsidRPr="00712DB7">
        <w:t xml:space="preserve">on and guidelines common to employment </w:t>
      </w:r>
    </w:p>
    <w:p w:rsidR="00000000" w:rsidRPr="00712DB7" w:rsidP="00712DB7">
      <w:pPr>
        <w:pStyle w:val="ListBullet3"/>
      </w:pPr>
      <w:r w:rsidRPr="00712DB7">
        <w:t xml:space="preserve">production processes and supply chains </w:t>
      </w:r>
    </w:p>
    <w:p w:rsidR="00000000" w:rsidRPr="00712DB7" w:rsidP="00712DB7">
      <w:pPr>
        <w:pStyle w:val="ListBullet"/>
      </w:pPr>
      <w:r w:rsidRPr="00712DB7">
        <w:t>recognised own skills and skills limitations, and identified opportunities for further skill development</w:t>
      </w:r>
    </w:p>
    <w:p w:rsidR="00000000" w:rsidRPr="00712DB7" w:rsidP="00712DB7">
      <w:pPr>
        <w:pStyle w:val="ListBullet"/>
      </w:pPr>
      <w:r w:rsidRPr="00712DB7">
        <w:t>distinguished key roles, process and personnel in 1 identified workpla</w:t>
      </w:r>
      <w:r w:rsidRPr="00712DB7">
        <w:t>ce.</w:t>
      </w:r>
    </w:p>
    <w:p w:rsidR="00000000" w:rsidRPr="00712DB7" w:rsidP="00712DB7">
      <w:pPr>
        <w:pStyle w:val="AllowPageBreak"/>
      </w:pPr>
    </w:p>
    <w:p w:rsidR="00000000" w:rsidRPr="00712DB7" w:rsidP="00712DB7">
      <w:pPr>
        <w:pStyle w:val="Heading1"/>
      </w:pPr>
      <w:bookmarkStart w:id="3" w:name="O_1064892"/>
      <w:bookmarkEnd w:id="3"/>
      <w:r w:rsidRPr="00712DB7">
        <w:t>Knowledge Evidence</w:t>
      </w:r>
    </w:p>
    <w:p w:rsidR="00000000" w:rsidRPr="00712DB7" w:rsidP="002B6420">
      <w:pPr>
        <w:pStyle w:val="BodyText"/>
      </w:pPr>
      <w:r w:rsidRPr="00712DB7">
        <w:t>There must be evidence the candidate has knowledge of:</w:t>
      </w:r>
    </w:p>
    <w:p w:rsidR="00000000" w:rsidRPr="00712DB7" w:rsidP="00712DB7">
      <w:pPr>
        <w:pStyle w:val="ListBullet"/>
      </w:pPr>
      <w:r w:rsidRPr="00712DB7">
        <w:t>basic aspects of applicable legislation, guidelines and workplace practices for the relevant sector and how they impact individual workers:</w:t>
      </w:r>
    </w:p>
    <w:p w:rsidR="00000000" w:rsidRPr="00712DB7" w:rsidP="00712DB7">
      <w:pPr>
        <w:pStyle w:val="ListBullet3"/>
      </w:pPr>
      <w:r w:rsidRPr="00712DB7">
        <w:t>work health and safety</w:t>
      </w:r>
    </w:p>
    <w:p w:rsidR="00000000" w:rsidRPr="00712DB7" w:rsidP="00712DB7">
      <w:pPr>
        <w:pStyle w:val="ListBullet3"/>
      </w:pPr>
      <w:r w:rsidRPr="00712DB7">
        <w:t>anti-discrimination</w:t>
      </w:r>
    </w:p>
    <w:p w:rsidR="00000000" w:rsidRPr="00712DB7" w:rsidP="00712DB7">
      <w:pPr>
        <w:pStyle w:val="ListBullet3"/>
      </w:pPr>
      <w:r w:rsidRPr="00712DB7">
        <w:t>equal employment opportunities (EEO)</w:t>
      </w:r>
    </w:p>
    <w:p w:rsidR="00000000" w:rsidRPr="00712DB7" w:rsidP="00712DB7">
      <w:pPr>
        <w:pStyle w:val="ListBullet3"/>
      </w:pPr>
      <w:r w:rsidRPr="00712DB7">
        <w:t>workplace diversity</w:t>
      </w:r>
    </w:p>
    <w:p w:rsidR="00000000" w:rsidRPr="00712DB7" w:rsidP="00712DB7">
      <w:pPr>
        <w:pStyle w:val="ListBullet3"/>
      </w:pPr>
      <w:r w:rsidRPr="00712DB7">
        <w:t>freedom of information</w:t>
      </w:r>
    </w:p>
    <w:p w:rsidR="00000000" w:rsidRPr="00712DB7" w:rsidP="00712DB7">
      <w:pPr>
        <w:pStyle w:val="ListBullet3"/>
      </w:pPr>
      <w:r w:rsidRPr="00712DB7">
        <w:t>environmental guidelines</w:t>
      </w:r>
    </w:p>
    <w:p w:rsidR="00000000" w:rsidRPr="00712DB7" w:rsidP="00712DB7">
      <w:pPr>
        <w:pStyle w:val="ListBullet3"/>
      </w:pPr>
      <w:r w:rsidRPr="00712DB7">
        <w:t>industrial relations awards</w:t>
      </w:r>
    </w:p>
    <w:p w:rsidR="00000000" w:rsidRPr="00712DB7" w:rsidP="00712DB7">
      <w:pPr>
        <w:pStyle w:val="ListBullet3"/>
      </w:pPr>
      <w:r w:rsidRPr="00712DB7">
        <w:t>Australian Standards</w:t>
      </w:r>
    </w:p>
    <w:p w:rsidR="00000000" w:rsidRPr="00712DB7" w:rsidP="00712DB7">
      <w:pPr>
        <w:pStyle w:val="ListBullet"/>
      </w:pPr>
      <w:r w:rsidRPr="00712DB7">
        <w:t>key industry and workplace processes and representatives:</w:t>
      </w:r>
    </w:p>
    <w:p w:rsidR="00000000" w:rsidRPr="00712DB7" w:rsidP="00712DB7">
      <w:pPr>
        <w:pStyle w:val="ListBullet3"/>
      </w:pPr>
      <w:r w:rsidRPr="00712DB7">
        <w:t>industry associations</w:t>
      </w:r>
    </w:p>
    <w:p w:rsidR="00000000" w:rsidRPr="00712DB7" w:rsidP="00712DB7">
      <w:pPr>
        <w:pStyle w:val="ListBullet3"/>
      </w:pPr>
      <w:r w:rsidRPr="00712DB7">
        <w:t>unions</w:t>
      </w:r>
    </w:p>
    <w:p w:rsidR="00000000" w:rsidRPr="00712DB7" w:rsidP="00712DB7">
      <w:pPr>
        <w:pStyle w:val="ListBullet3"/>
      </w:pPr>
      <w:r w:rsidRPr="00712DB7">
        <w:t>relevant legislative bodies governing work health and environmental protection and anti-discrimination</w:t>
      </w:r>
    </w:p>
    <w:p w:rsidR="00000000" w:rsidRPr="00712DB7" w:rsidP="00712DB7">
      <w:pPr>
        <w:pStyle w:val="ListBullet"/>
      </w:pPr>
      <w:r w:rsidRPr="00712DB7">
        <w:t>industry terminology and acronyms</w:t>
      </w:r>
    </w:p>
    <w:p w:rsidR="00000000" w:rsidRPr="00712DB7" w:rsidP="00712DB7">
      <w:pPr>
        <w:pStyle w:val="ListBullet"/>
      </w:pPr>
      <w:r w:rsidRPr="00712DB7">
        <w:t xml:space="preserve">TCF industry relevant sectors </w:t>
      </w:r>
      <w:r w:rsidRPr="00712DB7">
        <w:t>which relate to, overlap or are part of the supply chain to the workplace</w:t>
      </w:r>
    </w:p>
    <w:p w:rsidR="00000000" w:rsidRPr="00712DB7" w:rsidP="00712DB7">
      <w:pPr>
        <w:pStyle w:val="ListBullet"/>
      </w:pPr>
      <w:r w:rsidRPr="00712DB7">
        <w:t>quality standards and practices:</w:t>
      </w:r>
    </w:p>
    <w:p w:rsidR="00000000" w:rsidRPr="00712DB7" w:rsidP="00712DB7">
      <w:pPr>
        <w:pStyle w:val="ListBullet3"/>
      </w:pPr>
      <w:r w:rsidRPr="00712DB7">
        <w:t>consistency in quality</w:t>
      </w:r>
    </w:p>
    <w:p w:rsidR="00000000" w:rsidRPr="00712DB7" w:rsidP="00712DB7">
      <w:pPr>
        <w:pStyle w:val="ListBullet3"/>
      </w:pPr>
      <w:r w:rsidRPr="00712DB7">
        <w:t>meeting customer requirements</w:t>
      </w:r>
    </w:p>
    <w:p w:rsidR="00000000" w:rsidRPr="00712DB7" w:rsidP="00712DB7">
      <w:pPr>
        <w:pStyle w:val="ListBullet3"/>
      </w:pPr>
      <w:r w:rsidRPr="00712DB7">
        <w:t>producing to specification</w:t>
      </w:r>
    </w:p>
    <w:p w:rsidR="00000000" w:rsidRPr="00712DB7" w:rsidP="00712DB7">
      <w:pPr>
        <w:pStyle w:val="ListBullet3"/>
      </w:pPr>
      <w:r w:rsidRPr="00712DB7">
        <w:t>specified standards of production</w:t>
      </w:r>
    </w:p>
    <w:p w:rsidR="00000000" w:rsidRPr="00712DB7" w:rsidP="00712DB7">
      <w:pPr>
        <w:pStyle w:val="ListBullet3"/>
      </w:pPr>
      <w:r w:rsidRPr="00712DB7">
        <w:t>working within specified time requ</w:t>
      </w:r>
      <w:r w:rsidRPr="00712DB7">
        <w:t>irements</w:t>
      </w:r>
    </w:p>
    <w:p w:rsidR="00000000" w:rsidRPr="00712DB7" w:rsidP="00712DB7">
      <w:pPr>
        <w:pStyle w:val="ListBullet"/>
      </w:pPr>
      <w:r w:rsidRPr="00712DB7">
        <w:t>own job description</w:t>
      </w:r>
    </w:p>
    <w:p w:rsidR="00000000" w:rsidRPr="00712DB7" w:rsidP="00712DB7">
      <w:pPr>
        <w:pStyle w:val="ListBullet"/>
      </w:pPr>
      <w:r w:rsidRPr="00712DB7">
        <w:t>roles and functions of departments/sections/units</w:t>
      </w:r>
    </w:p>
    <w:p w:rsidR="00000000" w:rsidRPr="00712DB7" w:rsidP="00712DB7">
      <w:pPr>
        <w:pStyle w:val="ListBullet"/>
      </w:pPr>
      <w:r w:rsidRPr="00712DB7">
        <w:t>supply chain for relevant sector, including:</w:t>
      </w:r>
    </w:p>
    <w:p w:rsidR="00000000" w:rsidRPr="00712DB7" w:rsidP="00712DB7">
      <w:pPr>
        <w:pStyle w:val="ListBullet3"/>
      </w:pPr>
      <w:r w:rsidRPr="00712DB7">
        <w:t>customers and suppliers</w:t>
      </w:r>
    </w:p>
    <w:p w:rsidR="00000000" w:rsidRPr="00712DB7" w:rsidP="00712DB7">
      <w:pPr>
        <w:pStyle w:val="ListBullet3"/>
      </w:pPr>
      <w:r w:rsidRPr="00712DB7">
        <w:t>product flow from raw materials to production, distribution, marketing and sale</w:t>
      </w:r>
    </w:p>
    <w:p w:rsidR="00000000" w:rsidRPr="00712DB7" w:rsidP="00712DB7">
      <w:pPr>
        <w:pStyle w:val="ListBullet"/>
      </w:pPr>
      <w:r w:rsidRPr="00712DB7">
        <w:t>work health and safety pr</w:t>
      </w:r>
      <w:r w:rsidRPr="00712DB7">
        <w:t>actices, including hazard identification and control measures</w:t>
      </w:r>
    </w:p>
    <w:p w:rsidR="00000000" w:rsidRPr="00712DB7" w:rsidP="00712DB7">
      <w:pPr>
        <w:pStyle w:val="ListBullet"/>
      </w:pPr>
      <w:r w:rsidRPr="00712DB7">
        <w:t>workplace recording and reporting practices.</w:t>
      </w:r>
    </w:p>
    <w:p w:rsidR="00000000" w:rsidRPr="00712DB7" w:rsidP="00712DB7">
      <w:pPr>
        <w:pStyle w:val="AllowPageBreak"/>
      </w:pPr>
    </w:p>
    <w:p w:rsidR="00000000" w:rsidRPr="00712DB7" w:rsidP="00712DB7">
      <w:pPr>
        <w:pStyle w:val="Heading1"/>
      </w:pPr>
      <w:bookmarkStart w:id="4" w:name="O_1064893"/>
      <w:bookmarkEnd w:id="4"/>
      <w:r w:rsidRPr="00712DB7">
        <w:t>Assessment Conditions</w:t>
      </w:r>
    </w:p>
    <w:p w:rsidR="00000000" w:rsidRPr="00712DB7" w:rsidP="002B6420">
      <w:pPr>
        <w:pStyle w:val="BodyText"/>
      </w:pPr>
      <w:r w:rsidRPr="00712DB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12DB7" w:rsidP="00712DB7">
      <w:pPr>
        <w:pStyle w:val="ListBullet2"/>
      </w:pPr>
      <w:r w:rsidRPr="00712DB7">
        <w:t>use of suitable facilities, equipment and resources, including:</w:t>
      </w:r>
    </w:p>
    <w:p w:rsidR="00000000" w:rsidRPr="00712DB7" w:rsidP="00712DB7">
      <w:pPr>
        <w:pStyle w:val="ListBullet3"/>
      </w:pPr>
      <w:r w:rsidRPr="00712DB7">
        <w:t>a</w:t>
      </w:r>
      <w:r w:rsidRPr="00712DB7">
        <w:t xml:space="preserve"> TCF production or processing environment set up with access to applicable legislation, guidelines and relevant workplace policies and procedures.</w:t>
      </w:r>
    </w:p>
    <w:p w:rsidR="00000000" w:rsidRPr="00712DB7" w:rsidP="00712DB7">
      <w:pPr>
        <w:pStyle w:val="BodyText"/>
      </w:pPr>
    </w:p>
    <w:p w:rsidR="00000000" w:rsidRPr="00712DB7" w:rsidP="002B6420">
      <w:pPr>
        <w:pStyle w:val="BodyText"/>
      </w:pPr>
      <w:r w:rsidRPr="00712DB7">
        <w:t>Assessors must satisfy the NVR/AQTF mandatory competency requirements for assessors.</w:t>
      </w:r>
    </w:p>
    <w:p w:rsidR="00000000" w:rsidRPr="00712DB7" w:rsidP="00712DB7">
      <w:pPr>
        <w:pStyle w:val="Heading1"/>
      </w:pPr>
      <w:bookmarkStart w:id="5" w:name="O_1064896"/>
      <w:bookmarkEnd w:id="5"/>
      <w:r w:rsidRPr="00712DB7">
        <w:t>Links</w:t>
      </w:r>
    </w:p>
    <w:p w:rsidR="00000000" w:rsidRPr="00712DB7" w:rsidP="002B6420">
      <w:pPr>
        <w:pStyle w:val="BodyText"/>
      </w:pPr>
      <w:r w:rsidRPr="00712D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7516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12DB7" w:rsidP="00712DB7"/>
    <w:sectPr w:rsidSect="00712D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DB7" w:rsidRPr="002B6420" w:rsidP="002B64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20" w:rsidP="00712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6420" w:rsidP="00712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B6420" w:rsidP="00712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DB7" w:rsidRPr="002B6420" w:rsidP="002B64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20" w:rsidRPr="002D2AF8" w:rsidP="00712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MSTGN2018 Work in the TCF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B6420" w:rsidP="00712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6AB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382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86EF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DB7"/>
  </w:style>
  <w:style w:type="character" w:customStyle="1" w:styleId="Heading1Char">
    <w:name w:val="Heading 1 Char"/>
    <w:basedOn w:val="DefaultParagraphFont"/>
    <w:link w:val="Heading1"/>
    <w:rsid w:val="00712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2D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2DB7"/>
    <w:rPr>
      <w:b/>
      <w:spacing w:val="0"/>
    </w:rPr>
  </w:style>
  <w:style w:type="paragraph" w:styleId="ListBullet2">
    <w:name w:val="List Bullet 2"/>
    <w:basedOn w:val="List2"/>
    <w:rsid w:val="00712D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2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2D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2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2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2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2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D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2DB7"/>
    <w:rPr>
      <w:i/>
    </w:rPr>
  </w:style>
  <w:style w:type="paragraph" w:styleId="Caption">
    <w:name w:val="caption"/>
    <w:basedOn w:val="BodyText"/>
    <w:next w:val="Normal"/>
    <w:qFormat/>
    <w:rsid w:val="00712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DB7"/>
  </w:style>
  <w:style w:type="paragraph" w:styleId="TableofFigures">
    <w:name w:val="table of figures"/>
    <w:basedOn w:val="Normal"/>
    <w:next w:val="Normal"/>
    <w:semiHidden/>
    <w:rsid w:val="00712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D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2DB7"/>
    <w:rPr>
      <w:rFonts w:ascii="Wingdings" w:hAnsi="Wingdings"/>
    </w:rPr>
  </w:style>
  <w:style w:type="paragraph" w:customStyle="1" w:styleId="TableHeading">
    <w:name w:val="Table Heading"/>
    <w:basedOn w:val="HeadingBase"/>
    <w:rsid w:val="00712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DB7"/>
    <w:rPr>
      <w:color w:val="0033CC"/>
      <w:u w:val="none"/>
    </w:rPr>
  </w:style>
  <w:style w:type="paragraph" w:customStyle="1" w:styleId="BodyTextRight">
    <w:name w:val="Body Text Right"/>
    <w:basedOn w:val="BodyText"/>
    <w:rsid w:val="00712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D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DB7"/>
    <w:rPr>
      <w:sz w:val="32"/>
    </w:rPr>
  </w:style>
  <w:style w:type="paragraph" w:customStyle="1" w:styleId="HeadingProcedure">
    <w:name w:val="Heading Procedure"/>
    <w:basedOn w:val="HeadingBase"/>
    <w:next w:val="Normal"/>
    <w:rsid w:val="00712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DB7"/>
    <w:pPr>
      <w:spacing w:before="60" w:after="60"/>
    </w:pPr>
  </w:style>
  <w:style w:type="paragraph" w:styleId="ListContinue">
    <w:name w:val="List Continue"/>
    <w:basedOn w:val="List"/>
    <w:rsid w:val="00712DB7"/>
    <w:pPr>
      <w:ind w:firstLine="0"/>
    </w:pPr>
  </w:style>
  <w:style w:type="paragraph" w:customStyle="1" w:styleId="ListNote">
    <w:name w:val="List Note"/>
    <w:basedOn w:val="List"/>
    <w:rsid w:val="00712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DB7"/>
    <w:rPr>
      <w:rFonts w:ascii="Courier New" w:hAnsi="Courier New"/>
    </w:rPr>
  </w:style>
  <w:style w:type="paragraph" w:customStyle="1" w:styleId="NoteBullet">
    <w:name w:val="Note Bullet"/>
    <w:basedOn w:val="Note"/>
    <w:rsid w:val="00712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D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2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DB7"/>
    <w:rPr>
      <w:b/>
      <w:smallCaps/>
    </w:rPr>
  </w:style>
  <w:style w:type="paragraph" w:customStyle="1" w:styleId="TableListNumber">
    <w:name w:val="Table List Number"/>
    <w:basedOn w:val="ListNumber"/>
    <w:rsid w:val="00712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DB7"/>
    <w:pPr>
      <w:numPr>
        <w:numId w:val="10"/>
      </w:numPr>
    </w:pPr>
  </w:style>
  <w:style w:type="paragraph" w:customStyle="1" w:styleId="ListAlpha2">
    <w:name w:val="List Alpha 2"/>
    <w:basedOn w:val="List2"/>
    <w:rsid w:val="00712DB7"/>
    <w:pPr>
      <w:numPr>
        <w:numId w:val="9"/>
      </w:numPr>
    </w:pPr>
  </w:style>
  <w:style w:type="paragraph" w:styleId="List2">
    <w:name w:val="List 2"/>
    <w:basedOn w:val="BodyText"/>
    <w:rsid w:val="00712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D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2D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2DB7"/>
    <w:pPr>
      <w:numPr>
        <w:numId w:val="5"/>
      </w:numPr>
    </w:pPr>
  </w:style>
  <w:style w:type="paragraph" w:styleId="ListContinue2">
    <w:name w:val="List Continue 2"/>
    <w:basedOn w:val="List2"/>
    <w:rsid w:val="00712DB7"/>
    <w:pPr>
      <w:ind w:firstLine="0"/>
    </w:pPr>
  </w:style>
  <w:style w:type="paragraph" w:styleId="ListContinue3">
    <w:name w:val="List Continue 3"/>
    <w:basedOn w:val="List3"/>
    <w:rsid w:val="00712DB7"/>
    <w:pPr>
      <w:ind w:left="1021" w:firstLine="0"/>
    </w:pPr>
  </w:style>
  <w:style w:type="paragraph" w:styleId="ListContinue4">
    <w:name w:val="List Continue 4"/>
    <w:basedOn w:val="List4"/>
    <w:rsid w:val="00712DB7"/>
    <w:pPr>
      <w:ind w:firstLine="0"/>
    </w:pPr>
  </w:style>
  <w:style w:type="paragraph" w:styleId="ListContinue5">
    <w:name w:val="List Continue 5"/>
    <w:basedOn w:val="List5"/>
    <w:rsid w:val="00712DB7"/>
    <w:pPr>
      <w:ind w:firstLine="0"/>
    </w:pPr>
  </w:style>
  <w:style w:type="paragraph" w:styleId="ListNumber3">
    <w:name w:val="List Number 3"/>
    <w:basedOn w:val="List3"/>
    <w:rsid w:val="00712DB7"/>
    <w:pPr>
      <w:numPr>
        <w:numId w:val="6"/>
      </w:numPr>
    </w:pPr>
  </w:style>
  <w:style w:type="paragraph" w:styleId="ListNumber4">
    <w:name w:val="List Number 4"/>
    <w:basedOn w:val="List4"/>
    <w:rsid w:val="00712DB7"/>
    <w:pPr>
      <w:numPr>
        <w:numId w:val="7"/>
      </w:numPr>
    </w:pPr>
  </w:style>
  <w:style w:type="paragraph" w:styleId="ListNumber5">
    <w:name w:val="List Number 5"/>
    <w:basedOn w:val="List5"/>
    <w:rsid w:val="00712DB7"/>
    <w:pPr>
      <w:numPr>
        <w:numId w:val="8"/>
      </w:numPr>
    </w:pPr>
  </w:style>
  <w:style w:type="paragraph" w:styleId="BlockText">
    <w:name w:val="Block Text"/>
    <w:basedOn w:val="Normal"/>
    <w:rsid w:val="00712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DB7"/>
    <w:rPr>
      <w:sz w:val="16"/>
      <w:vertAlign w:val="superscript"/>
    </w:rPr>
  </w:style>
  <w:style w:type="character" w:customStyle="1" w:styleId="Symbols">
    <w:name w:val="Symbols"/>
    <w:basedOn w:val="DefaultParagraphFont"/>
    <w:rsid w:val="00712DB7"/>
    <w:rPr>
      <w:rFonts w:ascii="Symbol" w:hAnsi="Symbol"/>
    </w:rPr>
  </w:style>
  <w:style w:type="character" w:customStyle="1" w:styleId="MenuOptions">
    <w:name w:val="Menu Options"/>
    <w:basedOn w:val="DefaultParagraphFont"/>
    <w:rsid w:val="00712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DB7"/>
    <w:rPr>
      <w:b/>
    </w:rPr>
  </w:style>
  <w:style w:type="character" w:customStyle="1" w:styleId="Underlined">
    <w:name w:val="Underlined"/>
    <w:basedOn w:val="DefaultParagraphFont"/>
    <w:rsid w:val="00712DB7"/>
    <w:rPr>
      <w:u w:val="single"/>
    </w:rPr>
  </w:style>
  <w:style w:type="paragraph" w:customStyle="1" w:styleId="TableBodyTextRight">
    <w:name w:val="Table Body Text Right"/>
    <w:basedOn w:val="TableBodyText"/>
    <w:rsid w:val="00712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DB7"/>
    <w:rPr>
      <w:sz w:val="18"/>
    </w:rPr>
  </w:style>
  <w:style w:type="paragraph" w:customStyle="1" w:styleId="BodySmallRight">
    <w:name w:val="Body Small Right"/>
    <w:basedOn w:val="BodyTextRight"/>
    <w:rsid w:val="00712DB7"/>
    <w:rPr>
      <w:sz w:val="18"/>
      <w:szCs w:val="18"/>
    </w:rPr>
  </w:style>
  <w:style w:type="paragraph" w:customStyle="1" w:styleId="MarginEdition">
    <w:name w:val="Margin Edition"/>
    <w:basedOn w:val="MarginNote"/>
    <w:rsid w:val="00712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DB7"/>
    <w:rPr>
      <w:sz w:val="2"/>
      <w:szCs w:val="2"/>
    </w:rPr>
  </w:style>
  <w:style w:type="character" w:customStyle="1" w:styleId="Small">
    <w:name w:val="Small"/>
    <w:basedOn w:val="DefaultParagraphFont"/>
    <w:rsid w:val="00712DB7"/>
    <w:rPr>
      <w:sz w:val="16"/>
    </w:rPr>
  </w:style>
  <w:style w:type="paragraph" w:customStyle="1" w:styleId="WideTable">
    <w:name w:val="Wide Table"/>
    <w:basedOn w:val="Normal"/>
    <w:rsid w:val="00712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DB7"/>
  </w:style>
  <w:style w:type="paragraph" w:styleId="Quote">
    <w:name w:val="Quote"/>
    <w:basedOn w:val="Heading1"/>
    <w:link w:val="QuoteChar"/>
    <w:qFormat/>
    <w:rsid w:val="00712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DB7"/>
    <w:pPr>
      <w:pageBreakBefore/>
    </w:pPr>
  </w:style>
  <w:style w:type="paragraph" w:customStyle="1" w:styleId="Border">
    <w:name w:val="Border"/>
    <w:basedOn w:val="Normal"/>
    <w:qFormat/>
    <w:rsid w:val="00712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DB7"/>
    <w:rPr>
      <w:u w:val="single"/>
    </w:rPr>
  </w:style>
  <w:style w:type="character" w:customStyle="1" w:styleId="BoldandItalics">
    <w:name w:val="Bold and Italics"/>
    <w:qFormat/>
    <w:rsid w:val="00712DB7"/>
    <w:rPr>
      <w:b/>
      <w:i/>
      <w:u w:val="none"/>
    </w:rPr>
  </w:style>
  <w:style w:type="paragraph" w:styleId="BalloonText">
    <w:name w:val="Balloon Text"/>
    <w:basedOn w:val="Normal"/>
    <w:link w:val="BalloonTextChar"/>
    <w:rsid w:val="00712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DB7"/>
    <w:pPr>
      <w:spacing w:before="0" w:after="0"/>
    </w:pPr>
  </w:style>
  <w:style w:type="paragraph" w:customStyle="1" w:styleId="BodyTextBold">
    <w:name w:val="Body Text Bold"/>
    <w:basedOn w:val="BodyText"/>
    <w:qFormat/>
    <w:rsid w:val="00712DB7"/>
    <w:rPr>
      <w:b/>
    </w:rPr>
  </w:style>
  <w:style w:type="character" w:styleId="Hyperlink">
    <w:name w:val="Hyperlink"/>
    <w:basedOn w:val="DefaultParagraphFont"/>
    <w:uiPriority w:val="99"/>
    <w:unhideWhenUsed/>
    <w:rsid w:val="002B64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2520</Characters>
  <Application>Microsoft Office Word</Application>
  <DocSecurity>0</DocSecurity>
  <Lines>72</Lines>
  <Paragraphs>60</Paragraphs>
  <ScaleCrop>false</ScaleCrop>
  <Company>Author-it Software Corporation Ltd.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MSTGN2018 Work in the TCF industry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