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D79" w:rsidP="00012D79">
      <w:pPr>
        <w:pStyle w:val="Title"/>
      </w:pPr>
      <w:r>
        <w:fldChar w:fldCharType="begin"/>
      </w:r>
      <w:r>
        <w:instrText xml:space="preserve"> TITLE   \* MERGEFORMAT </w:instrText>
      </w:r>
      <w:r>
        <w:fldChar w:fldCharType="separate"/>
      </w:r>
      <w:r>
        <w:t>MSTGN2003 Work in the TCF industry</w:t>
      </w:r>
      <w:r>
        <w:fldChar w:fldCharType="end"/>
      </w:r>
    </w:p>
    <w:p w:rsidR="00012D79" w:rsidP="00012D79">
      <w:pPr>
        <w:pStyle w:val="Version"/>
        <w:sectPr w:rsidSect="001B2B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B28" w:rsidP="001B2B28">
      <w:pPr>
        <w:pStyle w:val="SuperHeading"/>
      </w:pPr>
      <w:r w:rsidRPr="001B2B28">
        <w:t>MSTGN2003 Work in the TCF industry</w:t>
      </w:r>
    </w:p>
    <w:p w:rsidR="00000000" w:rsidRPr="001B2B28" w:rsidP="001B2B28">
      <w:pPr>
        <w:pStyle w:val="Heading1"/>
      </w:pPr>
      <w:bookmarkStart w:id="1" w:name="O_931037"/>
      <w:bookmarkEnd w:id="1"/>
      <w:r w:rsidRPr="001B2B28">
        <w:t>Modification History</w:t>
      </w:r>
    </w:p>
    <w:p w:rsidR="00000000" w:rsidRPr="001B2B28" w:rsidP="00012D79">
      <w:pPr>
        <w:pStyle w:val="BodyText"/>
      </w:pPr>
      <w:r w:rsidRPr="001B2B28">
        <w:t xml:space="preserve">Release 1. Supersedes and is equivalent to LMTGN2003B Work in the Textiles, Clothing and Footwear industry </w:t>
      </w:r>
    </w:p>
    <w:p w:rsidR="00000000" w:rsidRPr="001B2B28" w:rsidP="001B2B28">
      <w:pPr>
        <w:pStyle w:val="Heading1"/>
      </w:pPr>
      <w:bookmarkStart w:id="2" w:name="O_931045"/>
      <w:bookmarkEnd w:id="2"/>
      <w:r w:rsidRPr="001B2B28">
        <w:t>Application</w:t>
      </w:r>
    </w:p>
    <w:p w:rsidR="00000000" w:rsidRPr="001B2B28" w:rsidP="00012D79">
      <w:pPr>
        <w:pStyle w:val="BodyText"/>
      </w:pPr>
      <w:r w:rsidRPr="001B2B28">
        <w:t>This unit of competency covers the skills and knowledge required to identify key production proces</w:t>
      </w:r>
      <w:r w:rsidRPr="001B2B28">
        <w:t>ses within a textiles, clothing and footwear (TCF) sector.</w:t>
      </w:r>
    </w:p>
    <w:p w:rsidR="00000000" w:rsidRPr="001B2B28" w:rsidP="00012D79">
      <w:pPr>
        <w:pStyle w:val="BodyText"/>
      </w:pPr>
      <w:r w:rsidRPr="001B2B28">
        <w:t>The unit of competency applies to all sectors in the TCF industry. It may be applied to a specific sector but must include production processes and flow of product from raw materials through to di</w:t>
      </w:r>
      <w:r w:rsidRPr="001B2B28">
        <w:t>stribution.</w:t>
      </w:r>
    </w:p>
    <w:p w:rsidR="00000000" w:rsidRPr="001B2B28" w:rsidP="00012D79">
      <w:pPr>
        <w:pStyle w:val="BodyText"/>
      </w:pPr>
      <w:r w:rsidRPr="001B2B28">
        <w:t>The unit of competency applies to working in any sector of the TCF industry and includes identification of applicable legislation, guidelines and workplace practices for the relevant sector.</w:t>
      </w:r>
    </w:p>
    <w:p w:rsidR="00000000" w:rsidRPr="001B2B28" w:rsidP="00012D79">
      <w:pPr>
        <w:pStyle w:val="BodyText"/>
      </w:pPr>
      <w:r w:rsidRPr="001B2B28">
        <w:t>Work may be conducted in small to large scale enter</w:t>
      </w:r>
      <w:r w:rsidRPr="001B2B28">
        <w:t>prises and may involve individual and team activities.</w:t>
      </w:r>
    </w:p>
    <w:p w:rsidR="00000000" w:rsidRPr="001B2B28" w:rsidP="00012D79">
      <w:pPr>
        <w:pStyle w:val="BodyText"/>
      </w:pPr>
      <w:r w:rsidRPr="001B2B28">
        <w:t>No licensing, legislative or certification requirements apply to this unit at the time of publication.</w:t>
      </w:r>
    </w:p>
    <w:p w:rsidR="00000000" w:rsidRPr="001B2B28" w:rsidP="001B2B28">
      <w:pPr>
        <w:pStyle w:val="Heading1"/>
      </w:pPr>
      <w:bookmarkStart w:id="3" w:name="O_931044"/>
      <w:bookmarkEnd w:id="3"/>
      <w:r w:rsidRPr="001B2B28">
        <w:t>Pre-requisite Unit</w:t>
      </w:r>
    </w:p>
    <w:p w:rsidR="00000000" w:rsidRPr="001B2B28" w:rsidP="00012D79">
      <w:pPr>
        <w:pStyle w:val="BodyText"/>
      </w:pPr>
      <w:r w:rsidRPr="001B2B28">
        <w:t>Nil</w:t>
      </w:r>
    </w:p>
    <w:p w:rsidR="00000000" w:rsidRPr="001B2B28" w:rsidP="001B2B28">
      <w:pPr>
        <w:pStyle w:val="Heading1"/>
      </w:pPr>
      <w:bookmarkStart w:id="4" w:name="O_931043"/>
      <w:bookmarkEnd w:id="4"/>
      <w:r w:rsidRPr="001B2B28">
        <w:t>Competency Field</w:t>
      </w:r>
    </w:p>
    <w:p w:rsidR="00000000" w:rsidRPr="001B2B28" w:rsidP="00012D79">
      <w:pPr>
        <w:pStyle w:val="BodyText"/>
      </w:pPr>
      <w:r w:rsidRPr="001B2B28">
        <w:t>Generic</w:t>
      </w:r>
    </w:p>
    <w:p w:rsidR="00000000" w:rsidRPr="001B2B28" w:rsidP="001B2B28">
      <w:pPr>
        <w:pStyle w:val="Heading1"/>
      </w:pPr>
      <w:bookmarkStart w:id="5" w:name="O_931042"/>
      <w:bookmarkEnd w:id="5"/>
      <w:r w:rsidRPr="001B2B28">
        <w:t>Unit Sector</w:t>
      </w:r>
    </w:p>
    <w:p w:rsidR="00000000" w:rsidRPr="001B2B28" w:rsidP="00012D79">
      <w:pPr>
        <w:pStyle w:val="BodyText"/>
      </w:pPr>
      <w:r w:rsidRPr="001B2B28">
        <w:t>Not applicable</w:t>
      </w:r>
    </w:p>
    <w:p w:rsidR="00000000" w:rsidRPr="001B2B28" w:rsidP="001B2B28">
      <w:pPr>
        <w:pStyle w:val="Heading1"/>
      </w:pPr>
      <w:bookmarkStart w:id="6" w:name="O_931041"/>
      <w:bookmarkEnd w:id="6"/>
      <w:r w:rsidRPr="001B2B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2B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Performance criteria describe the performance needed to demonstrate achievement of the element.</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B28" w:rsidP="001B2B28">
            <w:pPr>
              <w:pStyle w:val="BodyText"/>
            </w:pPr>
            <w:r w:rsidRPr="001B2B28">
              <w:t>1</w:t>
            </w:r>
          </w:p>
        </w:tc>
        <w:tc>
          <w:tcPr>
            <w:tcW w:w="1962" w:type="dxa"/>
            <w:vMerge w:val="restart"/>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rPr>
                <w:rStyle w:val="SpecialBold"/>
              </w:rPr>
              <w:t>Determine</w:t>
            </w: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1.1</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Follow standard operating procedures (SOPs)</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1.2</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Comply with work health and safety (WHS) requirements at all times</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1.3</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Use appropriate personal protective equipment (PPE) in accordance with SOPs</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1.4</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Identify job requirements from specifications, drawings, job sheets or work instructions</w:t>
            </w:r>
          </w:p>
        </w:tc>
      </w:tr>
      <w:tr w:rsidTr="001B2B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B28">
            <w:pPr>
              <w:pStyle w:val="BodyText"/>
              <w:rPr>
                <w:lang w:val="en-NZ"/>
              </w:rPr>
            </w:pP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B28" w:rsidP="001B2B28">
            <w:pPr>
              <w:pStyle w:val="BodyText"/>
            </w:pPr>
            <w:r w:rsidRPr="001B2B28">
              <w:t>2</w:t>
            </w:r>
          </w:p>
        </w:tc>
        <w:tc>
          <w:tcPr>
            <w:tcW w:w="1962" w:type="dxa"/>
            <w:vMerge w:val="restart"/>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rPr>
                <w:rStyle w:val="SpecialBold"/>
              </w:rPr>
              <w:t>Prepare to work in the TCF industry</w:t>
            </w: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2.1</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Identify relevant TCF sectors</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2.2</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Identify Industry representatives and their roles</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2.3</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 xml:space="preserve">Identify relevant legislation and guidelines common to employment within identified TCF sector </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2.4</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Identify TCF worker rights, responsibilities and legal obligations</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2.5</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Identify features of product quality in identified workplace</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2.6</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Recognise the role of employability skills in TCF workplace</w:t>
            </w:r>
          </w:p>
        </w:tc>
      </w:tr>
      <w:tr w:rsidTr="001B2B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B28">
            <w:pPr>
              <w:pStyle w:val="BodyText"/>
              <w:rPr>
                <w:lang w:val="en-NZ"/>
              </w:rPr>
            </w:pP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B28" w:rsidP="001B2B28">
            <w:pPr>
              <w:pStyle w:val="BodyText"/>
            </w:pPr>
            <w:r w:rsidRPr="001B2B28">
              <w:t>3</w:t>
            </w:r>
          </w:p>
        </w:tc>
        <w:tc>
          <w:tcPr>
            <w:tcW w:w="1962" w:type="dxa"/>
            <w:vMerge w:val="restart"/>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rPr>
                <w:rStyle w:val="SpecialBold"/>
              </w:rPr>
              <w:t>Identify production processes and supply chains</w:t>
            </w: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3.1</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Identify materials used in the TCF workplace</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3.2</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 xml:space="preserve">Identify workplace production processes for converting materials into products </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3.3</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Identify workplace supply chains for products</w:t>
            </w:r>
          </w:p>
        </w:tc>
      </w:tr>
      <w:tr w:rsidTr="001B2B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B28">
            <w:pPr>
              <w:pStyle w:val="BodyText"/>
              <w:rPr>
                <w:lang w:val="en-NZ"/>
              </w:rPr>
            </w:pP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B28" w:rsidP="001B2B28">
            <w:pPr>
              <w:pStyle w:val="BodyText"/>
            </w:pPr>
            <w:r w:rsidRPr="001B2B28">
              <w:t>4</w:t>
            </w:r>
          </w:p>
        </w:tc>
        <w:tc>
          <w:tcPr>
            <w:tcW w:w="1962" w:type="dxa"/>
            <w:vMerge w:val="restart"/>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rPr>
                <w:rStyle w:val="SpecialBold"/>
              </w:rPr>
              <w:t>Recognise workplace processes</w:t>
            </w: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4.1</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Identify workplace practices and describe key activities of workplace</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4.2</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Distinguish key personnel and their roles</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4.3</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Identify WHS practices and participate in initial WHS orientation</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4.4</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Identify workplace areas or departments and their role in the production process</w:t>
            </w:r>
          </w:p>
        </w:tc>
      </w:tr>
      <w:tr w:rsidTr="001B2B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B28">
            <w:pPr>
              <w:pStyle w:val="BodyText"/>
              <w:rPr>
                <w:lang w:val="en-NZ"/>
              </w:rPr>
            </w:pP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B28" w:rsidP="001B2B28">
            <w:pPr>
              <w:pStyle w:val="BodyText"/>
            </w:pPr>
            <w:r w:rsidRPr="001B2B28">
              <w:t>5</w:t>
            </w:r>
          </w:p>
        </w:tc>
        <w:tc>
          <w:tcPr>
            <w:tcW w:w="1962" w:type="dxa"/>
            <w:vMerge w:val="restart"/>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rPr>
                <w:rStyle w:val="SpecialBold"/>
              </w:rPr>
              <w:t>Learn skills for productive work</w:t>
            </w: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5.1</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Identify required skills for current work role</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5.2</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Recognise own skills and skills limitations, and identify opportunities for further skill development</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5.3</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Develop a plan for learning required skills, with support of supervisor</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5.4</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Participate in learning and development activities</w:t>
            </w:r>
          </w:p>
        </w:tc>
      </w:tr>
      <w:tr w:rsidTr="001B2B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B28">
            <w:pPr>
              <w:pStyle w:val="BodyText"/>
              <w:rPr>
                <w:lang w:val="en-NZ"/>
              </w:rPr>
            </w:pP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B28" w:rsidP="001B2B28">
            <w:pPr>
              <w:pStyle w:val="BodyText"/>
            </w:pPr>
            <w:r w:rsidRPr="001B2B28">
              <w:t>6</w:t>
            </w:r>
          </w:p>
        </w:tc>
        <w:tc>
          <w:tcPr>
            <w:tcW w:w="1962" w:type="dxa"/>
            <w:vMerge w:val="restart"/>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rPr>
                <w:rStyle w:val="SpecialBold"/>
              </w:rPr>
              <w:t>Manage own work</w:t>
            </w: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6.1</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Take responsibility for own work tasks and role</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6.2</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Exercise initiative and express ideas and suggestions for improvements in own work processes</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6.3</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Apply problem-solving strategies to address problems, inconsistencies or concerns when fulfilling work role</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6.4</w:t>
            </w:r>
          </w:p>
        </w:tc>
        <w:tc>
          <w:tcPr>
            <w:tcW w:w="561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Monitor own work against workplace standards, identify areas for improvement, and seek improvement</w:t>
            </w:r>
          </w:p>
        </w:tc>
      </w:tr>
      <w:tr w:rsidTr="001B2B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6.5</w:t>
            </w:r>
          </w:p>
        </w:tc>
        <w:tc>
          <w:tcPr>
            <w:tcW w:w="5610" w:type="dxa"/>
            <w:tcBorders>
              <w:top w:val="nil"/>
              <w:left w:val="nil"/>
              <w:bottom w:val="nil"/>
              <w:right w:val="nil"/>
            </w:tcBorders>
            <w:tcMar>
              <w:top w:w="0" w:type="dxa"/>
              <w:left w:w="62" w:type="dxa"/>
              <w:bottom w:w="0" w:type="dxa"/>
              <w:right w:w="62" w:type="dxa"/>
            </w:tcMar>
          </w:tcPr>
          <w:p w:rsidR="00000000" w:rsidRPr="001B2B28" w:rsidP="001B2B28">
            <w:pPr>
              <w:pStyle w:val="BodyText"/>
            </w:pPr>
            <w:r w:rsidRPr="001B2B28">
              <w:t>Work effectively and cooperatively with others in work team</w:t>
            </w:r>
          </w:p>
        </w:tc>
      </w:tr>
    </w:tbl>
    <w:p w:rsidR="00000000" w:rsidRPr="001B2B28" w:rsidP="001B2B28">
      <w:pPr>
        <w:pStyle w:val="BodyText"/>
      </w:pPr>
    </w:p>
    <w:p w:rsidR="00000000" w:rsidRPr="001B2B28" w:rsidP="001B2B28">
      <w:pPr>
        <w:pStyle w:val="AllowPageBreak"/>
      </w:pPr>
    </w:p>
    <w:p w:rsidR="00000000" w:rsidRPr="001B2B28" w:rsidP="001B2B28">
      <w:pPr>
        <w:pStyle w:val="Heading1"/>
      </w:pPr>
      <w:bookmarkStart w:id="7" w:name="O_931040"/>
      <w:bookmarkEnd w:id="7"/>
      <w:r w:rsidRPr="001B2B28">
        <w:t>Foundation Skills</w:t>
      </w:r>
    </w:p>
    <w:p w:rsidR="00000000" w:rsidRPr="001B2B28" w:rsidP="00012D79">
      <w:pPr>
        <w:pStyle w:val="BodyText"/>
      </w:pPr>
      <w:r w:rsidRPr="001B2B28">
        <w:t>This section describes those required skills (language, literacy and numeracy) that are essential to performance.</w:t>
      </w:r>
    </w:p>
    <w:p w:rsidR="00000000" w:rsidRPr="001B2B28" w:rsidP="00012D79">
      <w:pPr>
        <w:pStyle w:val="BodyText"/>
      </w:pPr>
      <w:r w:rsidRPr="001B2B28">
        <w:t>Foundation skills essential to performance a</w:t>
      </w:r>
      <w:r w:rsidRPr="001B2B28">
        <w:t>re explicit in the performance criteria of this unit of competency.</w:t>
      </w:r>
    </w:p>
    <w:p w:rsidR="00000000" w:rsidRPr="001B2B28" w:rsidP="001B2B28">
      <w:pPr>
        <w:pStyle w:val="Heading1"/>
      </w:pPr>
      <w:bookmarkStart w:id="8" w:name="O_931039"/>
      <w:bookmarkEnd w:id="8"/>
      <w:r w:rsidRPr="001B2B28">
        <w:t>Range of Conditions</w:t>
      </w:r>
    </w:p>
    <w:tbl>
      <w:tblPr>
        <w:tblW w:w="0" w:type="auto"/>
        <w:tblCellMar>
          <w:left w:w="62" w:type="dxa"/>
          <w:right w:w="62" w:type="dxa"/>
        </w:tblCellMar>
        <w:tblLook w:val="0000"/>
      </w:tblPr>
      <w:tblGrid>
        <w:gridCol w:w="2163"/>
        <w:gridCol w:w="7033"/>
      </w:tblGrid>
      <w:tr w:rsidTr="00012D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t>This field allows for different work environments and conditions that may affect performance. Essential operating conditions that may be present (depen</w:t>
            </w:r>
            <w:r w:rsidRPr="001B2B28">
              <w:t>ding on the work situation, needs of the candidate, accessibility of the item, and local industry and regional contexts) are included.</w:t>
            </w:r>
          </w:p>
        </w:tc>
      </w:tr>
      <w:tr w:rsidTr="00012D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2B28" w:rsidP="001B2B28">
            <w:pPr>
              <w:pStyle w:val="ListBullet"/>
            </w:pPr>
            <w:r w:rsidRPr="001B2B28">
              <w:t>requirements prescribed by l</w:t>
            </w:r>
            <w:r w:rsidRPr="001B2B28">
              <w:t>egislation, awards, agreements and conditions of employment</w:t>
            </w:r>
          </w:p>
          <w:p w:rsidR="00000000" w:rsidRPr="001B2B28" w:rsidP="001B2B28">
            <w:pPr>
              <w:pStyle w:val="ListBullet"/>
            </w:pPr>
            <w:r w:rsidRPr="001B2B28">
              <w:t>SOPs</w:t>
            </w:r>
          </w:p>
          <w:p w:rsidR="00000000" w:rsidRPr="001B2B28" w:rsidP="001B2B28">
            <w:pPr>
              <w:pStyle w:val="ListBullet"/>
            </w:pPr>
            <w:r w:rsidRPr="001B2B28">
              <w:t>work instructions</w:t>
            </w:r>
          </w:p>
          <w:p w:rsidR="00000000" w:rsidRPr="001B2B28" w:rsidP="001B2B28">
            <w:pPr>
              <w:pStyle w:val="ListBullet"/>
            </w:pPr>
            <w:r w:rsidRPr="001B2B28">
              <w:t>oral, written and visual communication</w:t>
            </w:r>
          </w:p>
          <w:p w:rsidR="00000000" w:rsidRPr="001B2B28" w:rsidP="001B2B28">
            <w:pPr>
              <w:pStyle w:val="ListBullet"/>
            </w:pPr>
            <w:r w:rsidRPr="001B2B28">
              <w:t>quality practices, including responsibility for maintenance of own work quality and contribution to quality improvement of team or sec</w:t>
            </w:r>
            <w:r w:rsidRPr="001B2B28">
              <w:t>tion output</w:t>
            </w:r>
          </w:p>
          <w:p w:rsidR="00000000" w:rsidRPr="001B2B28" w:rsidP="001B2B28">
            <w:pPr>
              <w:pStyle w:val="ListBullet"/>
            </w:pPr>
            <w:r w:rsidRPr="001B2B28">
              <w:t>housekeeping</w:t>
            </w:r>
          </w:p>
          <w:p w:rsidR="00000000" w:rsidRPr="001B2B28" w:rsidP="001B2B28">
            <w:pPr>
              <w:pStyle w:val="ListBullet"/>
            </w:pPr>
            <w:r w:rsidRPr="001B2B28">
              <w:t>tasks related to environmental protection, waste disposal, pollution control and recycling</w:t>
            </w:r>
          </w:p>
          <w:p w:rsidR="00000000" w:rsidRPr="001B2B28" w:rsidP="001B2B28">
            <w:pPr>
              <w:pStyle w:val="ListBullet"/>
            </w:pPr>
            <w:r w:rsidRPr="001B2B28">
              <w:t>WHS practices</w:t>
            </w:r>
          </w:p>
          <w:p w:rsidR="00000000" w:rsidP="001B2B28">
            <w:pPr>
              <w:pStyle w:val="BodyText"/>
              <w:rPr>
                <w:lang w:val="en-NZ"/>
              </w:rPr>
            </w:pPr>
          </w:p>
        </w:tc>
      </w:tr>
      <w:tr w:rsidTr="00012D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P="001B2B28">
            <w:pPr>
              <w:pStyle w:val="ListBullet"/>
              <w:rPr>
                <w:lang w:val="en-NZ"/>
              </w:rPr>
            </w:pPr>
            <w:r w:rsidRPr="001B2B28">
              <w:t>the relevant industry or Australian Standards that are current at the time this unit is being undertaken</w:t>
            </w:r>
          </w:p>
        </w:tc>
      </w:tr>
      <w:tr w:rsidTr="00012D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rPr>
                <w:rStyle w:val="SpecialBold"/>
              </w:rPr>
              <w:t>Materials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2B28" w:rsidP="001B2B28">
            <w:pPr>
              <w:pStyle w:val="ListBullet"/>
            </w:pPr>
            <w:r w:rsidRPr="001B2B28">
              <w:t>natural and synthetic fibres, fabrics and textiles</w:t>
            </w:r>
          </w:p>
          <w:p w:rsidR="00000000" w:rsidRPr="001B2B28" w:rsidP="001B2B28">
            <w:pPr>
              <w:pStyle w:val="ListBullet"/>
            </w:pPr>
            <w:r w:rsidRPr="001B2B28">
              <w:t>animal hides</w:t>
            </w:r>
          </w:p>
          <w:p w:rsidR="00000000" w:rsidRPr="001B2B28" w:rsidP="001B2B28">
            <w:pPr>
              <w:pStyle w:val="ListBullet"/>
            </w:pPr>
            <w:r w:rsidRPr="001B2B28">
              <w:t xml:space="preserve">components, </w:t>
            </w:r>
            <w:r w:rsidRPr="001B2B28">
              <w:t>such as buttons and zips</w:t>
            </w:r>
          </w:p>
          <w:p w:rsidR="00000000" w:rsidP="001B2B28">
            <w:pPr>
              <w:pStyle w:val="BodyText"/>
              <w:rPr>
                <w:lang w:val="en-NZ"/>
              </w:rPr>
            </w:pPr>
          </w:p>
        </w:tc>
      </w:tr>
      <w:tr w:rsidTr="00012D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rPr>
                <w:rStyle w:val="SpecialBold"/>
              </w:rPr>
              <w:t>Key personnel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2B28" w:rsidP="001B2B28">
            <w:pPr>
              <w:pStyle w:val="ListBullet"/>
            </w:pPr>
            <w:r w:rsidRPr="001B2B28">
              <w:t>supervisor or team leader</w:t>
            </w:r>
          </w:p>
          <w:p w:rsidR="00000000" w:rsidRPr="001B2B28" w:rsidP="001B2B28">
            <w:pPr>
              <w:pStyle w:val="ListBullet"/>
            </w:pPr>
            <w:r w:rsidRPr="001B2B28">
              <w:t>production staff and operators</w:t>
            </w:r>
          </w:p>
          <w:p w:rsidR="00000000" w:rsidRPr="001B2B28" w:rsidP="001B2B28">
            <w:pPr>
              <w:pStyle w:val="ListBullet"/>
            </w:pPr>
            <w:r w:rsidRPr="001B2B28">
              <w:t>management and specialist support staff</w:t>
            </w:r>
          </w:p>
          <w:p w:rsidR="00000000" w:rsidRPr="001B2B28" w:rsidP="001B2B28">
            <w:pPr>
              <w:pStyle w:val="ListBullet"/>
            </w:pPr>
            <w:r w:rsidRPr="001B2B28">
              <w:t>unions or industry associations or representatives</w:t>
            </w:r>
          </w:p>
          <w:p w:rsidR="00000000" w:rsidRPr="001B2B28" w:rsidP="001B2B28">
            <w:pPr>
              <w:pStyle w:val="ListBullet"/>
            </w:pPr>
            <w:r w:rsidRPr="001B2B28">
              <w:t>WHS representatives</w:t>
            </w:r>
          </w:p>
          <w:p w:rsidR="00000000" w:rsidP="001B2B28">
            <w:pPr>
              <w:pStyle w:val="BodyText"/>
              <w:rPr>
                <w:lang w:val="en-NZ"/>
              </w:rPr>
            </w:pPr>
          </w:p>
        </w:tc>
      </w:tr>
      <w:tr w:rsidTr="00012D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B28">
            <w:pPr>
              <w:pStyle w:val="BodyText"/>
              <w:rPr>
                <w:lang w:val="en-NZ"/>
              </w:rPr>
            </w:pPr>
            <w:r w:rsidRPr="001B2B28">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1B2B28" w:rsidP="001B2B28">
            <w:pPr>
              <w:pStyle w:val="BodyText"/>
            </w:pPr>
            <w:r w:rsidRPr="001B2B28">
              <w:t>WHS practices include hazard identification and control, risk assessment and implementation of risk reduction measures specific to the tasks described by this unit, and include one or more of the following:</w:t>
            </w:r>
          </w:p>
          <w:p w:rsidR="00000000" w:rsidRPr="001B2B28" w:rsidP="001B2B28">
            <w:pPr>
              <w:pStyle w:val="ListBullet"/>
            </w:pPr>
            <w:r w:rsidRPr="001B2B28">
              <w:t>manual handl</w:t>
            </w:r>
            <w:r w:rsidRPr="001B2B28">
              <w:t>ing techniques</w:t>
            </w:r>
          </w:p>
          <w:p w:rsidR="00000000" w:rsidRPr="001B2B28" w:rsidP="001B2B28">
            <w:pPr>
              <w:pStyle w:val="ListBullet"/>
            </w:pPr>
            <w:r w:rsidRPr="001B2B28">
              <w:t>SOPs</w:t>
            </w:r>
          </w:p>
          <w:p w:rsidR="00000000" w:rsidRPr="001B2B28" w:rsidP="001B2B28">
            <w:pPr>
              <w:pStyle w:val="ListBullet"/>
            </w:pPr>
            <w:r w:rsidRPr="001B2B28">
              <w:t>PPE</w:t>
            </w:r>
          </w:p>
          <w:p w:rsidR="00000000" w:rsidRPr="001B2B28" w:rsidP="001B2B28">
            <w:pPr>
              <w:pStyle w:val="ListBullet"/>
            </w:pPr>
            <w:r w:rsidRPr="001B2B28">
              <w:t>safe materials handling</w:t>
            </w:r>
          </w:p>
          <w:p w:rsidR="00000000" w:rsidRPr="001B2B28" w:rsidP="001B2B28">
            <w:pPr>
              <w:pStyle w:val="ListBullet"/>
            </w:pPr>
            <w:r w:rsidRPr="001B2B28">
              <w:t>taking of rest breaks</w:t>
            </w:r>
          </w:p>
          <w:p w:rsidR="00000000" w:rsidRPr="001B2B28" w:rsidP="001B2B28">
            <w:pPr>
              <w:pStyle w:val="ListBullet"/>
            </w:pPr>
            <w:r w:rsidRPr="001B2B28">
              <w:t>ergonomic arrangement of workplaces</w:t>
            </w:r>
          </w:p>
          <w:p w:rsidR="00000000" w:rsidRPr="001B2B28" w:rsidP="001B2B28">
            <w:pPr>
              <w:pStyle w:val="ListBullet"/>
            </w:pPr>
            <w:r w:rsidRPr="001B2B28">
              <w:t>following marked walkways</w:t>
            </w:r>
          </w:p>
          <w:p w:rsidR="00000000" w:rsidRPr="001B2B28" w:rsidP="001B2B28">
            <w:pPr>
              <w:pStyle w:val="ListBullet"/>
            </w:pPr>
            <w:r w:rsidRPr="001B2B28">
              <w:t>safe storage of equipment</w:t>
            </w:r>
          </w:p>
          <w:p w:rsidR="00000000" w:rsidRPr="001B2B28" w:rsidP="001B2B28">
            <w:pPr>
              <w:pStyle w:val="ListBullet"/>
            </w:pPr>
            <w:r w:rsidRPr="001B2B28">
              <w:t>housekeeping</w:t>
            </w:r>
          </w:p>
          <w:p w:rsidR="00000000" w:rsidRPr="001B2B28" w:rsidP="001B2B28">
            <w:pPr>
              <w:pStyle w:val="ListBullet"/>
            </w:pPr>
            <w:r w:rsidRPr="001B2B28">
              <w:t>reporting accidents and incidents</w:t>
            </w:r>
          </w:p>
          <w:p w:rsidR="00000000" w:rsidRPr="001B2B28" w:rsidP="001B2B28">
            <w:pPr>
              <w:pStyle w:val="ListBullet"/>
            </w:pPr>
            <w:r w:rsidRPr="001B2B28">
              <w:t>environmental practices</w:t>
            </w:r>
          </w:p>
        </w:tc>
      </w:tr>
    </w:tbl>
    <w:p w:rsidR="00000000" w:rsidRPr="001B2B28" w:rsidP="001B2B28">
      <w:pPr>
        <w:pStyle w:val="BodyText"/>
      </w:pPr>
    </w:p>
    <w:p w:rsidR="00000000" w:rsidRPr="001B2B28" w:rsidP="001B2B28">
      <w:pPr>
        <w:pStyle w:val="AllowPageBreak"/>
      </w:pPr>
    </w:p>
    <w:p w:rsidR="00000000" w:rsidRPr="001B2B28" w:rsidP="001B2B28">
      <w:pPr>
        <w:pStyle w:val="Heading1"/>
      </w:pPr>
      <w:bookmarkStart w:id="9" w:name="O_931038"/>
      <w:bookmarkEnd w:id="9"/>
      <w:r w:rsidRPr="001B2B28">
        <w:t>Unit Mapping Information</w:t>
      </w:r>
    </w:p>
    <w:p w:rsidR="00000000" w:rsidRPr="001B2B28" w:rsidP="00012D79">
      <w:pPr>
        <w:pStyle w:val="BodyText"/>
      </w:pPr>
      <w:r w:rsidRPr="001B2B28">
        <w:t xml:space="preserve">Release 1. Supersedes and is equivalent to LMTGN2003B Work in the Textiles, Clothing and Footwear industry </w:t>
      </w:r>
    </w:p>
    <w:p w:rsidR="00000000" w:rsidRPr="001B2B28" w:rsidP="001B2B28">
      <w:pPr>
        <w:pStyle w:val="Heading1"/>
      </w:pPr>
      <w:bookmarkStart w:id="10" w:name="O_931031"/>
      <w:bookmarkEnd w:id="10"/>
      <w:r w:rsidRPr="001B2B28">
        <w:t>Links</w:t>
      </w:r>
    </w:p>
    <w:p w:rsidR="00000000" w:rsidRPr="001B2B28" w:rsidP="00012D79">
      <w:pPr>
        <w:pStyle w:val="BodyText"/>
      </w:pPr>
      <w:r w:rsidRPr="001B2B2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A1A65">
        <w:rPr>
          <w:rStyle w:val="Hyperlink"/>
        </w:rPr>
        <w:t>https://vetnet.gov.au/Pages/TrainingDocs.aspx?q=a203ec5c-de7d-406b-b3e1-8f1a9b76e92e</w:t>
      </w:r>
      <w:r>
        <w:fldChar w:fldCharType="end"/>
      </w:r>
    </w:p>
    <w:p w:rsidR="00000000" w:rsidRPr="001B2B28" w:rsidP="00012D79">
      <w:pPr>
        <w:pStyle w:val="BodyText"/>
        <w:sectPr w:rsidSect="001B2B28">
          <w:headerReference w:type="default" r:id="rId10"/>
          <w:footerReference w:type="default" r:id="rId11"/>
          <w:pgSz w:w="11908" w:h="16833"/>
          <w:pgMar w:top="1702" w:right="1418" w:bottom="1702" w:left="1418" w:header="992" w:footer="992" w:gutter="0"/>
          <w:cols w:space="720"/>
          <w:noEndnote/>
          <w:docGrid w:linePitch="299"/>
        </w:sectPr>
      </w:pPr>
    </w:p>
    <w:p w:rsidR="00000000" w:rsidRPr="001B2B28" w:rsidP="001B2B28">
      <w:pPr>
        <w:pStyle w:val="SuperHeading"/>
      </w:pPr>
      <w:r w:rsidRPr="001B2B28">
        <w:t>Assessment Requirements for MSTGN2003 Work in the TCF industry</w:t>
      </w:r>
    </w:p>
    <w:p w:rsidR="00000000" w:rsidRPr="001B2B28" w:rsidP="001B2B28">
      <w:pPr>
        <w:pStyle w:val="Heading1"/>
      </w:pPr>
      <w:bookmarkStart w:id="11" w:name="O_931033"/>
      <w:bookmarkEnd w:id="11"/>
      <w:r w:rsidRPr="001B2B28">
        <w:t>Modification History</w:t>
      </w:r>
    </w:p>
    <w:p w:rsidR="00000000" w:rsidRPr="001B2B28" w:rsidP="00012D79">
      <w:pPr>
        <w:pStyle w:val="BodyText"/>
      </w:pPr>
      <w:r w:rsidRPr="001B2B28">
        <w:t xml:space="preserve">Release 1. Supersedes and is equivalent to LMTGN2003B Work in the Textiles, Clothing and Footwear industry </w:t>
      </w:r>
    </w:p>
    <w:p w:rsidR="00000000" w:rsidRPr="001B2B28" w:rsidP="001B2B28">
      <w:pPr>
        <w:pStyle w:val="Heading1"/>
      </w:pPr>
      <w:bookmarkStart w:id="12" w:name="O_931036"/>
      <w:bookmarkEnd w:id="12"/>
      <w:r w:rsidRPr="001B2B28">
        <w:t>Performance Evidence</w:t>
      </w:r>
    </w:p>
    <w:p w:rsidR="00000000" w:rsidRPr="001B2B28" w:rsidP="00012D79">
      <w:pPr>
        <w:pStyle w:val="BodyText"/>
      </w:pPr>
      <w:r w:rsidRPr="001B2B28">
        <w:t>Evidence required to demonstrate competence in this unit must be relevant to and satisfy the requirements of t</w:t>
      </w:r>
      <w:r w:rsidRPr="001B2B28">
        <w:t>he elements and performance criteria, and include:</w:t>
      </w:r>
    </w:p>
    <w:p w:rsidR="00000000" w:rsidRPr="001B2B28" w:rsidP="001B2B28">
      <w:pPr>
        <w:pStyle w:val="ListBullet"/>
      </w:pPr>
      <w:r w:rsidRPr="001B2B28">
        <w:t xml:space="preserve">reading and following work instructions, standard operating procedures (SOPs), safe work practices </w:t>
      </w:r>
    </w:p>
    <w:p w:rsidR="00000000" w:rsidRPr="001B2B28" w:rsidP="001B2B28">
      <w:pPr>
        <w:pStyle w:val="ListBullet"/>
      </w:pPr>
      <w:r w:rsidRPr="001B2B28">
        <w:t>recognising key industry sectors and industry bodies</w:t>
      </w:r>
    </w:p>
    <w:p w:rsidR="00000000" w:rsidRPr="001B2B28" w:rsidP="001B2B28">
      <w:pPr>
        <w:pStyle w:val="ListBullet"/>
      </w:pPr>
      <w:r w:rsidRPr="001B2B28">
        <w:t>identifying relevant standards, legislation and gui</w:t>
      </w:r>
      <w:r w:rsidRPr="001B2B28">
        <w:t xml:space="preserve">delines common to employment within identified TCF sector </w:t>
      </w:r>
    </w:p>
    <w:p w:rsidR="00000000" w:rsidRPr="001B2B28" w:rsidP="001B2B28">
      <w:pPr>
        <w:pStyle w:val="ListBullet"/>
      </w:pPr>
      <w:r w:rsidRPr="001B2B28">
        <w:t>identifying production processes and supply chains in identified TCF sector</w:t>
      </w:r>
    </w:p>
    <w:p w:rsidR="00000000" w:rsidRPr="001B2B28" w:rsidP="001B2B28">
      <w:pPr>
        <w:pStyle w:val="ListBullet"/>
      </w:pPr>
      <w:r w:rsidRPr="001B2B28">
        <w:t>recognising own skills and skills limitations, and identifying opportunities for further skill development</w:t>
      </w:r>
    </w:p>
    <w:p w:rsidR="00000000" w:rsidRPr="001B2B28" w:rsidP="001B2B28">
      <w:pPr>
        <w:pStyle w:val="ListBullet"/>
      </w:pPr>
      <w:r w:rsidRPr="001B2B28">
        <w:t>distinguishing</w:t>
      </w:r>
      <w:r w:rsidRPr="001B2B28">
        <w:t xml:space="preserve"> key roles, process and personnel in identified workplace</w:t>
      </w:r>
    </w:p>
    <w:p w:rsidR="00000000" w:rsidRPr="001B2B28" w:rsidP="001B2B28">
      <w:pPr>
        <w:pStyle w:val="ListBullet"/>
      </w:pPr>
      <w:r w:rsidRPr="001B2B28">
        <w:t>taking responsibility for own work tasks and role and monitoring own work against workplace standards</w:t>
      </w:r>
    </w:p>
    <w:p w:rsidR="00000000" w:rsidRPr="001B2B28" w:rsidP="001B2B28">
      <w:pPr>
        <w:pStyle w:val="ListBullet"/>
      </w:pPr>
      <w:r w:rsidRPr="001B2B28">
        <w:t>working effectively and cooperatively with others in work team.</w:t>
      </w:r>
    </w:p>
    <w:p w:rsidR="00000000" w:rsidRPr="001B2B28" w:rsidP="001B2B28">
      <w:pPr>
        <w:pStyle w:val="AllowPageBreak"/>
      </w:pPr>
    </w:p>
    <w:p w:rsidR="00000000" w:rsidRPr="001B2B28" w:rsidP="001B2B28">
      <w:pPr>
        <w:pStyle w:val="Heading1"/>
      </w:pPr>
      <w:bookmarkStart w:id="13" w:name="O_931035"/>
      <w:bookmarkEnd w:id="13"/>
      <w:r w:rsidRPr="001B2B28">
        <w:t>Knowledge Evide</w:t>
      </w:r>
      <w:r w:rsidRPr="001B2B28">
        <w:t>nce</w:t>
      </w:r>
    </w:p>
    <w:p w:rsidR="00000000" w:rsidRPr="001B2B28" w:rsidP="00012D79">
      <w:pPr>
        <w:pStyle w:val="BodyText"/>
      </w:pPr>
      <w:r w:rsidRPr="001B2B28">
        <w:t>Evidence must be provided that demonstrates knowledge of:</w:t>
      </w:r>
    </w:p>
    <w:p w:rsidR="00000000" w:rsidRPr="001B2B28" w:rsidP="001B2B28">
      <w:pPr>
        <w:pStyle w:val="ListBullet"/>
      </w:pPr>
      <w:r w:rsidRPr="001B2B28">
        <w:t>safe work practices and procedures and use of personal protective equipment (PPE)</w:t>
      </w:r>
    </w:p>
    <w:p w:rsidR="00000000" w:rsidRPr="001B2B28" w:rsidP="001B2B28">
      <w:pPr>
        <w:pStyle w:val="ListBullet"/>
      </w:pPr>
      <w:r w:rsidRPr="001B2B28">
        <w:t>key industry and workplace processes and representatives:</w:t>
      </w:r>
    </w:p>
    <w:p w:rsidR="00000000" w:rsidRPr="001B2B28" w:rsidP="001B2B28">
      <w:pPr>
        <w:pStyle w:val="ListBullet2"/>
      </w:pPr>
      <w:r w:rsidRPr="001B2B28">
        <w:t>industry associations</w:t>
      </w:r>
    </w:p>
    <w:p w:rsidR="00000000" w:rsidRPr="001B2B28" w:rsidP="001B2B28">
      <w:pPr>
        <w:pStyle w:val="ListBullet2"/>
      </w:pPr>
      <w:r w:rsidRPr="001B2B28">
        <w:t>unions</w:t>
      </w:r>
    </w:p>
    <w:p w:rsidR="00000000" w:rsidRPr="001B2B28" w:rsidP="001B2B28">
      <w:pPr>
        <w:pStyle w:val="ListBullet2"/>
      </w:pPr>
      <w:r w:rsidRPr="001B2B28">
        <w:t>relevant legislative bodies governing work health and safety (WHS), environmental protection and anti-discrimination</w:t>
      </w:r>
    </w:p>
    <w:p w:rsidR="00000000" w:rsidRPr="001B2B28" w:rsidP="001B2B28">
      <w:pPr>
        <w:pStyle w:val="ListBullet"/>
      </w:pPr>
      <w:r w:rsidRPr="001B2B28">
        <w:t>applicable legislation and guidelines:</w:t>
      </w:r>
    </w:p>
    <w:p w:rsidR="00000000" w:rsidRPr="001B2B28" w:rsidP="001B2B28">
      <w:pPr>
        <w:pStyle w:val="ListBullet2"/>
      </w:pPr>
      <w:r w:rsidRPr="001B2B28">
        <w:t>WHS</w:t>
      </w:r>
    </w:p>
    <w:p w:rsidR="00000000" w:rsidRPr="001B2B28" w:rsidP="001B2B28">
      <w:pPr>
        <w:pStyle w:val="ListBullet2"/>
      </w:pPr>
      <w:r w:rsidRPr="001B2B28">
        <w:t>anti-discrimination</w:t>
      </w:r>
    </w:p>
    <w:p w:rsidR="00000000" w:rsidRPr="001B2B28" w:rsidP="001B2B28">
      <w:pPr>
        <w:pStyle w:val="ListBullet2"/>
      </w:pPr>
      <w:r w:rsidRPr="001B2B28">
        <w:t>equal employment opportunities (EEO)</w:t>
      </w:r>
    </w:p>
    <w:p w:rsidR="00000000" w:rsidRPr="001B2B28" w:rsidP="001B2B28">
      <w:pPr>
        <w:pStyle w:val="ListBullet2"/>
      </w:pPr>
      <w:r w:rsidRPr="001B2B28">
        <w:t>workplace diversity</w:t>
      </w:r>
    </w:p>
    <w:p w:rsidR="00000000" w:rsidRPr="001B2B28" w:rsidP="001B2B28">
      <w:pPr>
        <w:pStyle w:val="ListBullet2"/>
      </w:pPr>
      <w:r w:rsidRPr="001B2B28">
        <w:t>freedom of inform</w:t>
      </w:r>
      <w:r w:rsidRPr="001B2B28">
        <w:t>ation</w:t>
      </w:r>
    </w:p>
    <w:p w:rsidR="00000000" w:rsidRPr="001B2B28" w:rsidP="001B2B28">
      <w:pPr>
        <w:pStyle w:val="ListBullet2"/>
      </w:pPr>
      <w:r w:rsidRPr="001B2B28">
        <w:t>environmental guidelines</w:t>
      </w:r>
    </w:p>
    <w:p w:rsidR="00000000" w:rsidRPr="001B2B28" w:rsidP="001B2B28">
      <w:pPr>
        <w:pStyle w:val="ListBullet2"/>
      </w:pPr>
      <w:r w:rsidRPr="001B2B28">
        <w:t>industrial relations awards</w:t>
      </w:r>
    </w:p>
    <w:p w:rsidR="00000000" w:rsidRPr="001B2B28" w:rsidP="001B2B28">
      <w:pPr>
        <w:pStyle w:val="ListBullet2"/>
      </w:pPr>
      <w:r w:rsidRPr="001B2B28">
        <w:t>Australian Standards</w:t>
      </w:r>
    </w:p>
    <w:p w:rsidR="00000000" w:rsidRPr="001B2B28" w:rsidP="001B2B28">
      <w:pPr>
        <w:pStyle w:val="ListBullet"/>
      </w:pPr>
      <w:r w:rsidRPr="001B2B28">
        <w:t>industry terminology and acronyms</w:t>
      </w:r>
    </w:p>
    <w:p w:rsidR="00000000" w:rsidRPr="001B2B28" w:rsidP="001B2B28">
      <w:pPr>
        <w:pStyle w:val="ListBullet"/>
      </w:pPr>
      <w:r w:rsidRPr="001B2B28">
        <w:t>TCF industry relevant sectors which relate to, overlap or are part of the supply chain to the workplace, such as:</w:t>
      </w:r>
    </w:p>
    <w:p w:rsidR="00000000" w:rsidRPr="001B2B28" w:rsidP="001B2B28">
      <w:pPr>
        <w:pStyle w:val="ListBullet2"/>
      </w:pPr>
      <w:r w:rsidRPr="001B2B28">
        <w:t>textile production</w:t>
      </w:r>
    </w:p>
    <w:p w:rsidR="00000000" w:rsidRPr="001B2B28" w:rsidP="001B2B28">
      <w:pPr>
        <w:pStyle w:val="ListBullet2"/>
      </w:pPr>
      <w:r w:rsidRPr="001B2B28">
        <w:t>early stage wool processing</w:t>
      </w:r>
    </w:p>
    <w:p w:rsidR="00000000" w:rsidRPr="001B2B28" w:rsidP="001B2B28">
      <w:pPr>
        <w:pStyle w:val="ListBullet2"/>
      </w:pPr>
      <w:r w:rsidRPr="001B2B28">
        <w:t>cotton ginning</w:t>
      </w:r>
    </w:p>
    <w:p w:rsidR="00000000" w:rsidRPr="001B2B28" w:rsidP="001B2B28">
      <w:pPr>
        <w:pStyle w:val="ListBullet2"/>
      </w:pPr>
      <w:r w:rsidRPr="001B2B28">
        <w:t>textile fabrication</w:t>
      </w:r>
    </w:p>
    <w:p w:rsidR="00000000" w:rsidRPr="001B2B28" w:rsidP="001B2B28">
      <w:pPr>
        <w:pStyle w:val="ListBullet2"/>
      </w:pPr>
      <w:r w:rsidRPr="001B2B28">
        <w:t>clothing production</w:t>
      </w:r>
    </w:p>
    <w:p w:rsidR="00000000" w:rsidRPr="001B2B28" w:rsidP="001B2B28">
      <w:pPr>
        <w:pStyle w:val="ListBullet2"/>
      </w:pPr>
      <w:r w:rsidRPr="001B2B28">
        <w:t>millinery</w:t>
      </w:r>
    </w:p>
    <w:p w:rsidR="00000000" w:rsidRPr="001B2B28" w:rsidP="001B2B28">
      <w:pPr>
        <w:pStyle w:val="ListBullet2"/>
      </w:pPr>
      <w:r w:rsidRPr="001B2B28">
        <w:t>footwear production</w:t>
      </w:r>
    </w:p>
    <w:p w:rsidR="00000000" w:rsidRPr="001B2B28" w:rsidP="001B2B28">
      <w:pPr>
        <w:pStyle w:val="ListBullet2"/>
      </w:pPr>
      <w:r w:rsidRPr="001B2B28">
        <w:t>footwear repair</w:t>
      </w:r>
    </w:p>
    <w:p w:rsidR="00000000" w:rsidRPr="001B2B28" w:rsidP="001B2B28">
      <w:pPr>
        <w:pStyle w:val="ListBullet2"/>
      </w:pPr>
      <w:r w:rsidRPr="001B2B28">
        <w:t>leather production</w:t>
      </w:r>
    </w:p>
    <w:p w:rsidR="00000000" w:rsidRPr="001B2B28" w:rsidP="001B2B28">
      <w:pPr>
        <w:pStyle w:val="ListBullet2"/>
      </w:pPr>
      <w:r w:rsidRPr="001B2B28">
        <w:t>laundry operations</w:t>
      </w:r>
    </w:p>
    <w:p w:rsidR="00000000" w:rsidRPr="001B2B28" w:rsidP="001B2B28">
      <w:pPr>
        <w:pStyle w:val="ListBullet2"/>
      </w:pPr>
      <w:r w:rsidRPr="001B2B28">
        <w:t>dry cleaning operations</w:t>
      </w:r>
    </w:p>
    <w:p w:rsidR="00000000" w:rsidRPr="001B2B28" w:rsidP="001B2B28">
      <w:pPr>
        <w:pStyle w:val="ListBullet2"/>
      </w:pPr>
      <w:r w:rsidRPr="001B2B28">
        <w:t>TCF mechanic/technician</w:t>
      </w:r>
    </w:p>
    <w:p w:rsidR="00000000" w:rsidRPr="001B2B28" w:rsidP="001B2B28">
      <w:pPr>
        <w:pStyle w:val="ListBullet2"/>
      </w:pPr>
      <w:r w:rsidRPr="001B2B28">
        <w:t>medical grade footwear</w:t>
      </w:r>
    </w:p>
    <w:p w:rsidR="00000000" w:rsidRPr="001B2B28" w:rsidP="001B2B28">
      <w:pPr>
        <w:pStyle w:val="ListBullet2"/>
      </w:pPr>
      <w:r w:rsidRPr="001B2B28">
        <w:t>technical textiles and non-wovens</w:t>
      </w:r>
    </w:p>
    <w:p w:rsidR="00000000" w:rsidRPr="001B2B28" w:rsidP="001B2B28">
      <w:pPr>
        <w:pStyle w:val="ListBullet2"/>
      </w:pPr>
      <w:r w:rsidRPr="001B2B28">
        <w:t>fashion design and technology</w:t>
      </w:r>
    </w:p>
    <w:p w:rsidR="00000000" w:rsidRPr="001B2B28" w:rsidP="001B2B28">
      <w:pPr>
        <w:pStyle w:val="ListBullet"/>
      </w:pPr>
      <w:r w:rsidRPr="001B2B28">
        <w:t>quality standards and practices:</w:t>
      </w:r>
    </w:p>
    <w:p w:rsidR="00000000" w:rsidRPr="001B2B28" w:rsidP="001B2B28">
      <w:pPr>
        <w:pStyle w:val="ListBullet2"/>
      </w:pPr>
      <w:r w:rsidRPr="001B2B28">
        <w:t>specified standards of production</w:t>
      </w:r>
    </w:p>
    <w:p w:rsidR="00000000" w:rsidRPr="001B2B28" w:rsidP="001B2B28">
      <w:pPr>
        <w:pStyle w:val="ListBullet2"/>
      </w:pPr>
      <w:r w:rsidRPr="001B2B28">
        <w:t>consistency in quality</w:t>
      </w:r>
    </w:p>
    <w:p w:rsidR="00000000" w:rsidRPr="001B2B28" w:rsidP="001B2B28">
      <w:pPr>
        <w:pStyle w:val="ListBullet2"/>
      </w:pPr>
      <w:r w:rsidRPr="001B2B28">
        <w:t>producing to specification</w:t>
      </w:r>
    </w:p>
    <w:p w:rsidR="00000000" w:rsidRPr="001B2B28" w:rsidP="001B2B28">
      <w:pPr>
        <w:pStyle w:val="ListBullet2"/>
      </w:pPr>
      <w:r w:rsidRPr="001B2B28">
        <w:t>working within specified time requirements</w:t>
      </w:r>
    </w:p>
    <w:p w:rsidR="00000000" w:rsidRPr="001B2B28" w:rsidP="001B2B28">
      <w:pPr>
        <w:pStyle w:val="ListBullet2"/>
      </w:pPr>
      <w:r w:rsidRPr="001B2B28">
        <w:t>meeting customer requirements</w:t>
      </w:r>
    </w:p>
    <w:p w:rsidR="00000000" w:rsidRPr="001B2B28" w:rsidP="001B2B28">
      <w:pPr>
        <w:pStyle w:val="ListBullet"/>
      </w:pPr>
      <w:r w:rsidRPr="001B2B28">
        <w:t>job descriptor</w:t>
      </w:r>
    </w:p>
    <w:p w:rsidR="00000000" w:rsidRPr="001B2B28" w:rsidP="001B2B28">
      <w:pPr>
        <w:pStyle w:val="ListBullet"/>
      </w:pPr>
      <w:r w:rsidRPr="001B2B28">
        <w:t>roles and functions of  departments/sections/units</w:t>
      </w:r>
    </w:p>
    <w:p w:rsidR="00000000" w:rsidRPr="001B2B28" w:rsidP="001B2B28">
      <w:pPr>
        <w:pStyle w:val="ListBullet"/>
      </w:pPr>
      <w:r w:rsidRPr="001B2B28">
        <w:t>supply chain:</w:t>
      </w:r>
    </w:p>
    <w:p w:rsidR="00000000" w:rsidRPr="001B2B28" w:rsidP="001B2B28">
      <w:pPr>
        <w:pStyle w:val="ListBullet2"/>
      </w:pPr>
      <w:r w:rsidRPr="001B2B28">
        <w:t>product flow from raw materials to production, distribution, marketing and sale</w:t>
      </w:r>
    </w:p>
    <w:p w:rsidR="00000000" w:rsidRPr="001B2B28" w:rsidP="001B2B28">
      <w:pPr>
        <w:pStyle w:val="ListBullet2"/>
      </w:pPr>
      <w:r w:rsidRPr="001B2B28">
        <w:t>customers and suppliers</w:t>
      </w:r>
    </w:p>
    <w:p w:rsidR="00000000" w:rsidRPr="001B2B28" w:rsidP="001B2B28">
      <w:pPr>
        <w:pStyle w:val="ListBullet"/>
      </w:pPr>
      <w:r w:rsidRPr="001B2B28">
        <w:t>WHS practices, including hazard identification and control measures</w:t>
      </w:r>
    </w:p>
    <w:p w:rsidR="00000000" w:rsidRPr="001B2B28" w:rsidP="001B2B28">
      <w:pPr>
        <w:pStyle w:val="ListBullet"/>
      </w:pPr>
      <w:r w:rsidRPr="001B2B28">
        <w:t>workplace procedures</w:t>
      </w:r>
    </w:p>
    <w:p w:rsidR="00000000" w:rsidRPr="001B2B28" w:rsidP="001B2B28">
      <w:pPr>
        <w:pStyle w:val="ListBullet"/>
      </w:pPr>
      <w:r w:rsidRPr="001B2B28">
        <w:t>recording and reporting practices.</w:t>
      </w:r>
    </w:p>
    <w:p w:rsidR="00000000" w:rsidRPr="001B2B28" w:rsidP="001B2B28">
      <w:pPr>
        <w:pStyle w:val="AllowPageBreak"/>
      </w:pPr>
    </w:p>
    <w:p w:rsidR="00000000" w:rsidRPr="001B2B28" w:rsidP="001B2B28">
      <w:pPr>
        <w:pStyle w:val="Heading1"/>
      </w:pPr>
      <w:bookmarkStart w:id="14" w:name="O_931034"/>
      <w:bookmarkEnd w:id="14"/>
      <w:r w:rsidRPr="001B2B28">
        <w:t>Assessment Conditions</w:t>
      </w:r>
    </w:p>
    <w:p w:rsidR="00000000" w:rsidRPr="001B2B28" w:rsidP="001B2B28">
      <w:pPr>
        <w:pStyle w:val="ListBullet"/>
      </w:pPr>
      <w:r w:rsidRPr="001B2B28">
        <w:t>Assessors must:</w:t>
      </w:r>
    </w:p>
    <w:p w:rsidR="00000000" w:rsidRPr="001B2B28" w:rsidP="001B2B28">
      <w:pPr>
        <w:pStyle w:val="ListBullet2"/>
      </w:pPr>
      <w:r w:rsidRPr="001B2B28">
        <w:t>satisfy the assessor competency requirements that are in place at the time of the assessment, as set by the VET regulator</w:t>
      </w:r>
    </w:p>
    <w:p w:rsidR="00000000" w:rsidRPr="001B2B28" w:rsidP="001B2B28">
      <w:pPr>
        <w:pStyle w:val="ListBullet2"/>
      </w:pPr>
      <w:r w:rsidRPr="001B2B28">
        <w:t>have vocational compe</w:t>
      </w:r>
      <w:r w:rsidRPr="001B2B28">
        <w:t>tency in working in the TCF industry, at least to the level being assessed, with relevant industry knowledge and experience.</w:t>
      </w:r>
    </w:p>
    <w:p w:rsidR="00000000" w:rsidRPr="001B2B28" w:rsidP="001B2B28">
      <w:pPr>
        <w:pStyle w:val="ListBullet"/>
      </w:pPr>
      <w:r w:rsidRPr="001B2B28">
        <w:t>Assessment should occur in operational workplace situations. Where this is not possible, or where personal safety or environmental</w:t>
      </w:r>
      <w:r w:rsidRPr="001B2B28">
        <w:t xml:space="preserve"> damage are limiting factors, assessment must occur in a sufficiently rigorous simulated environment reflecting realistic operational workplace conditions. This must cover all aspects of workplace performance, including environment, task skills, task manag</w:t>
      </w:r>
      <w:r w:rsidRPr="001B2B28">
        <w:t>ement skills, contingency management skills and job role environment skills.</w:t>
      </w:r>
    </w:p>
    <w:p w:rsidR="00000000" w:rsidRPr="001B2B28" w:rsidP="001B2B28">
      <w:pPr>
        <w:pStyle w:val="ListBullet"/>
      </w:pPr>
      <w:r w:rsidRPr="001B2B28">
        <w:t>Assessment processes and techniques must be appropriate to the language, literacy and numeracy requirements of the work being performed and the needs of the candidate.</w:t>
      </w:r>
    </w:p>
    <w:p w:rsidR="00000000" w:rsidRPr="001B2B28" w:rsidP="001B2B28">
      <w:pPr>
        <w:pStyle w:val="ListBullet"/>
      </w:pPr>
      <w:r w:rsidRPr="001B2B28">
        <w:t xml:space="preserve">Conditions </w:t>
      </w:r>
      <w:r w:rsidRPr="001B2B28">
        <w:t>for assessment must include access to all tools, equipment, materials and documentation required, including relevant workplace procedures, product and manufacturing specifications associated with this unit.</w:t>
      </w:r>
    </w:p>
    <w:p w:rsidR="00000000" w:rsidRPr="001B2B28" w:rsidP="001B2B28">
      <w:pPr>
        <w:pStyle w:val="ListBullet"/>
      </w:pPr>
      <w:r w:rsidRPr="001B2B28">
        <w:t>The unit is applicable to all TCF sectors and assessment must ensure it is delivered to suit the industry it is being applied to.</w:t>
      </w:r>
    </w:p>
    <w:p w:rsidR="00000000" w:rsidRPr="001B2B28" w:rsidP="001B2B28">
      <w:pPr>
        <w:pStyle w:val="AllowPageBreak"/>
      </w:pPr>
    </w:p>
    <w:p w:rsidR="00000000" w:rsidRPr="001B2B28" w:rsidP="001B2B28">
      <w:pPr>
        <w:pStyle w:val="Heading1"/>
      </w:pPr>
      <w:bookmarkStart w:id="15" w:name="O_931032"/>
      <w:bookmarkEnd w:id="15"/>
      <w:r w:rsidRPr="001B2B28">
        <w:t>Links</w:t>
      </w:r>
    </w:p>
    <w:p w:rsidR="00000000" w:rsidRPr="001B2B28" w:rsidP="00012D79">
      <w:pPr>
        <w:pStyle w:val="BodyText"/>
      </w:pPr>
      <w:r w:rsidRPr="001B2B2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A1A65">
        <w:rPr>
          <w:rStyle w:val="Hyperlink"/>
        </w:rPr>
        <w:t>https://vetnet.gov.au/Pages/TrainingDocs.aspx?q=a203ec5c-de7d-406b-b3e1-8f1a9b76e92e</w:t>
      </w:r>
      <w:r>
        <w:fldChar w:fldCharType="end"/>
      </w:r>
    </w:p>
    <w:p w:rsidR="00000000" w:rsidRPr="001B2B28" w:rsidP="001B2B28"/>
    <w:sectPr w:rsidSect="001B2B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8" w:rsidRPr="00012D79" w:rsidP="00012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79" w:rsidP="001B2B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12D79" w:rsidP="001B2B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12D79" w:rsidP="001B2B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8" w:rsidP="001B2B28">
    <w:pPr>
      <w:pStyle w:val="Footer"/>
      <w:framePr w:wrap="around"/>
    </w:pPr>
    <w:r>
      <w:fldChar w:fldCharType="begin"/>
    </w:r>
    <w:r>
      <w:instrText xml:space="preserve"> DOCPROPERTY  Subject  \* MERGEFORMAT </w:instrText>
    </w:r>
    <w:r>
      <w:fldChar w:fldCharType="separate"/>
    </w:r>
    <w:r w:rsidR="00012D79">
      <w:t>Approved</w:t>
    </w:r>
    <w:r w:rsidR="00012D79">
      <w:fldChar w:fldCharType="end"/>
    </w:r>
    <w:r>
      <w:tab/>
      <w:t xml:space="preserve">Page </w:t>
    </w:r>
    <w:r>
      <w:fldChar w:fldCharType="begin"/>
    </w:r>
    <w:r>
      <w:instrText xml:space="preserve"> PAGE  \* Arabic  \* MERGEFORMAT </w:instrText>
    </w:r>
    <w:r>
      <w:fldChar w:fldCharType="separate"/>
    </w:r>
    <w:r w:rsidR="00012D7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2D79">
      <w:rPr>
        <w:noProof/>
      </w:rPr>
      <w:t>6</w:t>
    </w:r>
    <w:r>
      <w:rPr>
        <w:noProof/>
      </w:rPr>
      <w:fldChar w:fldCharType="end"/>
    </w:r>
  </w:p>
  <w:p w:rsidR="001B2B28" w:rsidP="001B2B28">
    <w:pPr>
      <w:pStyle w:val="Footer"/>
      <w:framePr w:wrap="around"/>
    </w:pPr>
    <w:r>
      <w:t xml:space="preserve">© Commonwealth of Australia, </w:t>
    </w:r>
    <w:r>
      <w:fldChar w:fldCharType="begin"/>
    </w:r>
    <w:r>
      <w:instrText xml:space="preserve"> DATE  \@ "yyyy"  \* MERGEFORMAT </w:instrText>
    </w:r>
    <w:r>
      <w:fldChar w:fldCharType="separate"/>
    </w:r>
    <w:r w:rsidR="00012D79">
      <w:rPr>
        <w:noProof/>
      </w:rPr>
      <w:t>2025</w:t>
    </w:r>
    <w:r>
      <w:fldChar w:fldCharType="end"/>
    </w:r>
    <w:r>
      <w:tab/>
    </w:r>
    <w:r>
      <w:fldChar w:fldCharType="begin"/>
    </w:r>
    <w:r>
      <w:instrText xml:space="preserve"> DOCPROPERTY  Author  \* MERGEFORMAT </w:instrText>
    </w:r>
    <w:r>
      <w:fldChar w:fldCharType="separate"/>
    </w:r>
    <w:r w:rsidR="00012D79">
      <w:t>Skills Insight</w:t>
    </w:r>
    <w:r w:rsidR="00012D79">
      <w:fldChar w:fldCharType="end"/>
    </w:r>
  </w:p>
  <w:p w:rsidR="001B2B28" w:rsidP="001B2B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B28" w:rsidRPr="00012D79" w:rsidP="00012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79" w:rsidRPr="002D2AF8" w:rsidP="001B2B28">
    <w:pPr>
      <w:pStyle w:val="Header"/>
      <w:framePr w:wrap="around"/>
    </w:pPr>
    <w:r>
      <w:fldChar w:fldCharType="begin"/>
    </w:r>
    <w:r>
      <w:instrText xml:space="preserve"> TITLE   \* MERGEFORMAT </w:instrText>
    </w:r>
    <w:r>
      <w:fldChar w:fldCharType="separate"/>
    </w:r>
    <w:r>
      <w:t>MSTGN2003 Work in the TCF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2D79" w:rsidP="001B2B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8" w:rsidRPr="002D2AF8" w:rsidP="001B2B28">
    <w:pPr>
      <w:pStyle w:val="Header"/>
      <w:framePr w:wrap="around"/>
    </w:pPr>
    <w:r>
      <w:fldChar w:fldCharType="begin"/>
    </w:r>
    <w:r>
      <w:instrText xml:space="preserve"> TITLE   \* MERGEFORMAT </w:instrText>
    </w:r>
    <w:r>
      <w:fldChar w:fldCharType="separate"/>
    </w:r>
    <w:r w:rsidR="00012D79">
      <w:t>MSTGN2003 Work in the TCF industry</w:t>
    </w:r>
    <w:r w:rsidR="00012D79">
      <w:fldChar w:fldCharType="end"/>
    </w:r>
    <w:r>
      <w:tab/>
      <w:t xml:space="preserve">Date this document was generated: </w:t>
    </w:r>
    <w:r>
      <w:fldChar w:fldCharType="begin"/>
    </w:r>
    <w:r>
      <w:instrText xml:space="preserve"> CREATEDATE  \@ "d MMMM yyyy"  \* MERGEFORMAT </w:instrText>
    </w:r>
    <w:r>
      <w:fldChar w:fldCharType="separate"/>
    </w:r>
    <w:r w:rsidR="00012D79">
      <w:rPr>
        <w:noProof/>
      </w:rPr>
      <w:t>2 March 2025</w:t>
    </w:r>
    <w:r>
      <w:fldChar w:fldCharType="end"/>
    </w:r>
  </w:p>
  <w:p w:rsidR="001B2B28" w:rsidP="001B2B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CC9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2EF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528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B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B28"/>
    <w:pPr>
      <w:spacing w:before="360" w:after="60"/>
      <w:outlineLvl w:val="0"/>
    </w:pPr>
    <w:rPr>
      <w:sz w:val="32"/>
    </w:rPr>
  </w:style>
  <w:style w:type="paragraph" w:styleId="Heading2">
    <w:name w:val="heading 2"/>
    <w:basedOn w:val="HeadingBase"/>
    <w:next w:val="BodyText"/>
    <w:link w:val="Heading2Char"/>
    <w:qFormat/>
    <w:rsid w:val="001B2B28"/>
    <w:pPr>
      <w:keepLines/>
      <w:spacing w:before="240" w:after="120"/>
      <w:outlineLvl w:val="1"/>
    </w:pPr>
    <w:rPr>
      <w:sz w:val="28"/>
      <w:szCs w:val="40"/>
    </w:rPr>
  </w:style>
  <w:style w:type="paragraph" w:styleId="Heading3">
    <w:name w:val="heading 3"/>
    <w:basedOn w:val="HeadingBase"/>
    <w:next w:val="BodyText"/>
    <w:link w:val="Heading3Char"/>
    <w:qFormat/>
    <w:rsid w:val="001B2B28"/>
    <w:pPr>
      <w:spacing w:before="180" w:after="120"/>
      <w:outlineLvl w:val="2"/>
    </w:pPr>
    <w:rPr>
      <w:spacing w:val="-10"/>
      <w:kern w:val="32"/>
    </w:rPr>
  </w:style>
  <w:style w:type="paragraph" w:styleId="Heading4">
    <w:name w:val="heading 4"/>
    <w:basedOn w:val="HeadingBase"/>
    <w:next w:val="BodyText"/>
    <w:link w:val="Heading4Char"/>
    <w:qFormat/>
    <w:rsid w:val="001B2B28"/>
    <w:pPr>
      <w:spacing w:before="160" w:after="120"/>
      <w:outlineLvl w:val="3"/>
    </w:pPr>
    <w:rPr>
      <w:sz w:val="22"/>
    </w:rPr>
  </w:style>
  <w:style w:type="paragraph" w:styleId="Heading5">
    <w:name w:val="heading 5"/>
    <w:basedOn w:val="HeadingBase"/>
    <w:next w:val="Normal"/>
    <w:link w:val="Heading5Char"/>
    <w:qFormat/>
    <w:rsid w:val="001B2B28"/>
    <w:pPr>
      <w:spacing w:before="80"/>
      <w:outlineLvl w:val="4"/>
    </w:pPr>
    <w:rPr>
      <w:color w:val="918585"/>
      <w:sz w:val="20"/>
    </w:rPr>
  </w:style>
  <w:style w:type="paragraph" w:styleId="Heading6">
    <w:name w:val="heading 6"/>
    <w:basedOn w:val="HeadingBase"/>
    <w:next w:val="Normal"/>
    <w:link w:val="Heading6Char"/>
    <w:qFormat/>
    <w:rsid w:val="001B2B28"/>
    <w:pPr>
      <w:spacing w:before="60"/>
      <w:outlineLvl w:val="5"/>
    </w:pPr>
    <w:rPr>
      <w:color w:val="918585"/>
      <w:sz w:val="20"/>
    </w:rPr>
  </w:style>
  <w:style w:type="paragraph" w:styleId="Heading7">
    <w:name w:val="heading 7"/>
    <w:basedOn w:val="Normal"/>
    <w:next w:val="Normal"/>
    <w:link w:val="Heading7Char"/>
    <w:qFormat/>
    <w:rsid w:val="001B2B28"/>
    <w:pPr>
      <w:ind w:left="720"/>
      <w:outlineLvl w:val="6"/>
    </w:pPr>
    <w:rPr>
      <w:i/>
    </w:rPr>
  </w:style>
  <w:style w:type="paragraph" w:styleId="Heading8">
    <w:name w:val="heading 8"/>
    <w:basedOn w:val="Normal"/>
    <w:next w:val="Normal"/>
    <w:link w:val="Heading8Char"/>
    <w:qFormat/>
    <w:rsid w:val="001B2B28"/>
    <w:pPr>
      <w:ind w:left="720"/>
      <w:outlineLvl w:val="7"/>
    </w:pPr>
    <w:rPr>
      <w:i/>
    </w:rPr>
  </w:style>
  <w:style w:type="paragraph" w:styleId="Heading9">
    <w:name w:val="heading 9"/>
    <w:basedOn w:val="Normal"/>
    <w:next w:val="Normal"/>
    <w:link w:val="Heading9Char"/>
    <w:qFormat/>
    <w:rsid w:val="001B2B28"/>
    <w:pPr>
      <w:ind w:left="720"/>
      <w:outlineLvl w:val="8"/>
    </w:pPr>
    <w:rPr>
      <w:i/>
    </w:rPr>
  </w:style>
  <w:style w:type="character" w:default="1" w:styleId="DefaultParagraphFont">
    <w:name w:val="Default Paragraph Font"/>
    <w:uiPriority w:val="1"/>
    <w:unhideWhenUsed/>
    <w:rsid w:val="001B2B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B28"/>
  </w:style>
  <w:style w:type="character" w:customStyle="1" w:styleId="Heading1Char">
    <w:name w:val="Heading 1 Char"/>
    <w:basedOn w:val="DefaultParagraphFont"/>
    <w:link w:val="Heading1"/>
    <w:rsid w:val="001B2B28"/>
    <w:rPr>
      <w:rFonts w:ascii="Times New Roman" w:eastAsia="Times New Roman" w:hAnsi="Times New Roman" w:cs="Times New Roman"/>
      <w:b/>
      <w:sz w:val="32"/>
      <w:szCs w:val="20"/>
      <w:lang w:eastAsia="en-US"/>
    </w:rPr>
  </w:style>
  <w:style w:type="paragraph" w:styleId="BodyText">
    <w:name w:val="Body Text"/>
    <w:basedOn w:val="Normal"/>
    <w:link w:val="BodyTextChar"/>
    <w:rsid w:val="001B2B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B28"/>
    <w:rPr>
      <w:rFonts w:ascii="Times New Roman" w:eastAsia="Times New Roman" w:hAnsi="Times New Roman" w:cs="Times New Roman"/>
      <w:sz w:val="24"/>
      <w:lang w:eastAsia="en-US"/>
    </w:rPr>
  </w:style>
  <w:style w:type="paragraph" w:styleId="ListBullet">
    <w:name w:val="List Bullet"/>
    <w:basedOn w:val="List"/>
    <w:rsid w:val="001B2B28"/>
    <w:pPr>
      <w:numPr>
        <w:numId w:val="12"/>
      </w:numPr>
      <w:tabs>
        <w:tab w:val="clear" w:pos="340"/>
      </w:tabs>
      <w:spacing w:before="40" w:after="40"/>
    </w:pPr>
  </w:style>
  <w:style w:type="character" w:customStyle="1" w:styleId="SpecialBold">
    <w:name w:val="Special Bold"/>
    <w:basedOn w:val="DefaultParagraphFont"/>
    <w:rsid w:val="001B2B28"/>
    <w:rPr>
      <w:b/>
      <w:spacing w:val="0"/>
    </w:rPr>
  </w:style>
  <w:style w:type="paragraph" w:styleId="ListBullet2">
    <w:name w:val="List Bullet 2"/>
    <w:basedOn w:val="List2"/>
    <w:rsid w:val="001B2B28"/>
    <w:pPr>
      <w:numPr>
        <w:numId w:val="13"/>
      </w:numPr>
      <w:tabs>
        <w:tab w:val="clear" w:pos="680"/>
      </w:tabs>
    </w:pPr>
  </w:style>
  <w:style w:type="paragraph" w:customStyle="1" w:styleId="SuperHeading">
    <w:name w:val="SuperHeading"/>
    <w:basedOn w:val="Normal"/>
    <w:rsid w:val="001B2B28"/>
    <w:pPr>
      <w:spacing w:before="240" w:after="120"/>
      <w:outlineLvl w:val="0"/>
    </w:pPr>
    <w:rPr>
      <w:rFonts w:ascii="Times New Roman" w:hAnsi="Times New Roman"/>
      <w:b/>
      <w:sz w:val="32"/>
    </w:rPr>
  </w:style>
  <w:style w:type="paragraph" w:customStyle="1" w:styleId="AllowPageBreak">
    <w:name w:val="AllowPageBreak"/>
    <w:rsid w:val="001B2B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B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B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B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B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B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B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B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B28"/>
    <w:rPr>
      <w:rFonts w:ascii="Courier New" w:eastAsia="Times New Roman" w:hAnsi="Courier New" w:cs="Times New Roman"/>
      <w:i/>
      <w:szCs w:val="20"/>
      <w:lang w:eastAsia="en-US"/>
    </w:rPr>
  </w:style>
  <w:style w:type="paragraph" w:customStyle="1" w:styleId="HeadingBase">
    <w:name w:val="Heading Base"/>
    <w:rsid w:val="001B2B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B28"/>
    <w:pPr>
      <w:tabs>
        <w:tab w:val="right" w:leader="dot" w:pos="9072"/>
      </w:tabs>
      <w:ind w:left="567"/>
    </w:pPr>
    <w:rPr>
      <w:szCs w:val="22"/>
    </w:rPr>
  </w:style>
  <w:style w:type="paragraph" w:customStyle="1" w:styleId="TOCBase">
    <w:name w:val="TOC Base"/>
    <w:rsid w:val="001B2B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B28"/>
    <w:pPr>
      <w:tabs>
        <w:tab w:val="right" w:leader="dot" w:pos="9072"/>
      </w:tabs>
      <w:spacing w:before="40" w:after="40"/>
      <w:ind w:left="284"/>
    </w:pPr>
    <w:rPr>
      <w:rFonts w:ascii="Times New Roman" w:hAnsi="Times New Roman"/>
    </w:rPr>
  </w:style>
  <w:style w:type="paragraph" w:styleId="TOC1">
    <w:name w:val="toc 1"/>
    <w:basedOn w:val="TOCBase"/>
    <w:next w:val="Normal"/>
    <w:rsid w:val="001B2B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B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B28"/>
    <w:rPr>
      <w:rFonts w:ascii="Times New Roman" w:eastAsia="Times New Roman" w:hAnsi="Times New Roman" w:cs="Times New Roman"/>
      <w:sz w:val="16"/>
      <w:lang w:eastAsia="en-US"/>
    </w:rPr>
  </w:style>
  <w:style w:type="paragraph" w:styleId="Title">
    <w:name w:val="Title"/>
    <w:basedOn w:val="HeadingBase"/>
    <w:link w:val="TitleChar"/>
    <w:qFormat/>
    <w:rsid w:val="001B2B28"/>
    <w:pPr>
      <w:spacing w:before="5040"/>
      <w:jc w:val="center"/>
    </w:pPr>
    <w:rPr>
      <w:sz w:val="48"/>
      <w:szCs w:val="72"/>
      <w:lang w:val="en-US"/>
    </w:rPr>
  </w:style>
  <w:style w:type="character" w:customStyle="1" w:styleId="TitleChar">
    <w:name w:val="Title Char"/>
    <w:basedOn w:val="DefaultParagraphFont"/>
    <w:link w:val="Title"/>
    <w:rsid w:val="001B2B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B28"/>
    <w:pPr>
      <w:tabs>
        <w:tab w:val="left" w:pos="3600"/>
        <w:tab w:val="left" w:pos="3958"/>
      </w:tabs>
    </w:pPr>
  </w:style>
  <w:style w:type="paragraph" w:styleId="List">
    <w:name w:val="List"/>
    <w:basedOn w:val="BodyText"/>
    <w:next w:val="BodyText"/>
    <w:rsid w:val="001B2B28"/>
    <w:pPr>
      <w:tabs>
        <w:tab w:val="left" w:pos="340"/>
      </w:tabs>
      <w:spacing w:before="60" w:after="60"/>
      <w:ind w:left="340" w:hanging="340"/>
    </w:pPr>
  </w:style>
  <w:style w:type="paragraph" w:customStyle="1" w:styleId="Note">
    <w:name w:val="Note"/>
    <w:basedOn w:val="BodyText"/>
    <w:rsid w:val="001B2B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B28"/>
    <w:pPr>
      <w:framePr w:wrap="auto" w:hAnchor="text" w:y="6049"/>
    </w:pPr>
    <w:rPr>
      <w:color w:val="000000"/>
      <w:sz w:val="40"/>
    </w:rPr>
  </w:style>
  <w:style w:type="paragraph" w:customStyle="1" w:styleId="TOCTitle">
    <w:name w:val="TOCTitle"/>
    <w:basedOn w:val="Heading1"/>
    <w:rsid w:val="001B2B28"/>
    <w:pPr>
      <w:spacing w:after="240"/>
      <w:jc w:val="center"/>
      <w:outlineLvl w:val="9"/>
    </w:pPr>
    <w:rPr>
      <w:caps/>
    </w:rPr>
  </w:style>
  <w:style w:type="paragraph" w:customStyle="1" w:styleId="Version">
    <w:name w:val="Version"/>
    <w:rsid w:val="001B2B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B28"/>
    <w:pPr>
      <w:keepNext w:val="0"/>
      <w:tabs>
        <w:tab w:val="right" w:pos="4176"/>
      </w:tabs>
      <w:ind w:left="198" w:hanging="198"/>
    </w:pPr>
    <w:rPr>
      <w:rFonts w:ascii="Garamond" w:hAnsi="Garamond"/>
    </w:rPr>
  </w:style>
  <w:style w:type="paragraph" w:styleId="IndexHeading">
    <w:name w:val="index heading"/>
    <w:basedOn w:val="Normal"/>
    <w:next w:val="Index1"/>
    <w:semiHidden/>
    <w:rsid w:val="001B2B28"/>
    <w:pPr>
      <w:spacing w:before="120" w:after="120"/>
    </w:pPr>
    <w:rPr>
      <w:rFonts w:ascii="Arial" w:hAnsi="Arial"/>
      <w:b/>
      <w:color w:val="918585"/>
      <w:sz w:val="24"/>
    </w:rPr>
  </w:style>
  <w:style w:type="paragraph" w:styleId="Header">
    <w:name w:val="header"/>
    <w:basedOn w:val="Normal"/>
    <w:link w:val="HeaderChar"/>
    <w:rsid w:val="001B2B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B28"/>
    <w:rPr>
      <w:rFonts w:ascii="Times New Roman" w:eastAsia="Times New Roman" w:hAnsi="Times New Roman" w:cs="Times New Roman"/>
      <w:sz w:val="16"/>
      <w:szCs w:val="20"/>
      <w:lang w:val="en-GB" w:eastAsia="en-US"/>
    </w:rPr>
  </w:style>
  <w:style w:type="paragraph" w:customStyle="1" w:styleId="Chapter">
    <w:name w:val="Chapter"/>
    <w:basedOn w:val="Normal"/>
    <w:rsid w:val="001B2B28"/>
    <w:pPr>
      <w:spacing w:before="240"/>
    </w:pPr>
    <w:rPr>
      <w:rFonts w:ascii="Times New Roman" w:hAnsi="Times New Roman"/>
      <w:smallCaps/>
      <w:spacing w:val="80"/>
      <w:sz w:val="28"/>
    </w:rPr>
  </w:style>
  <w:style w:type="paragraph" w:customStyle="1" w:styleId="InChapter">
    <w:name w:val="InChapter"/>
    <w:basedOn w:val="Heading3"/>
    <w:rsid w:val="001B2B28"/>
    <w:pPr>
      <w:spacing w:after="240"/>
      <w:outlineLvl w:val="9"/>
    </w:pPr>
    <w:rPr>
      <w:noProof/>
    </w:rPr>
  </w:style>
  <w:style w:type="paragraph" w:styleId="Index2">
    <w:name w:val="index 2"/>
    <w:basedOn w:val="Normal"/>
    <w:next w:val="Normal"/>
    <w:semiHidden/>
    <w:rsid w:val="001B2B28"/>
    <w:pPr>
      <w:tabs>
        <w:tab w:val="right" w:pos="4176"/>
      </w:tabs>
      <w:ind w:left="568" w:hanging="284"/>
    </w:pPr>
    <w:rPr>
      <w:rFonts w:ascii="Garamond" w:hAnsi="Garamond"/>
    </w:rPr>
  </w:style>
  <w:style w:type="paragraph" w:customStyle="1" w:styleId="Byline">
    <w:name w:val="Byline"/>
    <w:rsid w:val="001B2B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B28"/>
    <w:pPr>
      <w:tabs>
        <w:tab w:val="clear" w:pos="3600"/>
        <w:tab w:val="clear" w:pos="3958"/>
      </w:tabs>
      <w:jc w:val="right"/>
    </w:pPr>
  </w:style>
  <w:style w:type="character" w:styleId="Emphasis">
    <w:name w:val="Emphasis"/>
    <w:basedOn w:val="DefaultParagraphFont"/>
    <w:qFormat/>
    <w:rsid w:val="001B2B28"/>
    <w:rPr>
      <w:i/>
    </w:rPr>
  </w:style>
  <w:style w:type="paragraph" w:styleId="Caption">
    <w:name w:val="caption"/>
    <w:basedOn w:val="BodyText"/>
    <w:next w:val="Normal"/>
    <w:qFormat/>
    <w:rsid w:val="001B2B28"/>
    <w:pPr>
      <w:framePr w:w="2268" w:hSpace="181" w:vSpace="181" w:wrap="around" w:vAnchor="text" w:hAnchor="page" w:x="1135" w:y="285" w:anchorLock="1"/>
    </w:pPr>
    <w:rPr>
      <w:i/>
    </w:rPr>
  </w:style>
  <w:style w:type="paragraph" w:customStyle="1" w:styleId="MiniTOCTitle">
    <w:name w:val="MiniTOCTitle"/>
    <w:basedOn w:val="Heading4"/>
    <w:rsid w:val="001B2B28"/>
    <w:pPr>
      <w:spacing w:before="240"/>
      <w:outlineLvl w:val="9"/>
    </w:pPr>
    <w:rPr>
      <w:noProof/>
      <w:sz w:val="24"/>
    </w:rPr>
  </w:style>
  <w:style w:type="paragraph" w:customStyle="1" w:styleId="MiniTOCItem">
    <w:name w:val="MiniTOCItem"/>
    <w:basedOn w:val="ListBullet"/>
    <w:rsid w:val="001B2B28"/>
    <w:pPr>
      <w:numPr>
        <w:numId w:val="0"/>
      </w:numPr>
      <w:tabs>
        <w:tab w:val="right" w:leader="dot" w:pos="6521"/>
      </w:tabs>
      <w:spacing w:before="0" w:after="0"/>
    </w:pPr>
  </w:style>
  <w:style w:type="paragraph" w:customStyle="1" w:styleId="TOFTitle">
    <w:name w:val="TOFTitle"/>
    <w:basedOn w:val="TOCTitle"/>
    <w:rsid w:val="001B2B28"/>
  </w:style>
  <w:style w:type="paragraph" w:styleId="TableofFigures">
    <w:name w:val="table of figures"/>
    <w:basedOn w:val="Normal"/>
    <w:next w:val="Normal"/>
    <w:semiHidden/>
    <w:rsid w:val="001B2B28"/>
    <w:pPr>
      <w:tabs>
        <w:tab w:val="right" w:leader="dot" w:pos="9072"/>
      </w:tabs>
      <w:ind w:left="970" w:hanging="403"/>
    </w:pPr>
    <w:rPr>
      <w:rFonts w:ascii="Times New Roman" w:hAnsi="Times New Roman"/>
      <w:b/>
    </w:rPr>
  </w:style>
  <w:style w:type="paragraph" w:styleId="ListNumber">
    <w:name w:val="List Number"/>
    <w:basedOn w:val="List"/>
    <w:rsid w:val="001B2B28"/>
    <w:pPr>
      <w:numPr>
        <w:numId w:val="15"/>
      </w:numPr>
      <w:tabs>
        <w:tab w:val="clear" w:pos="340"/>
      </w:tabs>
    </w:pPr>
  </w:style>
  <w:style w:type="character" w:customStyle="1" w:styleId="WingdingSymbols">
    <w:name w:val="Wingding Symbols"/>
    <w:rsid w:val="001B2B28"/>
    <w:rPr>
      <w:rFonts w:ascii="Wingdings" w:hAnsi="Wingdings"/>
    </w:rPr>
  </w:style>
  <w:style w:type="paragraph" w:customStyle="1" w:styleId="TableHeading">
    <w:name w:val="Table Heading"/>
    <w:basedOn w:val="HeadingBase"/>
    <w:rsid w:val="001B2B28"/>
    <w:pPr>
      <w:keepLines/>
      <w:pBdr>
        <w:bottom w:val="single" w:sz="6" w:space="1" w:color="918585"/>
      </w:pBdr>
      <w:spacing w:before="240"/>
    </w:pPr>
  </w:style>
  <w:style w:type="character" w:customStyle="1" w:styleId="HotSpot">
    <w:name w:val="HotSpot"/>
    <w:rsid w:val="001B2B28"/>
    <w:rPr>
      <w:color w:val="0033CC"/>
      <w:u w:val="none"/>
    </w:rPr>
  </w:style>
  <w:style w:type="paragraph" w:customStyle="1" w:styleId="BodyTextRight">
    <w:name w:val="Body Text Right"/>
    <w:basedOn w:val="BodyText"/>
    <w:rsid w:val="001B2B28"/>
    <w:pPr>
      <w:spacing w:before="0" w:after="0"/>
      <w:jc w:val="right"/>
    </w:pPr>
  </w:style>
  <w:style w:type="paragraph" w:styleId="Index3">
    <w:name w:val="index 3"/>
    <w:basedOn w:val="ListNumber2"/>
    <w:next w:val="Normal"/>
    <w:semiHidden/>
    <w:rsid w:val="001B2B28"/>
    <w:pPr>
      <w:numPr>
        <w:numId w:val="0"/>
      </w:numPr>
      <w:tabs>
        <w:tab w:val="right" w:leader="dot" w:pos="4176"/>
      </w:tabs>
    </w:pPr>
  </w:style>
  <w:style w:type="paragraph" w:styleId="ListNumber2">
    <w:name w:val="List Number 2"/>
    <w:basedOn w:val="List2"/>
    <w:rsid w:val="001B2B28"/>
    <w:pPr>
      <w:numPr>
        <w:numId w:val="10"/>
      </w:numPr>
      <w:tabs>
        <w:tab w:val="clear" w:pos="1060"/>
      </w:tabs>
    </w:pPr>
  </w:style>
  <w:style w:type="paragraph" w:customStyle="1" w:styleId="MarginNote">
    <w:name w:val="Margin Note"/>
    <w:basedOn w:val="BodyText"/>
    <w:rsid w:val="001B2B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B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B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B28"/>
    <w:rPr>
      <w:sz w:val="32"/>
    </w:rPr>
  </w:style>
  <w:style w:type="paragraph" w:customStyle="1" w:styleId="HeadingProcedure">
    <w:name w:val="Heading Procedure"/>
    <w:basedOn w:val="HeadingBase"/>
    <w:next w:val="Normal"/>
    <w:rsid w:val="001B2B28"/>
    <w:pPr>
      <w:tabs>
        <w:tab w:val="left" w:pos="0"/>
      </w:tabs>
      <w:spacing w:before="120" w:after="60"/>
    </w:pPr>
    <w:rPr>
      <w:i/>
      <w:color w:val="918585"/>
      <w:sz w:val="22"/>
    </w:rPr>
  </w:style>
  <w:style w:type="paragraph" w:customStyle="1" w:styleId="TableBodyText">
    <w:name w:val="Table Body Text"/>
    <w:basedOn w:val="BodyText"/>
    <w:rsid w:val="001B2B28"/>
    <w:pPr>
      <w:spacing w:before="60" w:after="60"/>
    </w:pPr>
  </w:style>
  <w:style w:type="paragraph" w:styleId="ListContinue">
    <w:name w:val="List Continue"/>
    <w:basedOn w:val="List"/>
    <w:rsid w:val="001B2B28"/>
    <w:pPr>
      <w:ind w:firstLine="0"/>
    </w:pPr>
  </w:style>
  <w:style w:type="paragraph" w:customStyle="1" w:styleId="ListNote">
    <w:name w:val="List Note"/>
    <w:basedOn w:val="List"/>
    <w:rsid w:val="001B2B28"/>
    <w:pPr>
      <w:pBdr>
        <w:top w:val="single" w:sz="6" w:space="2" w:color="918585"/>
        <w:bottom w:val="single" w:sz="6" w:space="2" w:color="918585"/>
      </w:pBdr>
      <w:tabs>
        <w:tab w:val="left" w:pos="1021"/>
      </w:tabs>
      <w:ind w:firstLine="0"/>
    </w:pPr>
  </w:style>
  <w:style w:type="paragraph" w:customStyle="1" w:styleId="Warning">
    <w:name w:val="Warning"/>
    <w:basedOn w:val="BodyText"/>
    <w:rsid w:val="001B2B28"/>
    <w:pPr>
      <w:shd w:val="clear" w:color="auto" w:fill="D9D9D9"/>
      <w:tabs>
        <w:tab w:val="left" w:pos="992"/>
      </w:tabs>
      <w:ind w:left="119" w:right="119"/>
    </w:pPr>
    <w:rPr>
      <w:sz w:val="20"/>
    </w:rPr>
  </w:style>
  <w:style w:type="paragraph" w:customStyle="1" w:styleId="MarginIcons">
    <w:name w:val="Margin Icons"/>
    <w:basedOn w:val="BodyText"/>
    <w:rsid w:val="001B2B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B28"/>
    <w:rPr>
      <w:rFonts w:ascii="Courier New" w:hAnsi="Courier New"/>
    </w:rPr>
  </w:style>
  <w:style w:type="paragraph" w:customStyle="1" w:styleId="NoteBullet">
    <w:name w:val="Note Bullet"/>
    <w:basedOn w:val="Note"/>
    <w:rsid w:val="001B2B28"/>
    <w:pPr>
      <w:tabs>
        <w:tab w:val="clear" w:pos="680"/>
      </w:tabs>
      <w:spacing w:before="60" w:after="60"/>
    </w:pPr>
  </w:style>
  <w:style w:type="paragraph" w:customStyle="1" w:styleId="SubHeading2">
    <w:name w:val="SubHeading2"/>
    <w:basedOn w:val="HeadingBase"/>
    <w:rsid w:val="001B2B28"/>
    <w:pPr>
      <w:spacing w:before="240" w:after="60"/>
    </w:pPr>
    <w:rPr>
      <w:sz w:val="20"/>
    </w:rPr>
  </w:style>
  <w:style w:type="paragraph" w:customStyle="1" w:styleId="SubHeading1">
    <w:name w:val="SubHeading1"/>
    <w:basedOn w:val="HeadingBase"/>
    <w:rsid w:val="001B2B28"/>
    <w:pPr>
      <w:spacing w:before="240" w:after="60"/>
    </w:pPr>
    <w:rPr>
      <w:color w:val="918585"/>
      <w:sz w:val="22"/>
    </w:rPr>
  </w:style>
  <w:style w:type="paragraph" w:customStyle="1" w:styleId="SideHeading">
    <w:name w:val="Side Heading"/>
    <w:basedOn w:val="HeadingBase"/>
    <w:rsid w:val="001B2B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B28"/>
    <w:pPr>
      <w:tabs>
        <w:tab w:val="num" w:pos="360"/>
      </w:tabs>
    </w:pPr>
  </w:style>
  <w:style w:type="paragraph" w:styleId="PlainText">
    <w:name w:val="Plain Text"/>
    <w:basedOn w:val="Normal"/>
    <w:link w:val="PlainTextChar"/>
    <w:rsid w:val="001B2B28"/>
    <w:rPr>
      <w:sz w:val="20"/>
    </w:rPr>
  </w:style>
  <w:style w:type="character" w:customStyle="1" w:styleId="PlainTextChar">
    <w:name w:val="Plain Text Char"/>
    <w:basedOn w:val="DefaultParagraphFont"/>
    <w:link w:val="PlainText"/>
    <w:rsid w:val="001B2B28"/>
    <w:rPr>
      <w:rFonts w:ascii="Courier New" w:eastAsia="Times New Roman" w:hAnsi="Courier New" w:cs="Times New Roman"/>
      <w:sz w:val="20"/>
      <w:szCs w:val="20"/>
      <w:lang w:eastAsia="en-US"/>
    </w:rPr>
  </w:style>
  <w:style w:type="character" w:customStyle="1" w:styleId="MenuOption">
    <w:name w:val="Menu Option"/>
    <w:basedOn w:val="DefaultParagraphFont"/>
    <w:rsid w:val="001B2B28"/>
    <w:rPr>
      <w:b/>
      <w:smallCaps/>
    </w:rPr>
  </w:style>
  <w:style w:type="paragraph" w:customStyle="1" w:styleId="TableListNumber">
    <w:name w:val="Table List Number"/>
    <w:basedOn w:val="ListNumber"/>
    <w:rsid w:val="001B2B28"/>
    <w:pPr>
      <w:numPr>
        <w:numId w:val="0"/>
      </w:numPr>
    </w:pPr>
  </w:style>
  <w:style w:type="paragraph" w:styleId="TOC4">
    <w:name w:val="toc 4"/>
    <w:basedOn w:val="TOCBase"/>
    <w:next w:val="Normal"/>
    <w:semiHidden/>
    <w:rsid w:val="001B2B28"/>
    <w:pPr>
      <w:tabs>
        <w:tab w:val="right" w:leader="dot" w:pos="9071"/>
      </w:tabs>
      <w:ind w:left="1701"/>
    </w:pPr>
  </w:style>
  <w:style w:type="paragraph" w:customStyle="1" w:styleId="ListAlpha">
    <w:name w:val="List Alpha"/>
    <w:basedOn w:val="List"/>
    <w:rsid w:val="001B2B28"/>
    <w:pPr>
      <w:numPr>
        <w:numId w:val="9"/>
      </w:numPr>
    </w:pPr>
  </w:style>
  <w:style w:type="paragraph" w:customStyle="1" w:styleId="ListAlpha2">
    <w:name w:val="List Alpha 2"/>
    <w:basedOn w:val="List2"/>
    <w:rsid w:val="001B2B28"/>
    <w:pPr>
      <w:numPr>
        <w:numId w:val="8"/>
      </w:numPr>
    </w:pPr>
  </w:style>
  <w:style w:type="paragraph" w:styleId="List2">
    <w:name w:val="List 2"/>
    <w:basedOn w:val="BodyText"/>
    <w:rsid w:val="001B2B28"/>
    <w:pPr>
      <w:tabs>
        <w:tab w:val="left" w:pos="680"/>
      </w:tabs>
      <w:spacing w:before="60" w:after="60"/>
      <w:ind w:left="680" w:hanging="340"/>
    </w:pPr>
  </w:style>
  <w:style w:type="paragraph" w:styleId="List3">
    <w:name w:val="List 3"/>
    <w:basedOn w:val="BodyText"/>
    <w:rsid w:val="001B2B28"/>
    <w:pPr>
      <w:tabs>
        <w:tab w:val="left" w:pos="1021"/>
      </w:tabs>
      <w:spacing w:before="60" w:after="60"/>
      <w:ind w:left="1020" w:hanging="340"/>
    </w:pPr>
  </w:style>
  <w:style w:type="paragraph" w:styleId="List4">
    <w:name w:val="List 4"/>
    <w:basedOn w:val="BodyText"/>
    <w:rsid w:val="001B2B28"/>
    <w:pPr>
      <w:tabs>
        <w:tab w:val="left" w:pos="1361"/>
      </w:tabs>
      <w:spacing w:before="60" w:after="60"/>
      <w:ind w:left="1361" w:hanging="340"/>
    </w:pPr>
  </w:style>
  <w:style w:type="paragraph" w:styleId="List5">
    <w:name w:val="List 5"/>
    <w:basedOn w:val="BodyText"/>
    <w:rsid w:val="001B2B28"/>
    <w:pPr>
      <w:tabs>
        <w:tab w:val="left" w:pos="1701"/>
      </w:tabs>
      <w:spacing w:before="60" w:after="60"/>
      <w:ind w:left="1701" w:hanging="340"/>
    </w:pPr>
  </w:style>
  <w:style w:type="paragraph" w:styleId="ListBullet3">
    <w:name w:val="List Bullet 3"/>
    <w:basedOn w:val="List3"/>
    <w:rsid w:val="001B2B28"/>
    <w:pPr>
      <w:numPr>
        <w:numId w:val="14"/>
      </w:numPr>
      <w:tabs>
        <w:tab w:val="clear" w:pos="1021"/>
      </w:tabs>
      <w:ind w:left="1037" w:hanging="357"/>
    </w:pPr>
  </w:style>
  <w:style w:type="paragraph" w:styleId="ListBullet4">
    <w:name w:val="List Bullet 4"/>
    <w:basedOn w:val="List4"/>
    <w:rsid w:val="001B2B28"/>
    <w:pPr>
      <w:numPr>
        <w:numId w:val="3"/>
      </w:numPr>
      <w:tabs>
        <w:tab w:val="clear" w:pos="1361"/>
      </w:tabs>
    </w:pPr>
  </w:style>
  <w:style w:type="paragraph" w:styleId="ListBullet5">
    <w:name w:val="List Bullet 5"/>
    <w:basedOn w:val="List5"/>
    <w:rsid w:val="001B2B28"/>
    <w:pPr>
      <w:numPr>
        <w:numId w:val="4"/>
      </w:numPr>
    </w:pPr>
  </w:style>
  <w:style w:type="paragraph" w:styleId="ListContinue2">
    <w:name w:val="List Continue 2"/>
    <w:basedOn w:val="List2"/>
    <w:rsid w:val="001B2B28"/>
    <w:pPr>
      <w:ind w:firstLine="0"/>
    </w:pPr>
  </w:style>
  <w:style w:type="paragraph" w:styleId="ListContinue3">
    <w:name w:val="List Continue 3"/>
    <w:basedOn w:val="List3"/>
    <w:rsid w:val="001B2B28"/>
    <w:pPr>
      <w:ind w:left="1021" w:firstLine="0"/>
    </w:pPr>
  </w:style>
  <w:style w:type="paragraph" w:styleId="ListContinue4">
    <w:name w:val="List Continue 4"/>
    <w:basedOn w:val="List4"/>
    <w:rsid w:val="001B2B28"/>
    <w:pPr>
      <w:ind w:firstLine="0"/>
    </w:pPr>
  </w:style>
  <w:style w:type="paragraph" w:styleId="ListContinue5">
    <w:name w:val="List Continue 5"/>
    <w:basedOn w:val="List5"/>
    <w:rsid w:val="001B2B28"/>
    <w:pPr>
      <w:ind w:firstLine="0"/>
    </w:pPr>
  </w:style>
  <w:style w:type="paragraph" w:styleId="ListNumber3">
    <w:name w:val="List Number 3"/>
    <w:basedOn w:val="List3"/>
    <w:rsid w:val="001B2B28"/>
    <w:pPr>
      <w:numPr>
        <w:numId w:val="5"/>
      </w:numPr>
    </w:pPr>
  </w:style>
  <w:style w:type="paragraph" w:styleId="ListNumber4">
    <w:name w:val="List Number 4"/>
    <w:basedOn w:val="List4"/>
    <w:rsid w:val="001B2B28"/>
    <w:pPr>
      <w:numPr>
        <w:numId w:val="6"/>
      </w:numPr>
    </w:pPr>
  </w:style>
  <w:style w:type="paragraph" w:styleId="ListNumber5">
    <w:name w:val="List Number 5"/>
    <w:basedOn w:val="List5"/>
    <w:rsid w:val="001B2B28"/>
    <w:pPr>
      <w:numPr>
        <w:numId w:val="7"/>
      </w:numPr>
    </w:pPr>
  </w:style>
  <w:style w:type="paragraph" w:styleId="BlockText">
    <w:name w:val="Block Text"/>
    <w:basedOn w:val="Normal"/>
    <w:rsid w:val="001B2B28"/>
    <w:pPr>
      <w:spacing w:after="120"/>
      <w:ind w:left="1440" w:right="1440"/>
    </w:pPr>
  </w:style>
  <w:style w:type="character" w:customStyle="1" w:styleId="Subscript">
    <w:name w:val="Subscript"/>
    <w:basedOn w:val="DefaultParagraphFont"/>
    <w:rsid w:val="001B2B28"/>
    <w:rPr>
      <w:sz w:val="16"/>
      <w:vertAlign w:val="subscript"/>
    </w:rPr>
  </w:style>
  <w:style w:type="character" w:customStyle="1" w:styleId="Superscript">
    <w:name w:val="Superscript"/>
    <w:basedOn w:val="DefaultParagraphFont"/>
    <w:rsid w:val="001B2B28"/>
    <w:rPr>
      <w:sz w:val="16"/>
      <w:vertAlign w:val="superscript"/>
    </w:rPr>
  </w:style>
  <w:style w:type="character" w:customStyle="1" w:styleId="Symbols">
    <w:name w:val="Symbols"/>
    <w:basedOn w:val="DefaultParagraphFont"/>
    <w:rsid w:val="001B2B28"/>
    <w:rPr>
      <w:rFonts w:ascii="Symbol" w:hAnsi="Symbol"/>
    </w:rPr>
  </w:style>
  <w:style w:type="character" w:customStyle="1" w:styleId="MenuOptions">
    <w:name w:val="Menu Options"/>
    <w:basedOn w:val="DefaultParagraphFont"/>
    <w:rsid w:val="001B2B28"/>
    <w:rPr>
      <w:rFonts w:ascii="Arial Narrow" w:hAnsi="Arial Narrow"/>
      <w:smallCaps/>
    </w:rPr>
  </w:style>
  <w:style w:type="character" w:customStyle="1" w:styleId="Buttons">
    <w:name w:val="Buttons"/>
    <w:basedOn w:val="DefaultParagraphFont"/>
    <w:rsid w:val="001B2B28"/>
    <w:rPr>
      <w:b/>
    </w:rPr>
  </w:style>
  <w:style w:type="character" w:customStyle="1" w:styleId="Underlined">
    <w:name w:val="Underlined"/>
    <w:basedOn w:val="DefaultParagraphFont"/>
    <w:rsid w:val="001B2B28"/>
    <w:rPr>
      <w:u w:val="single"/>
    </w:rPr>
  </w:style>
  <w:style w:type="paragraph" w:customStyle="1" w:styleId="TableBodyTextRight">
    <w:name w:val="Table Body Text Right"/>
    <w:basedOn w:val="TableBodyText"/>
    <w:rsid w:val="001B2B28"/>
    <w:pPr>
      <w:widowControl w:val="0"/>
      <w:autoSpaceDE w:val="0"/>
      <w:autoSpaceDN w:val="0"/>
      <w:adjustRightInd w:val="0"/>
      <w:jc w:val="right"/>
    </w:pPr>
    <w:rPr>
      <w:rFonts w:cs="Arial"/>
      <w:szCs w:val="18"/>
    </w:rPr>
  </w:style>
  <w:style w:type="paragraph" w:customStyle="1" w:styleId="CopyrightText">
    <w:name w:val="Copyright Text"/>
    <w:basedOn w:val="BodyText"/>
    <w:rsid w:val="001B2B28"/>
    <w:rPr>
      <w:sz w:val="18"/>
    </w:rPr>
  </w:style>
  <w:style w:type="paragraph" w:customStyle="1" w:styleId="BodySmallRight">
    <w:name w:val="Body Small Right"/>
    <w:basedOn w:val="BodyTextRight"/>
    <w:rsid w:val="001B2B28"/>
    <w:rPr>
      <w:sz w:val="18"/>
      <w:szCs w:val="18"/>
    </w:rPr>
  </w:style>
  <w:style w:type="paragraph" w:customStyle="1" w:styleId="MarginEdition">
    <w:name w:val="Margin Edition"/>
    <w:basedOn w:val="MarginNote"/>
    <w:rsid w:val="001B2B28"/>
    <w:pPr>
      <w:spacing w:before="0" w:after="0"/>
    </w:pPr>
    <w:rPr>
      <w:rFonts w:ascii="Times New Roman" w:hAnsi="Times New Roman"/>
      <w:color w:val="999999"/>
    </w:rPr>
  </w:style>
  <w:style w:type="paragraph" w:customStyle="1" w:styleId="Spacer">
    <w:name w:val="Spacer"/>
    <w:basedOn w:val="Normal"/>
    <w:rsid w:val="001B2B28"/>
    <w:rPr>
      <w:sz w:val="2"/>
      <w:szCs w:val="2"/>
    </w:rPr>
  </w:style>
  <w:style w:type="character" w:customStyle="1" w:styleId="Small">
    <w:name w:val="Small"/>
    <w:basedOn w:val="DefaultParagraphFont"/>
    <w:rsid w:val="001B2B28"/>
    <w:rPr>
      <w:sz w:val="16"/>
    </w:rPr>
  </w:style>
  <w:style w:type="paragraph" w:customStyle="1" w:styleId="WideTable">
    <w:name w:val="Wide Table"/>
    <w:basedOn w:val="Normal"/>
    <w:rsid w:val="001B2B28"/>
    <w:pPr>
      <w:ind w:left="-1418"/>
    </w:pPr>
    <w:rPr>
      <w:sz w:val="2"/>
      <w:szCs w:val="2"/>
    </w:rPr>
  </w:style>
  <w:style w:type="character" w:styleId="PageNumber">
    <w:name w:val="page number"/>
    <w:basedOn w:val="DefaultParagraphFont"/>
    <w:rsid w:val="001B2B28"/>
  </w:style>
  <w:style w:type="paragraph" w:styleId="Quote">
    <w:name w:val="Quote"/>
    <w:basedOn w:val="Heading1"/>
    <w:link w:val="QuoteChar"/>
    <w:qFormat/>
    <w:rsid w:val="001B2B28"/>
    <w:rPr>
      <w:b w:val="0"/>
      <w:sz w:val="72"/>
      <w:szCs w:val="72"/>
      <w:lang w:val="en-NZ"/>
    </w:rPr>
  </w:style>
  <w:style w:type="character" w:customStyle="1" w:styleId="QuoteChar">
    <w:name w:val="Quote Char"/>
    <w:basedOn w:val="DefaultParagraphFont"/>
    <w:link w:val="Quote"/>
    <w:rsid w:val="001B2B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B28"/>
    <w:pPr>
      <w:pageBreakBefore/>
    </w:pPr>
  </w:style>
  <w:style w:type="paragraph" w:customStyle="1" w:styleId="Border">
    <w:name w:val="Border"/>
    <w:basedOn w:val="Normal"/>
    <w:qFormat/>
    <w:rsid w:val="001B2B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B28"/>
    <w:rPr>
      <w:b/>
      <w:bCs/>
      <w:i/>
      <w:iCs/>
      <w:color w:val="auto"/>
    </w:rPr>
  </w:style>
  <w:style w:type="paragraph" w:styleId="IntenseQuote">
    <w:name w:val="Intense Quote"/>
    <w:basedOn w:val="Normal"/>
    <w:next w:val="Normal"/>
    <w:link w:val="IntenseQuoteChar"/>
    <w:uiPriority w:val="30"/>
    <w:qFormat/>
    <w:rsid w:val="001B2B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B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B28"/>
    <w:rPr>
      <w:smallCaps/>
      <w:color w:val="auto"/>
      <w:u w:val="single"/>
    </w:rPr>
  </w:style>
  <w:style w:type="character" w:styleId="IntenseReference">
    <w:name w:val="Intense Reference"/>
    <w:basedOn w:val="DefaultParagraphFont"/>
    <w:uiPriority w:val="32"/>
    <w:qFormat/>
    <w:rsid w:val="001B2B28"/>
    <w:rPr>
      <w:b/>
      <w:bCs/>
      <w:smallCaps/>
      <w:color w:val="auto"/>
      <w:spacing w:val="5"/>
      <w:u w:val="single"/>
    </w:rPr>
  </w:style>
  <w:style w:type="paragraph" w:customStyle="1" w:styleId="2ColumnHeading">
    <w:name w:val="2Column Heading"/>
    <w:basedOn w:val="BodyText"/>
    <w:qFormat/>
    <w:rsid w:val="001B2B28"/>
    <w:pPr>
      <w:spacing w:after="60"/>
      <w:ind w:left="-2268"/>
    </w:pPr>
    <w:rPr>
      <w:b/>
    </w:rPr>
  </w:style>
  <w:style w:type="paragraph" w:customStyle="1" w:styleId="Heading1TOC">
    <w:name w:val="Heading1 TOC"/>
    <w:basedOn w:val="Normal"/>
    <w:qFormat/>
    <w:rsid w:val="001B2B28"/>
    <w:pPr>
      <w:spacing w:before="240" w:after="120"/>
    </w:pPr>
    <w:rPr>
      <w:rFonts w:ascii="Times New Roman" w:hAnsi="Times New Roman"/>
      <w:b/>
      <w:sz w:val="32"/>
    </w:rPr>
  </w:style>
  <w:style w:type="paragraph" w:customStyle="1" w:styleId="Heading2TOC">
    <w:name w:val="Heading2 TOC"/>
    <w:basedOn w:val="Normal"/>
    <w:qFormat/>
    <w:rsid w:val="001B2B28"/>
    <w:pPr>
      <w:spacing w:before="240" w:after="60"/>
    </w:pPr>
    <w:rPr>
      <w:rFonts w:ascii="Times New Roman" w:hAnsi="Times New Roman"/>
      <w:b/>
      <w:sz w:val="28"/>
    </w:rPr>
  </w:style>
  <w:style w:type="character" w:customStyle="1" w:styleId="Underline">
    <w:name w:val="Underline"/>
    <w:basedOn w:val="DefaultParagraphFont"/>
    <w:qFormat/>
    <w:rsid w:val="001B2B28"/>
    <w:rPr>
      <w:u w:val="single"/>
    </w:rPr>
  </w:style>
  <w:style w:type="character" w:customStyle="1" w:styleId="BoldandItalics">
    <w:name w:val="Bold and Italics"/>
    <w:qFormat/>
    <w:rsid w:val="001B2B28"/>
    <w:rPr>
      <w:b/>
      <w:i/>
      <w:u w:val="none"/>
    </w:rPr>
  </w:style>
  <w:style w:type="paragraph" w:styleId="BalloonText">
    <w:name w:val="Balloon Text"/>
    <w:basedOn w:val="Normal"/>
    <w:link w:val="BalloonTextChar"/>
    <w:rsid w:val="001B2B28"/>
    <w:rPr>
      <w:rFonts w:ascii="Tahoma" w:hAnsi="Tahoma" w:cs="Tahoma"/>
      <w:sz w:val="16"/>
      <w:szCs w:val="16"/>
    </w:rPr>
  </w:style>
  <w:style w:type="character" w:customStyle="1" w:styleId="BalloonTextChar">
    <w:name w:val="Balloon Text Char"/>
    <w:basedOn w:val="DefaultParagraphFont"/>
    <w:link w:val="BalloonText"/>
    <w:rsid w:val="001B2B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B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B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B28"/>
    <w:rPr>
      <w:b/>
      <w:color w:val="660033"/>
      <w:spacing w:val="0"/>
    </w:rPr>
  </w:style>
  <w:style w:type="paragraph" w:customStyle="1" w:styleId="Nameditemlist">
    <w:name w:val="Named item list"/>
    <w:basedOn w:val="BodyText"/>
    <w:qFormat/>
    <w:rsid w:val="001B2B28"/>
    <w:pPr>
      <w:tabs>
        <w:tab w:val="left" w:pos="2835"/>
      </w:tabs>
      <w:ind w:left="2835" w:hanging="2835"/>
    </w:pPr>
  </w:style>
  <w:style w:type="paragraph" w:customStyle="1" w:styleId="BodyTextnopadding">
    <w:name w:val="Body Text no padding"/>
    <w:basedOn w:val="BodyText"/>
    <w:qFormat/>
    <w:rsid w:val="001B2B28"/>
    <w:pPr>
      <w:spacing w:before="0" w:after="0"/>
    </w:pPr>
  </w:style>
  <w:style w:type="paragraph" w:customStyle="1" w:styleId="BodyTextBold">
    <w:name w:val="Body Text Bold"/>
    <w:basedOn w:val="BodyText"/>
    <w:qFormat/>
    <w:rsid w:val="001B2B28"/>
    <w:rPr>
      <w:b/>
    </w:rPr>
  </w:style>
  <w:style w:type="character" w:styleId="Hyperlink">
    <w:name w:val="Hyperlink"/>
    <w:basedOn w:val="DefaultParagraphFont"/>
    <w:uiPriority w:val="99"/>
    <w:unhideWhenUsed/>
    <w:rsid w:val="00012D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8659</Characters>
  <Application>Microsoft Office Word</Application>
  <DocSecurity>0</DocSecurity>
  <Lines>360</Lines>
  <Paragraphs>232</Paragraphs>
  <ScaleCrop>false</ScaleCrop>
  <Company>Author-it Software Corporation Ltd.</Company>
  <LinksUpToDate>false</LinksUpToDate>
  <CharactersWithSpaces>9773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MSTGN2003 Work in the TCF industry</dc:title>
  <dc:subject>Approved</dc:subject>
  <dc:creator>Skills Insight</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