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4C2" w:rsidP="004D7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MSTGN2003 Work in the TCF industry</w:t>
      </w:r>
      <w:r>
        <w:fldChar w:fldCharType="end"/>
      </w:r>
    </w:p>
    <w:p w:rsidR="004D74C2" w:rsidP="004D74C2">
      <w:pPr>
        <w:pStyle w:val="Version"/>
        <w:sectPr w:rsidSect="006A7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1C9" w:rsidP="006A71C9">
      <w:pPr>
        <w:pStyle w:val="SuperHeading"/>
      </w:pPr>
      <w:r w:rsidRPr="006A71C9">
        <w:t>Assessment Requirements for MSTGN2003 Work in the TCF industry</w:t>
      </w:r>
    </w:p>
    <w:p w:rsidR="00000000" w:rsidRPr="006A71C9" w:rsidP="006A71C9">
      <w:pPr>
        <w:pStyle w:val="Heading1"/>
      </w:pPr>
      <w:bookmarkStart w:id="1" w:name="O_931033"/>
      <w:bookmarkEnd w:id="1"/>
      <w:r w:rsidRPr="006A71C9">
        <w:t>Modification History</w:t>
      </w:r>
    </w:p>
    <w:p w:rsidR="00000000" w:rsidRPr="006A71C9" w:rsidP="004D74C2">
      <w:pPr>
        <w:pStyle w:val="BodyText"/>
      </w:pPr>
      <w:r w:rsidRPr="006A71C9">
        <w:t xml:space="preserve">Release 1. Supersedes and is equivalent to LMTGN2003B Work in the Textiles, Clothing and Footwear industry </w:t>
      </w:r>
    </w:p>
    <w:p w:rsidR="00000000" w:rsidRPr="006A71C9" w:rsidP="006A71C9">
      <w:pPr>
        <w:pStyle w:val="Heading1"/>
      </w:pPr>
      <w:bookmarkStart w:id="2" w:name="O_931036"/>
      <w:bookmarkEnd w:id="2"/>
      <w:r w:rsidRPr="006A71C9">
        <w:t>Performance Evidence</w:t>
      </w:r>
    </w:p>
    <w:p w:rsidR="00000000" w:rsidRPr="006A71C9" w:rsidP="004D74C2">
      <w:pPr>
        <w:pStyle w:val="BodyText"/>
      </w:pPr>
      <w:r w:rsidRPr="006A71C9">
        <w:t>Evidence required to demonstrate competence in this unit must be relevant to and satisfy the requirements of the elements and performance criteria, and include:</w:t>
      </w:r>
    </w:p>
    <w:p w:rsidR="00000000" w:rsidRPr="006A71C9" w:rsidP="006A71C9">
      <w:pPr>
        <w:pStyle w:val="ListBullet"/>
      </w:pPr>
      <w:r w:rsidRPr="006A71C9">
        <w:t>reading and following work instructions, standard operating procedures (SOPs), safe work pract</w:t>
      </w:r>
      <w:r w:rsidRPr="006A71C9">
        <w:t xml:space="preserve">ices </w:t>
      </w:r>
    </w:p>
    <w:p w:rsidR="00000000" w:rsidRPr="006A71C9" w:rsidP="006A71C9">
      <w:pPr>
        <w:pStyle w:val="ListBullet"/>
      </w:pPr>
      <w:r w:rsidRPr="006A71C9">
        <w:t>recognising key industry sectors and industry bodies</w:t>
      </w:r>
    </w:p>
    <w:p w:rsidR="00000000" w:rsidRPr="006A71C9" w:rsidP="006A71C9">
      <w:pPr>
        <w:pStyle w:val="ListBullet"/>
      </w:pPr>
      <w:r w:rsidRPr="006A71C9">
        <w:t xml:space="preserve">identifying relevant standards, legislation and guidelines common to employment within identified TCF sector </w:t>
      </w:r>
    </w:p>
    <w:p w:rsidR="00000000" w:rsidRPr="006A71C9" w:rsidP="006A71C9">
      <w:pPr>
        <w:pStyle w:val="ListBullet"/>
      </w:pPr>
      <w:r w:rsidRPr="006A71C9">
        <w:t>identifying production processes and supply chains in identified TCF sector</w:t>
      </w:r>
    </w:p>
    <w:p w:rsidR="00000000" w:rsidRPr="006A71C9" w:rsidP="006A71C9">
      <w:pPr>
        <w:pStyle w:val="ListBullet"/>
      </w:pPr>
      <w:r w:rsidRPr="006A71C9">
        <w:t>recognising</w:t>
      </w:r>
      <w:r w:rsidRPr="006A71C9">
        <w:t xml:space="preserve"> own skills and skills limitations, and identifying opportunities for further skill development</w:t>
      </w:r>
    </w:p>
    <w:p w:rsidR="00000000" w:rsidRPr="006A71C9" w:rsidP="006A71C9">
      <w:pPr>
        <w:pStyle w:val="ListBullet"/>
      </w:pPr>
      <w:r w:rsidRPr="006A71C9">
        <w:t>distinguishing key roles, process and personnel in identified workplace</w:t>
      </w:r>
    </w:p>
    <w:p w:rsidR="00000000" w:rsidRPr="006A71C9" w:rsidP="006A71C9">
      <w:pPr>
        <w:pStyle w:val="ListBullet"/>
      </w:pPr>
      <w:r w:rsidRPr="006A71C9">
        <w:t>taking responsibility for own work tasks and role and monitoring own work against workpl</w:t>
      </w:r>
      <w:r w:rsidRPr="006A71C9">
        <w:t>ace standards</w:t>
      </w:r>
    </w:p>
    <w:p w:rsidR="00000000" w:rsidRPr="006A71C9" w:rsidP="006A71C9">
      <w:pPr>
        <w:pStyle w:val="ListBullet"/>
      </w:pPr>
      <w:r w:rsidRPr="006A71C9">
        <w:t>working effectively and cooperatively with others in work team.</w:t>
      </w:r>
    </w:p>
    <w:p w:rsidR="00000000" w:rsidRPr="006A71C9" w:rsidP="006A71C9">
      <w:pPr>
        <w:pStyle w:val="AllowPageBreak"/>
      </w:pPr>
    </w:p>
    <w:p w:rsidR="00000000" w:rsidRPr="006A71C9" w:rsidP="006A71C9">
      <w:pPr>
        <w:pStyle w:val="Heading1"/>
      </w:pPr>
      <w:bookmarkStart w:id="3" w:name="O_931035"/>
      <w:bookmarkEnd w:id="3"/>
      <w:r w:rsidRPr="006A71C9">
        <w:t>Knowledge Evidence</w:t>
      </w:r>
    </w:p>
    <w:p w:rsidR="00000000" w:rsidRPr="006A71C9" w:rsidP="004D74C2">
      <w:pPr>
        <w:pStyle w:val="BodyText"/>
      </w:pPr>
      <w:r w:rsidRPr="006A71C9">
        <w:t>Evidence must be provided that demonstrates knowledge of:</w:t>
      </w:r>
    </w:p>
    <w:p w:rsidR="00000000" w:rsidRPr="006A71C9" w:rsidP="006A71C9">
      <w:pPr>
        <w:pStyle w:val="ListBullet"/>
      </w:pPr>
      <w:r w:rsidRPr="006A71C9">
        <w:t>safe work practices and procedures and use of personal protective equipment (PPE)</w:t>
      </w:r>
    </w:p>
    <w:p w:rsidR="00000000" w:rsidRPr="006A71C9" w:rsidP="006A71C9">
      <w:pPr>
        <w:pStyle w:val="ListBullet"/>
      </w:pPr>
      <w:r w:rsidRPr="006A71C9">
        <w:t>k</w:t>
      </w:r>
      <w:r w:rsidRPr="006A71C9">
        <w:t>ey industry and workplace processes and representatives:</w:t>
      </w:r>
    </w:p>
    <w:p w:rsidR="00000000" w:rsidRPr="006A71C9" w:rsidP="006A71C9">
      <w:pPr>
        <w:pStyle w:val="ListBullet2"/>
      </w:pPr>
      <w:r w:rsidRPr="006A71C9">
        <w:t>industry associations</w:t>
      </w:r>
    </w:p>
    <w:p w:rsidR="00000000" w:rsidRPr="006A71C9" w:rsidP="006A71C9">
      <w:pPr>
        <w:pStyle w:val="ListBullet2"/>
      </w:pPr>
      <w:r w:rsidRPr="006A71C9">
        <w:t>unions</w:t>
      </w:r>
    </w:p>
    <w:p w:rsidR="00000000" w:rsidRPr="006A71C9" w:rsidP="006A71C9">
      <w:pPr>
        <w:pStyle w:val="ListBullet2"/>
      </w:pPr>
      <w:r w:rsidRPr="006A71C9">
        <w:t>relevant legislative bodies governing work health and safety (WHS), environmental protection and anti-discrimination</w:t>
      </w:r>
    </w:p>
    <w:p w:rsidR="00000000" w:rsidRPr="006A71C9" w:rsidP="006A71C9">
      <w:pPr>
        <w:pStyle w:val="ListBullet"/>
      </w:pPr>
      <w:r w:rsidRPr="006A71C9">
        <w:t>applicable legislation and guidelines:</w:t>
      </w:r>
    </w:p>
    <w:p w:rsidR="00000000" w:rsidRPr="006A71C9" w:rsidP="006A71C9">
      <w:pPr>
        <w:pStyle w:val="ListBullet2"/>
      </w:pPr>
      <w:r w:rsidRPr="006A71C9">
        <w:t>WHS</w:t>
      </w:r>
    </w:p>
    <w:p w:rsidR="00000000" w:rsidRPr="006A71C9" w:rsidP="006A71C9">
      <w:pPr>
        <w:pStyle w:val="ListBullet2"/>
      </w:pPr>
      <w:r w:rsidRPr="006A71C9">
        <w:t>anti-discrimination</w:t>
      </w:r>
    </w:p>
    <w:p w:rsidR="00000000" w:rsidRPr="006A71C9" w:rsidP="006A71C9">
      <w:pPr>
        <w:pStyle w:val="ListBullet2"/>
      </w:pPr>
      <w:r w:rsidRPr="006A71C9">
        <w:t>equal employment opportunities (EEO)</w:t>
      </w:r>
    </w:p>
    <w:p w:rsidR="00000000" w:rsidRPr="006A71C9" w:rsidP="006A71C9">
      <w:pPr>
        <w:pStyle w:val="ListBullet2"/>
      </w:pPr>
      <w:r w:rsidRPr="006A71C9">
        <w:t>workplace diversity</w:t>
      </w:r>
    </w:p>
    <w:p w:rsidR="00000000" w:rsidRPr="006A71C9" w:rsidP="006A71C9">
      <w:pPr>
        <w:pStyle w:val="ListBullet2"/>
      </w:pPr>
      <w:r w:rsidRPr="006A71C9">
        <w:t>freedom of information</w:t>
      </w:r>
    </w:p>
    <w:p w:rsidR="00000000" w:rsidRPr="006A71C9" w:rsidP="006A71C9">
      <w:pPr>
        <w:pStyle w:val="ListBullet2"/>
      </w:pPr>
      <w:r w:rsidRPr="006A71C9">
        <w:t>environmental guidelines</w:t>
      </w:r>
    </w:p>
    <w:p w:rsidR="00000000" w:rsidRPr="006A71C9" w:rsidP="006A71C9">
      <w:pPr>
        <w:pStyle w:val="ListBullet2"/>
      </w:pPr>
      <w:r w:rsidRPr="006A71C9">
        <w:t>industrial relations awards</w:t>
      </w:r>
    </w:p>
    <w:p w:rsidR="00000000" w:rsidRPr="006A71C9" w:rsidP="006A71C9">
      <w:pPr>
        <w:pStyle w:val="ListBullet2"/>
      </w:pPr>
      <w:r w:rsidRPr="006A71C9">
        <w:t>Australian Standards</w:t>
      </w:r>
    </w:p>
    <w:p w:rsidR="00000000" w:rsidRPr="006A71C9" w:rsidP="006A71C9">
      <w:pPr>
        <w:pStyle w:val="ListBullet"/>
      </w:pPr>
      <w:r w:rsidRPr="006A71C9">
        <w:t>industry terminology and acronyms</w:t>
      </w:r>
    </w:p>
    <w:p w:rsidR="00000000" w:rsidRPr="006A71C9" w:rsidP="006A71C9">
      <w:pPr>
        <w:pStyle w:val="ListBullet"/>
      </w:pPr>
      <w:r w:rsidRPr="006A71C9">
        <w:t xml:space="preserve">TCF industry relevant sectors which relate to, </w:t>
      </w:r>
      <w:r w:rsidRPr="006A71C9">
        <w:t>overlap or are part of the supply chain to the workplace, such as:</w:t>
      </w:r>
    </w:p>
    <w:p w:rsidR="00000000" w:rsidRPr="006A71C9" w:rsidP="006A71C9">
      <w:pPr>
        <w:pStyle w:val="ListBullet2"/>
      </w:pPr>
      <w:r w:rsidRPr="006A71C9">
        <w:t>textile production</w:t>
      </w:r>
    </w:p>
    <w:p w:rsidR="00000000" w:rsidRPr="006A71C9" w:rsidP="006A71C9">
      <w:pPr>
        <w:pStyle w:val="ListBullet2"/>
      </w:pPr>
      <w:r w:rsidRPr="006A71C9">
        <w:t>early stage wool processing</w:t>
      </w:r>
    </w:p>
    <w:p w:rsidR="00000000" w:rsidRPr="006A71C9" w:rsidP="006A71C9">
      <w:pPr>
        <w:pStyle w:val="ListBullet2"/>
      </w:pPr>
      <w:r w:rsidRPr="006A71C9">
        <w:t>cotton ginning</w:t>
      </w:r>
    </w:p>
    <w:p w:rsidR="00000000" w:rsidRPr="006A71C9" w:rsidP="006A71C9">
      <w:pPr>
        <w:pStyle w:val="ListBullet2"/>
      </w:pPr>
      <w:r w:rsidRPr="006A71C9">
        <w:t>textile fabrication</w:t>
      </w:r>
    </w:p>
    <w:p w:rsidR="00000000" w:rsidRPr="006A71C9" w:rsidP="006A71C9">
      <w:pPr>
        <w:pStyle w:val="ListBullet2"/>
      </w:pPr>
      <w:r w:rsidRPr="006A71C9">
        <w:t>clothing production</w:t>
      </w:r>
    </w:p>
    <w:p w:rsidR="00000000" w:rsidRPr="006A71C9" w:rsidP="006A71C9">
      <w:pPr>
        <w:pStyle w:val="ListBullet2"/>
      </w:pPr>
      <w:r w:rsidRPr="006A71C9">
        <w:t>millinery</w:t>
      </w:r>
    </w:p>
    <w:p w:rsidR="00000000" w:rsidRPr="006A71C9" w:rsidP="006A71C9">
      <w:pPr>
        <w:pStyle w:val="ListBullet2"/>
      </w:pPr>
      <w:r w:rsidRPr="006A71C9">
        <w:t>footwear production</w:t>
      </w:r>
    </w:p>
    <w:p w:rsidR="00000000" w:rsidRPr="006A71C9" w:rsidP="006A71C9">
      <w:pPr>
        <w:pStyle w:val="ListBullet2"/>
      </w:pPr>
      <w:r w:rsidRPr="006A71C9">
        <w:t>footwear repair</w:t>
      </w:r>
    </w:p>
    <w:p w:rsidR="00000000" w:rsidRPr="006A71C9" w:rsidP="006A71C9">
      <w:pPr>
        <w:pStyle w:val="ListBullet2"/>
      </w:pPr>
      <w:r w:rsidRPr="006A71C9">
        <w:t>leather production</w:t>
      </w:r>
    </w:p>
    <w:p w:rsidR="00000000" w:rsidRPr="006A71C9" w:rsidP="006A71C9">
      <w:pPr>
        <w:pStyle w:val="ListBullet2"/>
      </w:pPr>
      <w:r w:rsidRPr="006A71C9">
        <w:t>laundry operations</w:t>
      </w:r>
    </w:p>
    <w:p w:rsidR="00000000" w:rsidRPr="006A71C9" w:rsidP="006A71C9">
      <w:pPr>
        <w:pStyle w:val="ListBullet2"/>
      </w:pPr>
      <w:r w:rsidRPr="006A71C9">
        <w:t>dry cleaning operations</w:t>
      </w:r>
    </w:p>
    <w:p w:rsidR="00000000" w:rsidRPr="006A71C9" w:rsidP="006A71C9">
      <w:pPr>
        <w:pStyle w:val="ListBullet2"/>
      </w:pPr>
      <w:r w:rsidRPr="006A71C9">
        <w:t>TCF mechanic/technician</w:t>
      </w:r>
    </w:p>
    <w:p w:rsidR="00000000" w:rsidRPr="006A71C9" w:rsidP="006A71C9">
      <w:pPr>
        <w:pStyle w:val="ListBullet2"/>
      </w:pPr>
      <w:r w:rsidRPr="006A71C9">
        <w:t>medical grade footwear</w:t>
      </w:r>
    </w:p>
    <w:p w:rsidR="00000000" w:rsidRPr="006A71C9" w:rsidP="006A71C9">
      <w:pPr>
        <w:pStyle w:val="ListBullet2"/>
      </w:pPr>
      <w:r w:rsidRPr="006A71C9">
        <w:t>technical textiles and non-wovens</w:t>
      </w:r>
    </w:p>
    <w:p w:rsidR="00000000" w:rsidRPr="006A71C9" w:rsidP="006A71C9">
      <w:pPr>
        <w:pStyle w:val="ListBullet2"/>
      </w:pPr>
      <w:r w:rsidRPr="006A71C9">
        <w:t>fashion design and technology</w:t>
      </w:r>
    </w:p>
    <w:p w:rsidR="00000000" w:rsidRPr="006A71C9" w:rsidP="006A71C9">
      <w:pPr>
        <w:pStyle w:val="ListBullet"/>
      </w:pPr>
      <w:r w:rsidRPr="006A71C9">
        <w:t>quality standards and practices:</w:t>
      </w:r>
    </w:p>
    <w:p w:rsidR="00000000" w:rsidRPr="006A71C9" w:rsidP="006A71C9">
      <w:pPr>
        <w:pStyle w:val="ListBullet2"/>
      </w:pPr>
      <w:r w:rsidRPr="006A71C9">
        <w:t>specified standards of production</w:t>
      </w:r>
    </w:p>
    <w:p w:rsidR="00000000" w:rsidRPr="006A71C9" w:rsidP="006A71C9">
      <w:pPr>
        <w:pStyle w:val="ListBullet2"/>
      </w:pPr>
      <w:r w:rsidRPr="006A71C9">
        <w:t>consistency in quality</w:t>
      </w:r>
    </w:p>
    <w:p w:rsidR="00000000" w:rsidRPr="006A71C9" w:rsidP="006A71C9">
      <w:pPr>
        <w:pStyle w:val="ListBullet2"/>
      </w:pPr>
      <w:r w:rsidRPr="006A71C9">
        <w:t>producing to specification</w:t>
      </w:r>
    </w:p>
    <w:p w:rsidR="00000000" w:rsidRPr="006A71C9" w:rsidP="006A71C9">
      <w:pPr>
        <w:pStyle w:val="ListBullet2"/>
      </w:pPr>
      <w:r w:rsidRPr="006A71C9">
        <w:t>working within specified time requirements</w:t>
      </w:r>
    </w:p>
    <w:p w:rsidR="00000000" w:rsidRPr="006A71C9" w:rsidP="006A71C9">
      <w:pPr>
        <w:pStyle w:val="ListBullet2"/>
      </w:pPr>
      <w:r w:rsidRPr="006A71C9">
        <w:t>meeting customer requirements</w:t>
      </w:r>
    </w:p>
    <w:p w:rsidR="00000000" w:rsidRPr="006A71C9" w:rsidP="006A71C9">
      <w:pPr>
        <w:pStyle w:val="ListBullet"/>
      </w:pPr>
      <w:r w:rsidRPr="006A71C9">
        <w:t>job descriptor</w:t>
      </w:r>
    </w:p>
    <w:p w:rsidR="00000000" w:rsidRPr="006A71C9" w:rsidP="006A71C9">
      <w:pPr>
        <w:pStyle w:val="ListBullet"/>
      </w:pPr>
      <w:r w:rsidRPr="006A71C9">
        <w:t>roles and functions of  departments/sections/units</w:t>
      </w:r>
    </w:p>
    <w:p w:rsidR="00000000" w:rsidRPr="006A71C9" w:rsidP="006A71C9">
      <w:pPr>
        <w:pStyle w:val="ListBullet"/>
      </w:pPr>
      <w:r w:rsidRPr="006A71C9">
        <w:t>supply chain:</w:t>
      </w:r>
    </w:p>
    <w:p w:rsidR="00000000" w:rsidRPr="006A71C9" w:rsidP="006A71C9">
      <w:pPr>
        <w:pStyle w:val="ListBullet2"/>
      </w:pPr>
      <w:r w:rsidRPr="006A71C9">
        <w:t>product flow from raw materials to production, distribution, marketing and sale</w:t>
      </w:r>
    </w:p>
    <w:p w:rsidR="00000000" w:rsidRPr="006A71C9" w:rsidP="006A71C9">
      <w:pPr>
        <w:pStyle w:val="ListBullet2"/>
      </w:pPr>
      <w:r w:rsidRPr="006A71C9">
        <w:t>customers and supplie</w:t>
      </w:r>
      <w:r w:rsidRPr="006A71C9">
        <w:t>rs</w:t>
      </w:r>
    </w:p>
    <w:p w:rsidR="00000000" w:rsidRPr="006A71C9" w:rsidP="006A71C9">
      <w:pPr>
        <w:pStyle w:val="ListBullet"/>
      </w:pPr>
      <w:r w:rsidRPr="006A71C9">
        <w:t>WHS practices, including hazard identification and control measures</w:t>
      </w:r>
    </w:p>
    <w:p w:rsidR="00000000" w:rsidRPr="006A71C9" w:rsidP="006A71C9">
      <w:pPr>
        <w:pStyle w:val="ListBullet"/>
      </w:pPr>
      <w:r w:rsidRPr="006A71C9">
        <w:t>workplace procedures</w:t>
      </w:r>
    </w:p>
    <w:p w:rsidR="00000000" w:rsidRPr="006A71C9" w:rsidP="006A71C9">
      <w:pPr>
        <w:pStyle w:val="ListBullet"/>
      </w:pPr>
      <w:r w:rsidRPr="006A71C9">
        <w:t>recording and reporting practices.</w:t>
      </w:r>
    </w:p>
    <w:p w:rsidR="00000000" w:rsidRPr="006A71C9" w:rsidP="006A71C9">
      <w:pPr>
        <w:pStyle w:val="AllowPageBreak"/>
      </w:pPr>
    </w:p>
    <w:p w:rsidR="00000000" w:rsidRPr="006A71C9" w:rsidP="006A71C9">
      <w:pPr>
        <w:pStyle w:val="Heading1"/>
      </w:pPr>
      <w:bookmarkStart w:id="4" w:name="O_931034"/>
      <w:bookmarkEnd w:id="4"/>
      <w:r w:rsidRPr="006A71C9">
        <w:t>Assessment Conditions</w:t>
      </w:r>
    </w:p>
    <w:p w:rsidR="00000000" w:rsidRPr="006A71C9" w:rsidP="006A71C9">
      <w:pPr>
        <w:pStyle w:val="ListBullet"/>
      </w:pPr>
      <w:r w:rsidRPr="006A71C9">
        <w:t>Assessors must:</w:t>
      </w:r>
    </w:p>
    <w:p w:rsidR="00000000" w:rsidRPr="006A71C9" w:rsidP="006A71C9">
      <w:pPr>
        <w:pStyle w:val="ListBullet2"/>
      </w:pPr>
      <w:r w:rsidRPr="006A71C9">
        <w:t>satisfy the assessor competency requirements that are in place at the time of the assessment, as set by the VET regulator</w:t>
      </w:r>
    </w:p>
    <w:p w:rsidR="00000000" w:rsidRPr="006A71C9" w:rsidP="006A71C9">
      <w:pPr>
        <w:pStyle w:val="ListBullet2"/>
      </w:pPr>
      <w:r w:rsidRPr="006A71C9">
        <w:t xml:space="preserve">have vocational competency in working in the TCF industry, at least to the level being assessed, with relevant industry knowledge and </w:t>
      </w:r>
      <w:r w:rsidRPr="006A71C9">
        <w:t>experience.</w:t>
      </w:r>
    </w:p>
    <w:p w:rsidR="00000000" w:rsidRPr="006A71C9" w:rsidP="006A71C9">
      <w:pPr>
        <w:pStyle w:val="ListBullet"/>
      </w:pPr>
      <w:r w:rsidRPr="006A71C9">
        <w:t>Assessment should occur in operational workplace situations. Where this is not possible, or where personal safety or environmental damage are limiting factors, assessment must occur in a sufficiently rigorous simulated environment reflecting r</w:t>
      </w:r>
      <w:r w:rsidRPr="006A71C9">
        <w:t>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6A71C9" w:rsidP="006A71C9">
      <w:pPr>
        <w:pStyle w:val="ListBullet"/>
      </w:pPr>
      <w:r w:rsidRPr="006A71C9">
        <w:t xml:space="preserve">Assessment processes and techniques </w:t>
      </w:r>
      <w:r w:rsidRPr="006A71C9">
        <w:t>must be appropriate to the language, literacy and numeracy requirements of the work being performed and the needs of the candidate.</w:t>
      </w:r>
    </w:p>
    <w:p w:rsidR="00000000" w:rsidRPr="006A71C9" w:rsidP="006A71C9">
      <w:pPr>
        <w:pStyle w:val="ListBullet"/>
      </w:pPr>
      <w:r w:rsidRPr="006A71C9">
        <w:t>Conditions for assessment must include access to all tools, equipment, materials and documentation required, including relev</w:t>
      </w:r>
      <w:r w:rsidRPr="006A71C9">
        <w:t>ant workplace procedures, product and manufacturing specifications associated with this unit.</w:t>
      </w:r>
    </w:p>
    <w:p w:rsidR="00000000" w:rsidRPr="006A71C9" w:rsidP="006A71C9">
      <w:pPr>
        <w:pStyle w:val="ListBullet"/>
      </w:pPr>
      <w:r w:rsidRPr="006A71C9">
        <w:t>The unit is applicable to all TCF sectors and assessment must ensure it is delivered to suit the industry it is being applied to.</w:t>
      </w:r>
    </w:p>
    <w:p w:rsidR="00000000" w:rsidRPr="006A71C9" w:rsidP="006A71C9">
      <w:pPr>
        <w:pStyle w:val="AllowPageBreak"/>
      </w:pPr>
    </w:p>
    <w:p w:rsidR="00000000" w:rsidRPr="006A71C9" w:rsidP="006A71C9">
      <w:pPr>
        <w:pStyle w:val="Heading1"/>
      </w:pPr>
      <w:bookmarkStart w:id="5" w:name="O_931032"/>
      <w:bookmarkEnd w:id="5"/>
      <w:r w:rsidRPr="006A71C9">
        <w:t>Links</w:t>
      </w:r>
    </w:p>
    <w:p w:rsidR="00000000" w:rsidRPr="006A71C9" w:rsidP="004D74C2">
      <w:pPr>
        <w:pStyle w:val="BodyText"/>
      </w:pPr>
      <w:r w:rsidRPr="006A71C9">
        <w:t>Companion</w:t>
      </w:r>
      <w:r w:rsidRPr="006A71C9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5E635A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6A71C9" w:rsidP="006A71C9"/>
    <w:sectPr w:rsidSect="006A71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C9" w:rsidRPr="004D74C2" w:rsidP="004D7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C2" w:rsidP="006A7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4C2" w:rsidP="006A7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74C2" w:rsidP="006A7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1C9" w:rsidRPr="004D74C2" w:rsidP="004D7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C2" w:rsidRPr="002D2AF8" w:rsidP="006A7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MSTGN2003 Work in the TCF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4D74C2" w:rsidP="006A7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9ED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47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1ED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1C9"/>
  </w:style>
  <w:style w:type="character" w:customStyle="1" w:styleId="Heading1Char">
    <w:name w:val="Heading 1 Char"/>
    <w:basedOn w:val="DefaultParagraphFont"/>
    <w:link w:val="Heading1"/>
    <w:rsid w:val="006A7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1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1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1C9"/>
    <w:rPr>
      <w:b/>
      <w:spacing w:val="0"/>
    </w:rPr>
  </w:style>
  <w:style w:type="paragraph" w:customStyle="1" w:styleId="SuperTitle">
    <w:name w:val="SuperTitle"/>
    <w:basedOn w:val="Title"/>
    <w:rsid w:val="006A7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1C9"/>
    <w:rPr>
      <w:i/>
    </w:rPr>
  </w:style>
  <w:style w:type="paragraph" w:styleId="Caption">
    <w:name w:val="caption"/>
    <w:basedOn w:val="BodyText"/>
    <w:next w:val="Normal"/>
    <w:qFormat/>
    <w:rsid w:val="006A7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1C9"/>
  </w:style>
  <w:style w:type="paragraph" w:styleId="TableofFigures">
    <w:name w:val="table of figures"/>
    <w:basedOn w:val="Normal"/>
    <w:next w:val="Normal"/>
    <w:semiHidden/>
    <w:rsid w:val="006A7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1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1C9"/>
    <w:rPr>
      <w:rFonts w:ascii="Wingdings" w:hAnsi="Wingdings"/>
    </w:rPr>
  </w:style>
  <w:style w:type="paragraph" w:customStyle="1" w:styleId="TableHeading">
    <w:name w:val="Table Heading"/>
    <w:basedOn w:val="HeadingBase"/>
    <w:rsid w:val="006A7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1C9"/>
    <w:rPr>
      <w:color w:val="0033CC"/>
      <w:u w:val="none"/>
    </w:rPr>
  </w:style>
  <w:style w:type="paragraph" w:customStyle="1" w:styleId="BodyTextRight">
    <w:name w:val="Body Text Right"/>
    <w:basedOn w:val="BodyText"/>
    <w:rsid w:val="006A7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1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1C9"/>
    <w:rPr>
      <w:sz w:val="32"/>
    </w:rPr>
  </w:style>
  <w:style w:type="paragraph" w:customStyle="1" w:styleId="HeadingProcedure">
    <w:name w:val="Heading Procedure"/>
    <w:basedOn w:val="HeadingBase"/>
    <w:next w:val="Normal"/>
    <w:rsid w:val="006A7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1C9"/>
    <w:pPr>
      <w:spacing w:before="60" w:after="60"/>
    </w:pPr>
  </w:style>
  <w:style w:type="paragraph" w:styleId="ListContinue">
    <w:name w:val="List Continue"/>
    <w:basedOn w:val="List"/>
    <w:rsid w:val="006A71C9"/>
    <w:pPr>
      <w:ind w:firstLine="0"/>
    </w:pPr>
  </w:style>
  <w:style w:type="paragraph" w:customStyle="1" w:styleId="ListNote">
    <w:name w:val="List Note"/>
    <w:basedOn w:val="List"/>
    <w:rsid w:val="006A7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1C9"/>
    <w:rPr>
      <w:rFonts w:ascii="Courier New" w:hAnsi="Courier New"/>
    </w:rPr>
  </w:style>
  <w:style w:type="paragraph" w:customStyle="1" w:styleId="NoteBullet">
    <w:name w:val="Note Bullet"/>
    <w:basedOn w:val="Note"/>
    <w:rsid w:val="006A7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1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1C9"/>
    <w:rPr>
      <w:b/>
      <w:smallCaps/>
    </w:rPr>
  </w:style>
  <w:style w:type="paragraph" w:customStyle="1" w:styleId="TableListNumber">
    <w:name w:val="Table List Number"/>
    <w:basedOn w:val="ListNumber"/>
    <w:rsid w:val="006A7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1C9"/>
    <w:pPr>
      <w:numPr>
        <w:numId w:val="9"/>
      </w:numPr>
    </w:pPr>
  </w:style>
  <w:style w:type="paragraph" w:customStyle="1" w:styleId="ListAlpha2">
    <w:name w:val="List Alpha 2"/>
    <w:basedOn w:val="List2"/>
    <w:rsid w:val="006A71C9"/>
    <w:pPr>
      <w:numPr>
        <w:numId w:val="8"/>
      </w:numPr>
    </w:pPr>
  </w:style>
  <w:style w:type="paragraph" w:styleId="List2">
    <w:name w:val="List 2"/>
    <w:basedOn w:val="BodyText"/>
    <w:rsid w:val="006A7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1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1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1C9"/>
    <w:pPr>
      <w:numPr>
        <w:numId w:val="4"/>
      </w:numPr>
    </w:pPr>
  </w:style>
  <w:style w:type="paragraph" w:styleId="ListContinue2">
    <w:name w:val="List Continue 2"/>
    <w:basedOn w:val="List2"/>
    <w:rsid w:val="006A71C9"/>
    <w:pPr>
      <w:ind w:firstLine="0"/>
    </w:pPr>
  </w:style>
  <w:style w:type="paragraph" w:styleId="ListContinue3">
    <w:name w:val="List Continue 3"/>
    <w:basedOn w:val="List3"/>
    <w:rsid w:val="006A71C9"/>
    <w:pPr>
      <w:ind w:left="1021" w:firstLine="0"/>
    </w:pPr>
  </w:style>
  <w:style w:type="paragraph" w:styleId="ListContinue4">
    <w:name w:val="List Continue 4"/>
    <w:basedOn w:val="List4"/>
    <w:rsid w:val="006A71C9"/>
    <w:pPr>
      <w:ind w:firstLine="0"/>
    </w:pPr>
  </w:style>
  <w:style w:type="paragraph" w:styleId="ListContinue5">
    <w:name w:val="List Continue 5"/>
    <w:basedOn w:val="List5"/>
    <w:rsid w:val="006A71C9"/>
    <w:pPr>
      <w:ind w:firstLine="0"/>
    </w:pPr>
  </w:style>
  <w:style w:type="paragraph" w:styleId="ListNumber3">
    <w:name w:val="List Number 3"/>
    <w:basedOn w:val="List3"/>
    <w:rsid w:val="006A71C9"/>
    <w:pPr>
      <w:numPr>
        <w:numId w:val="5"/>
      </w:numPr>
    </w:pPr>
  </w:style>
  <w:style w:type="paragraph" w:styleId="ListNumber4">
    <w:name w:val="List Number 4"/>
    <w:basedOn w:val="List4"/>
    <w:rsid w:val="006A71C9"/>
    <w:pPr>
      <w:numPr>
        <w:numId w:val="6"/>
      </w:numPr>
    </w:pPr>
  </w:style>
  <w:style w:type="paragraph" w:styleId="ListNumber5">
    <w:name w:val="List Number 5"/>
    <w:basedOn w:val="List5"/>
    <w:rsid w:val="006A71C9"/>
    <w:pPr>
      <w:numPr>
        <w:numId w:val="7"/>
      </w:numPr>
    </w:pPr>
  </w:style>
  <w:style w:type="paragraph" w:styleId="BlockText">
    <w:name w:val="Block Text"/>
    <w:basedOn w:val="Normal"/>
    <w:rsid w:val="006A7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1C9"/>
    <w:rPr>
      <w:sz w:val="16"/>
      <w:vertAlign w:val="superscript"/>
    </w:rPr>
  </w:style>
  <w:style w:type="character" w:customStyle="1" w:styleId="Symbols">
    <w:name w:val="Symbols"/>
    <w:basedOn w:val="DefaultParagraphFont"/>
    <w:rsid w:val="006A71C9"/>
    <w:rPr>
      <w:rFonts w:ascii="Symbol" w:hAnsi="Symbol"/>
    </w:rPr>
  </w:style>
  <w:style w:type="character" w:customStyle="1" w:styleId="MenuOptions">
    <w:name w:val="Menu Options"/>
    <w:basedOn w:val="DefaultParagraphFont"/>
    <w:rsid w:val="006A7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1C9"/>
    <w:rPr>
      <w:b/>
    </w:rPr>
  </w:style>
  <w:style w:type="character" w:customStyle="1" w:styleId="Underlined">
    <w:name w:val="Underlined"/>
    <w:basedOn w:val="DefaultParagraphFont"/>
    <w:rsid w:val="006A71C9"/>
    <w:rPr>
      <w:u w:val="single"/>
    </w:rPr>
  </w:style>
  <w:style w:type="paragraph" w:customStyle="1" w:styleId="TableBodyTextRight">
    <w:name w:val="Table Body Text Right"/>
    <w:basedOn w:val="TableBodyText"/>
    <w:rsid w:val="006A7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1C9"/>
    <w:rPr>
      <w:sz w:val="18"/>
    </w:rPr>
  </w:style>
  <w:style w:type="paragraph" w:customStyle="1" w:styleId="BodySmallRight">
    <w:name w:val="Body Small Right"/>
    <w:basedOn w:val="BodyTextRight"/>
    <w:rsid w:val="006A71C9"/>
    <w:rPr>
      <w:sz w:val="18"/>
      <w:szCs w:val="18"/>
    </w:rPr>
  </w:style>
  <w:style w:type="paragraph" w:customStyle="1" w:styleId="MarginEdition">
    <w:name w:val="Margin Edition"/>
    <w:basedOn w:val="MarginNote"/>
    <w:rsid w:val="006A7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1C9"/>
    <w:rPr>
      <w:sz w:val="2"/>
      <w:szCs w:val="2"/>
    </w:rPr>
  </w:style>
  <w:style w:type="character" w:customStyle="1" w:styleId="Small">
    <w:name w:val="Small"/>
    <w:basedOn w:val="DefaultParagraphFont"/>
    <w:rsid w:val="006A71C9"/>
    <w:rPr>
      <w:sz w:val="16"/>
    </w:rPr>
  </w:style>
  <w:style w:type="paragraph" w:customStyle="1" w:styleId="WideTable">
    <w:name w:val="Wide Table"/>
    <w:basedOn w:val="Normal"/>
    <w:rsid w:val="006A7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1C9"/>
  </w:style>
  <w:style w:type="paragraph" w:styleId="Quote">
    <w:name w:val="Quote"/>
    <w:basedOn w:val="Heading1"/>
    <w:link w:val="QuoteChar"/>
    <w:qFormat/>
    <w:rsid w:val="006A7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1C9"/>
    <w:pPr>
      <w:pageBreakBefore/>
    </w:pPr>
  </w:style>
  <w:style w:type="paragraph" w:customStyle="1" w:styleId="Border">
    <w:name w:val="Border"/>
    <w:basedOn w:val="Normal"/>
    <w:qFormat/>
    <w:rsid w:val="006A7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1C9"/>
    <w:rPr>
      <w:u w:val="single"/>
    </w:rPr>
  </w:style>
  <w:style w:type="character" w:customStyle="1" w:styleId="BoldandItalics">
    <w:name w:val="Bold and Italics"/>
    <w:qFormat/>
    <w:rsid w:val="006A71C9"/>
    <w:rPr>
      <w:b/>
      <w:i/>
      <w:u w:val="none"/>
    </w:rPr>
  </w:style>
  <w:style w:type="paragraph" w:styleId="BalloonText">
    <w:name w:val="Balloon Text"/>
    <w:basedOn w:val="Normal"/>
    <w:link w:val="BalloonTextChar"/>
    <w:rsid w:val="006A7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1C9"/>
    <w:pPr>
      <w:spacing w:before="0" w:after="0"/>
    </w:pPr>
  </w:style>
  <w:style w:type="paragraph" w:customStyle="1" w:styleId="BodyTextBold">
    <w:name w:val="Body Text Bold"/>
    <w:basedOn w:val="BodyText"/>
    <w:qFormat/>
    <w:rsid w:val="006A71C9"/>
    <w:rPr>
      <w:b/>
    </w:rPr>
  </w:style>
  <w:style w:type="character" w:styleId="Hyperlink">
    <w:name w:val="Hyperlink"/>
    <w:basedOn w:val="DefaultParagraphFont"/>
    <w:uiPriority w:val="99"/>
    <w:unhideWhenUsed/>
    <w:rsid w:val="004D7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3763</Characters>
  <Application>Microsoft Office Word</Application>
  <DocSecurity>0</DocSecurity>
  <Lines>104</Lines>
  <Paragraphs>84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MSTGN2003 Work in the TCF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2019-09-11T06:20:00Z</dcterms:created>
  <dcterms:modified xsi:type="dcterms:W3CDTF">2019-09-11T06:20:00Z</dcterms:modified>
</cp:coreProperties>
</file>