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700" w:rsidP="00DE17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MSTFR2002 Supply and fit new heel block</w:t>
      </w:r>
      <w:r>
        <w:fldChar w:fldCharType="end"/>
      </w:r>
    </w:p>
    <w:p w:rsidR="00DE1700" w:rsidP="00DE1700">
      <w:pPr>
        <w:pStyle w:val="Version"/>
        <w:sectPr w:rsidSect="004C62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2A6" w:rsidP="004C62A6">
      <w:pPr>
        <w:pStyle w:val="SuperHeading"/>
      </w:pPr>
      <w:r w:rsidRPr="004C62A6">
        <w:t>Assessment Requirements for MSTFR2002 Supply and fit new heel block</w:t>
      </w:r>
    </w:p>
    <w:p w:rsidR="00000000" w:rsidRPr="004C62A6" w:rsidP="004C62A6">
      <w:pPr>
        <w:pStyle w:val="Heading1"/>
      </w:pPr>
      <w:bookmarkStart w:id="1" w:name="O_935786"/>
      <w:bookmarkEnd w:id="1"/>
      <w:r w:rsidRPr="004C62A6">
        <w:t>Modification History</w:t>
      </w:r>
    </w:p>
    <w:p w:rsidR="00000000" w:rsidRPr="004C62A6" w:rsidP="00DE1700">
      <w:pPr>
        <w:pStyle w:val="BodyText"/>
      </w:pPr>
      <w:r w:rsidRPr="004C62A6">
        <w:t>Release 1. Supersedes and is equivalent to LMTFR2002A Supply and fit new heel block</w:t>
      </w:r>
    </w:p>
    <w:p w:rsidR="00000000" w:rsidRPr="004C62A6" w:rsidP="004C62A6">
      <w:pPr>
        <w:pStyle w:val="Heading1"/>
      </w:pPr>
      <w:bookmarkStart w:id="2" w:name="O_935789"/>
      <w:bookmarkEnd w:id="2"/>
      <w:r w:rsidRPr="004C62A6">
        <w:t>Performance Evidence</w:t>
      </w:r>
    </w:p>
    <w:p w:rsidR="00000000" w:rsidRPr="004C62A6" w:rsidP="00DE1700">
      <w:pPr>
        <w:pStyle w:val="BodyText"/>
      </w:pPr>
      <w:r w:rsidRPr="004C62A6">
        <w:t>Evidence required to demonstrate competence in this unit must be relevant to and satisfy the requirements of the elements and performance criteria and include:</w:t>
      </w:r>
    </w:p>
    <w:p w:rsidR="00000000" w:rsidRPr="004C62A6" w:rsidP="004C62A6">
      <w:pPr>
        <w:pStyle w:val="ListBullet"/>
      </w:pPr>
      <w:r w:rsidRPr="004C62A6">
        <w:t>reading and following work instructions, standard operating procedures (SOPs), safe work practi</w:t>
      </w:r>
      <w:r w:rsidRPr="004C62A6">
        <w:t xml:space="preserve">ces </w:t>
      </w:r>
    </w:p>
    <w:p w:rsidR="00000000" w:rsidRPr="004C62A6" w:rsidP="004C62A6">
      <w:pPr>
        <w:pStyle w:val="ListBullet"/>
      </w:pPr>
      <w:r w:rsidRPr="004C62A6">
        <w:t>applying relevant standards</w:t>
      </w:r>
    </w:p>
    <w:p w:rsidR="00000000" w:rsidRPr="004C62A6" w:rsidP="004C62A6">
      <w:pPr>
        <w:pStyle w:val="ListBullet"/>
      </w:pPr>
      <w:r w:rsidRPr="004C62A6">
        <w:t>assessing footwear repair requirements</w:t>
      </w:r>
    </w:p>
    <w:p w:rsidR="00000000" w:rsidRPr="004C62A6" w:rsidP="004C62A6">
      <w:pPr>
        <w:pStyle w:val="ListBullet"/>
      </w:pPr>
      <w:r w:rsidRPr="004C62A6">
        <w:t>applying hand and machine techniques over the range of required operations</w:t>
      </w:r>
    </w:p>
    <w:p w:rsidR="00000000" w:rsidRPr="004C62A6" w:rsidP="004C62A6">
      <w:pPr>
        <w:pStyle w:val="ListBullet"/>
      </w:pPr>
      <w:r w:rsidRPr="004C62A6">
        <w:t>handling materials, tools and equipment according to workplace procedures</w:t>
      </w:r>
    </w:p>
    <w:p w:rsidR="00000000" w:rsidRPr="004C62A6" w:rsidP="004C62A6">
      <w:pPr>
        <w:pStyle w:val="ListBullet"/>
      </w:pPr>
      <w:r w:rsidRPr="004C62A6">
        <w:t>repairing at least four (4) heel bl</w:t>
      </w:r>
      <w:r w:rsidRPr="004C62A6">
        <w:t>ocks on a variety of shoe types to meet quality and enterprise standards</w:t>
      </w:r>
    </w:p>
    <w:p w:rsidR="00000000" w:rsidRPr="004C62A6" w:rsidP="004C62A6">
      <w:pPr>
        <w:pStyle w:val="ListBullet"/>
      </w:pPr>
      <w:r w:rsidRPr="004C62A6">
        <w:t>finishing off heel and top piece, as required, including staining and dying to match as close as possible original shoe colour and design</w:t>
      </w:r>
    </w:p>
    <w:p w:rsidR="00000000" w:rsidRPr="004C62A6" w:rsidP="004C62A6">
      <w:pPr>
        <w:pStyle w:val="ListBullet"/>
      </w:pPr>
      <w:r w:rsidRPr="004C62A6">
        <w:t>packing, labelling and storing repaired shoes</w:t>
      </w:r>
      <w:r w:rsidRPr="004C62A6">
        <w:t xml:space="preserve"> </w:t>
      </w:r>
    </w:p>
    <w:p w:rsidR="00000000" w:rsidRPr="004C62A6" w:rsidP="004C62A6">
      <w:pPr>
        <w:pStyle w:val="ListBullet"/>
      </w:pPr>
      <w:r w:rsidRPr="004C62A6">
        <w:t>maintaining accurate records.</w:t>
      </w:r>
    </w:p>
    <w:p w:rsidR="00000000" w:rsidRPr="004C62A6" w:rsidP="004C62A6">
      <w:pPr>
        <w:pStyle w:val="AllowPageBreak"/>
      </w:pPr>
    </w:p>
    <w:p w:rsidR="00000000" w:rsidRPr="004C62A6" w:rsidP="004C62A6">
      <w:pPr>
        <w:pStyle w:val="Heading1"/>
      </w:pPr>
      <w:bookmarkStart w:id="3" w:name="O_935788"/>
      <w:bookmarkEnd w:id="3"/>
      <w:r w:rsidRPr="004C62A6">
        <w:t>Knowledge Evidence</w:t>
      </w:r>
    </w:p>
    <w:p w:rsidR="00000000" w:rsidRPr="004C62A6" w:rsidP="00DE1700">
      <w:pPr>
        <w:pStyle w:val="BodyText"/>
      </w:pPr>
      <w:r w:rsidRPr="004C62A6">
        <w:t>Evidence must be provided that demonstrates knowledge of:</w:t>
      </w:r>
    </w:p>
    <w:p w:rsidR="00000000" w:rsidRPr="004C62A6" w:rsidP="004C62A6">
      <w:pPr>
        <w:pStyle w:val="ListBullet"/>
      </w:pPr>
      <w:r w:rsidRPr="004C62A6">
        <w:t>safe work practices and procedures and use of personal protective equipment (PPE)</w:t>
      </w:r>
    </w:p>
    <w:p w:rsidR="00000000" w:rsidRPr="004C62A6" w:rsidP="004C62A6">
      <w:pPr>
        <w:pStyle w:val="ListBullet"/>
      </w:pPr>
      <w:r w:rsidRPr="004C62A6">
        <w:t>relevant Australian Standards</w:t>
      </w:r>
    </w:p>
    <w:p w:rsidR="00000000" w:rsidRPr="004C62A6" w:rsidP="004C62A6">
      <w:pPr>
        <w:pStyle w:val="ListBullet"/>
      </w:pPr>
      <w:r w:rsidRPr="004C62A6">
        <w:t>full range of foo</w:t>
      </w:r>
      <w:r w:rsidRPr="004C62A6">
        <w:t>twear styles and their structure and construction</w:t>
      </w:r>
    </w:p>
    <w:p w:rsidR="00000000" w:rsidRPr="004C62A6" w:rsidP="004C62A6">
      <w:pPr>
        <w:pStyle w:val="ListBullet"/>
      </w:pPr>
      <w:r w:rsidRPr="004C62A6">
        <w:t>characteristics and use of adhesives and primers and their safe application and disposal</w:t>
      </w:r>
    </w:p>
    <w:p w:rsidR="00000000" w:rsidRPr="004C62A6" w:rsidP="004C62A6">
      <w:pPr>
        <w:pStyle w:val="ListBullet"/>
      </w:pPr>
      <w:r w:rsidRPr="004C62A6">
        <w:t>characteristics of typical leathers, fabrics, and other materials used in shoe construction and repair</w:t>
      </w:r>
    </w:p>
    <w:p w:rsidR="00000000" w:rsidRPr="004C62A6" w:rsidP="004C62A6">
      <w:pPr>
        <w:pStyle w:val="ListBullet"/>
      </w:pPr>
      <w:r w:rsidRPr="004C62A6">
        <w:t>quality standards and leather handling procedures</w:t>
      </w:r>
    </w:p>
    <w:p w:rsidR="00000000" w:rsidRPr="004C62A6" w:rsidP="004C62A6">
      <w:pPr>
        <w:pStyle w:val="ListBullet"/>
      </w:pPr>
      <w:r w:rsidRPr="004C62A6">
        <w:t>use of machines, equipment and tools, adhesives and primers, and stains, dyes and inks</w:t>
      </w:r>
    </w:p>
    <w:p w:rsidR="00000000" w:rsidRPr="004C62A6" w:rsidP="004C62A6">
      <w:pPr>
        <w:pStyle w:val="ListBullet"/>
      </w:pPr>
      <w:r w:rsidRPr="004C62A6">
        <w:t>tools:</w:t>
      </w:r>
    </w:p>
    <w:p w:rsidR="00000000" w:rsidRPr="004C62A6" w:rsidP="004C62A6">
      <w:pPr>
        <w:pStyle w:val="ListBullet2"/>
      </w:pPr>
      <w:r w:rsidRPr="004C62A6">
        <w:t>shoe hammer</w:t>
      </w:r>
    </w:p>
    <w:p w:rsidR="00000000" w:rsidRPr="004C62A6" w:rsidP="004C62A6">
      <w:pPr>
        <w:pStyle w:val="ListBullet2"/>
      </w:pPr>
      <w:r w:rsidRPr="004C62A6">
        <w:t>tack hammer</w:t>
      </w:r>
    </w:p>
    <w:p w:rsidR="00000000" w:rsidRPr="004C62A6" w:rsidP="004C62A6">
      <w:pPr>
        <w:pStyle w:val="ListBullet2"/>
      </w:pPr>
      <w:r w:rsidRPr="004C62A6">
        <w:t>shoe knife</w:t>
      </w:r>
    </w:p>
    <w:p w:rsidR="00000000" w:rsidRPr="004C62A6" w:rsidP="004C62A6">
      <w:pPr>
        <w:pStyle w:val="ListBullet2"/>
      </w:pPr>
      <w:r w:rsidRPr="004C62A6">
        <w:t>sharpening stick</w:t>
      </w:r>
    </w:p>
    <w:p w:rsidR="00000000" w:rsidRPr="004C62A6" w:rsidP="004C62A6">
      <w:pPr>
        <w:pStyle w:val="ListBullet2"/>
      </w:pPr>
      <w:r w:rsidRPr="004C62A6">
        <w:t>peg awl</w:t>
      </w:r>
    </w:p>
    <w:p w:rsidR="00000000" w:rsidRPr="004C62A6" w:rsidP="004C62A6">
      <w:pPr>
        <w:pStyle w:val="ListBullet2"/>
      </w:pPr>
      <w:r w:rsidRPr="004C62A6">
        <w:t>glue gun</w:t>
      </w:r>
    </w:p>
    <w:p w:rsidR="00000000" w:rsidRPr="004C62A6" w:rsidP="004C62A6">
      <w:pPr>
        <w:pStyle w:val="ListBullet2"/>
      </w:pPr>
      <w:r w:rsidRPr="004C62A6">
        <w:t>pincers</w:t>
      </w:r>
    </w:p>
    <w:p w:rsidR="00000000" w:rsidRPr="004C62A6" w:rsidP="004C62A6">
      <w:pPr>
        <w:pStyle w:val="ListBullet2"/>
      </w:pPr>
      <w:r w:rsidRPr="004C62A6">
        <w:t>nippers</w:t>
      </w:r>
    </w:p>
    <w:p w:rsidR="00000000" w:rsidRPr="004C62A6" w:rsidP="004C62A6">
      <w:pPr>
        <w:pStyle w:val="ListBullet2"/>
      </w:pPr>
      <w:r w:rsidRPr="004C62A6">
        <w:t>lasting pliers</w:t>
      </w:r>
    </w:p>
    <w:p w:rsidR="00000000" w:rsidRPr="004C62A6" w:rsidP="004C62A6">
      <w:pPr>
        <w:pStyle w:val="ListBullet2"/>
      </w:pPr>
      <w:r w:rsidRPr="004C62A6">
        <w:t>shears</w:t>
      </w:r>
    </w:p>
    <w:p w:rsidR="00000000" w:rsidRPr="004C62A6" w:rsidP="004C62A6">
      <w:pPr>
        <w:pStyle w:val="ListBullet2"/>
      </w:pPr>
      <w:r w:rsidRPr="004C62A6">
        <w:t>drag</w:t>
      </w:r>
      <w:r w:rsidRPr="004C62A6">
        <w:t xml:space="preserve"> knife</w:t>
      </w:r>
    </w:p>
    <w:p w:rsidR="00000000" w:rsidRPr="004C62A6" w:rsidP="004C62A6">
      <w:pPr>
        <w:pStyle w:val="ListBullet2"/>
      </w:pPr>
      <w:r w:rsidRPr="004C62A6">
        <w:t>tack</w:t>
      </w:r>
    </w:p>
    <w:p w:rsidR="00000000" w:rsidRPr="004C62A6" w:rsidP="004C62A6">
      <w:pPr>
        <w:pStyle w:val="ListBullet"/>
      </w:pPr>
      <w:r w:rsidRPr="004C62A6">
        <w:t>machines:</w:t>
      </w:r>
    </w:p>
    <w:p w:rsidR="00000000" w:rsidRPr="004C62A6" w:rsidP="004C62A6">
      <w:pPr>
        <w:pStyle w:val="ListBullet2"/>
      </w:pPr>
      <w:r w:rsidRPr="004C62A6">
        <w:t>finishing machine</w:t>
      </w:r>
    </w:p>
    <w:p w:rsidR="00000000" w:rsidRPr="004C62A6" w:rsidP="004C62A6">
      <w:pPr>
        <w:pStyle w:val="ListBullet2"/>
      </w:pPr>
      <w:r w:rsidRPr="004C62A6">
        <w:t>securing machine</w:t>
      </w:r>
    </w:p>
    <w:p w:rsidR="00000000" w:rsidRPr="004C62A6" w:rsidP="004C62A6">
      <w:pPr>
        <w:pStyle w:val="ListBullet2"/>
      </w:pPr>
      <w:r w:rsidRPr="004C62A6">
        <w:t>heat activator</w:t>
      </w:r>
    </w:p>
    <w:p w:rsidR="00000000" w:rsidRPr="004C62A6" w:rsidP="004C62A6">
      <w:pPr>
        <w:pStyle w:val="ListBullet2"/>
      </w:pPr>
      <w:r w:rsidRPr="004C62A6">
        <w:t>last</w:t>
      </w:r>
    </w:p>
    <w:p w:rsidR="00000000" w:rsidRPr="004C62A6" w:rsidP="004C62A6">
      <w:pPr>
        <w:pStyle w:val="ListBullet2"/>
      </w:pPr>
      <w:r w:rsidRPr="004C62A6">
        <w:t>heat pliers</w:t>
      </w:r>
    </w:p>
    <w:p w:rsidR="00000000" w:rsidRPr="004C62A6" w:rsidP="004C62A6">
      <w:pPr>
        <w:pStyle w:val="ListBullet"/>
      </w:pPr>
      <w:r w:rsidRPr="004C62A6">
        <w:t>general industry housekeeping policies and procedures</w:t>
      </w:r>
    </w:p>
    <w:p w:rsidR="00000000" w:rsidRPr="004C62A6" w:rsidP="004C62A6">
      <w:pPr>
        <w:pStyle w:val="ListBullet"/>
      </w:pPr>
      <w:r w:rsidRPr="004C62A6">
        <w:t>quality practices</w:t>
      </w:r>
    </w:p>
    <w:p w:rsidR="00000000" w:rsidRPr="004C62A6" w:rsidP="004C62A6">
      <w:pPr>
        <w:pStyle w:val="ListBullet"/>
      </w:pPr>
      <w:r w:rsidRPr="004C62A6">
        <w:t>workplace procedures</w:t>
      </w:r>
    </w:p>
    <w:p w:rsidR="00000000" w:rsidRPr="004C62A6" w:rsidP="004C62A6">
      <w:pPr>
        <w:pStyle w:val="ListBullet"/>
      </w:pPr>
      <w:r w:rsidRPr="004C62A6">
        <w:t>practices for recording and reporting.</w:t>
      </w:r>
    </w:p>
    <w:p w:rsidR="00000000" w:rsidRPr="004C62A6" w:rsidP="004C62A6">
      <w:pPr>
        <w:pStyle w:val="AllowPageBreak"/>
      </w:pPr>
    </w:p>
    <w:p w:rsidR="00000000" w:rsidRPr="004C62A6" w:rsidP="004C62A6">
      <w:pPr>
        <w:pStyle w:val="Heading1"/>
      </w:pPr>
      <w:bookmarkStart w:id="4" w:name="O_935787"/>
      <w:bookmarkEnd w:id="4"/>
      <w:r w:rsidRPr="004C62A6">
        <w:t>Assessment Conditions</w:t>
      </w:r>
    </w:p>
    <w:p w:rsidR="00000000" w:rsidRPr="004C62A6" w:rsidP="004C62A6">
      <w:pPr>
        <w:pStyle w:val="ListBullet"/>
      </w:pPr>
      <w:r w:rsidRPr="004C62A6">
        <w:t>Assessors must:</w:t>
      </w:r>
    </w:p>
    <w:p w:rsidR="00000000" w:rsidRPr="004C62A6" w:rsidP="004C62A6">
      <w:pPr>
        <w:pStyle w:val="ListBullet2"/>
      </w:pPr>
      <w:r w:rsidRPr="004C62A6">
        <w:t>satisfy the assessor competency requirements that are in place at the time of the assessment, as set by the VET regulator</w:t>
      </w:r>
    </w:p>
    <w:p w:rsidR="00000000" w:rsidRPr="004C62A6" w:rsidP="004C62A6">
      <w:pPr>
        <w:pStyle w:val="ListBullet2"/>
      </w:pPr>
      <w:r w:rsidRPr="004C62A6">
        <w:t>have vocational competency in supplying and fitting new hee</w:t>
      </w:r>
      <w:r w:rsidRPr="004C62A6">
        <w:t>l block, at least to the level being assessed, with relevant industry knowledge and experience.</w:t>
      </w:r>
    </w:p>
    <w:p w:rsidR="00000000" w:rsidRPr="004C62A6" w:rsidP="004C62A6">
      <w:pPr>
        <w:pStyle w:val="ListBullet"/>
      </w:pPr>
      <w:r w:rsidRPr="004C62A6">
        <w:t>Assessment should occur in operational workplace situations. Where this is not possible, or where personal safety or environmental damage are limiting factors,</w:t>
      </w:r>
      <w:r w:rsidRPr="004C62A6">
        <w:t xml:space="preserve"> assessment must occur in a sufficiently rigorous simulated environment reflecting realistic operational workplace conditions. This must cover all aspects of workplace performance, including environment, task skills, task management skills, contingency man</w:t>
      </w:r>
      <w:r w:rsidRPr="004C62A6">
        <w:t>agement skills and job role environment skills.</w:t>
      </w:r>
    </w:p>
    <w:p w:rsidR="00000000" w:rsidRPr="004C62A6" w:rsidP="004C62A6">
      <w:pPr>
        <w:pStyle w:val="ListBullet"/>
      </w:pPr>
      <w:r w:rsidRPr="004C62A6">
        <w:t>Assessment processes and techniques must be appropriate to the language, literacy and numeracy requirements of the work being performed and the needs of the candidate.</w:t>
      </w:r>
    </w:p>
    <w:p w:rsidR="00000000" w:rsidRPr="004C62A6" w:rsidP="004C62A6">
      <w:pPr>
        <w:pStyle w:val="ListBullet"/>
      </w:pPr>
      <w:r w:rsidRPr="004C62A6">
        <w:t>Conditions for assessment must include a</w:t>
      </w:r>
      <w:r w:rsidRPr="004C62A6">
        <w:t>ccess to all tools, equipment, materials and documentation required, including relevant workplace procedures, product and manufacturing specifications associated with this unit.</w:t>
      </w:r>
    </w:p>
    <w:p w:rsidR="00000000" w:rsidRPr="004C62A6" w:rsidP="004C62A6">
      <w:pPr>
        <w:pStyle w:val="AllowPageBreak"/>
      </w:pPr>
    </w:p>
    <w:p w:rsidR="00000000" w:rsidRPr="004C62A6" w:rsidP="004C62A6">
      <w:pPr>
        <w:pStyle w:val="Heading1"/>
      </w:pPr>
      <w:bookmarkStart w:id="5" w:name="O_935785"/>
      <w:bookmarkEnd w:id="5"/>
      <w:r w:rsidRPr="004C62A6">
        <w:t>Links</w:t>
      </w:r>
    </w:p>
    <w:p w:rsidR="00000000" w:rsidRPr="004C62A6" w:rsidP="00DE1700">
      <w:pPr>
        <w:pStyle w:val="BodyText"/>
      </w:pPr>
      <w:r w:rsidRPr="004C62A6">
        <w:t>Companion Volume implementation guides are found in VET</w:t>
      </w:r>
      <w:r w:rsidRPr="004C62A6">
        <w:t xml:space="preserve">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75CA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C62A6" w:rsidP="004C62A6"/>
    <w:sectPr w:rsidSect="004C62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2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2A6" w:rsidRPr="00DE1700" w:rsidP="00DE17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2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00" w:rsidP="004C62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1700" w:rsidP="004C62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E1700" w:rsidP="004C62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2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2A6" w:rsidRPr="00DE1700" w:rsidP="00DE17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2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00" w:rsidRPr="002D2AF8" w:rsidP="004C62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MSTFR2002 Supply and fit new heel block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E1700" w:rsidP="004C62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0C02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F22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02C3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2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2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2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2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2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2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2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2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2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2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2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2A6"/>
  </w:style>
  <w:style w:type="character" w:customStyle="1" w:styleId="Heading1Char">
    <w:name w:val="Heading 1 Char"/>
    <w:basedOn w:val="DefaultParagraphFont"/>
    <w:link w:val="Heading1"/>
    <w:rsid w:val="004C62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2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2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2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62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62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2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2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2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2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2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2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2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2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2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2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2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2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2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2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2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2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2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62A6"/>
    <w:rPr>
      <w:b/>
      <w:spacing w:val="0"/>
    </w:rPr>
  </w:style>
  <w:style w:type="paragraph" w:customStyle="1" w:styleId="SuperTitle">
    <w:name w:val="SuperTitle"/>
    <w:basedOn w:val="Title"/>
    <w:rsid w:val="004C62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2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2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62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2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2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2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2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2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2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2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2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2A6"/>
    <w:rPr>
      <w:i/>
    </w:rPr>
  </w:style>
  <w:style w:type="paragraph" w:styleId="Caption">
    <w:name w:val="caption"/>
    <w:basedOn w:val="BodyText"/>
    <w:next w:val="Normal"/>
    <w:qFormat/>
    <w:rsid w:val="004C62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2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2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2A6"/>
  </w:style>
  <w:style w:type="paragraph" w:styleId="TableofFigures">
    <w:name w:val="table of figures"/>
    <w:basedOn w:val="Normal"/>
    <w:next w:val="Normal"/>
    <w:semiHidden/>
    <w:rsid w:val="004C62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2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62A6"/>
    <w:rPr>
      <w:rFonts w:ascii="Wingdings" w:hAnsi="Wingdings"/>
    </w:rPr>
  </w:style>
  <w:style w:type="paragraph" w:customStyle="1" w:styleId="TableHeading">
    <w:name w:val="Table Heading"/>
    <w:basedOn w:val="HeadingBase"/>
    <w:rsid w:val="004C62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2A6"/>
    <w:rPr>
      <w:color w:val="0033CC"/>
      <w:u w:val="none"/>
    </w:rPr>
  </w:style>
  <w:style w:type="paragraph" w:customStyle="1" w:styleId="BodyTextRight">
    <w:name w:val="Body Text Right"/>
    <w:basedOn w:val="BodyText"/>
    <w:rsid w:val="004C62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2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2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2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2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2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2A6"/>
    <w:rPr>
      <w:sz w:val="32"/>
    </w:rPr>
  </w:style>
  <w:style w:type="paragraph" w:customStyle="1" w:styleId="HeadingProcedure">
    <w:name w:val="Heading Procedure"/>
    <w:basedOn w:val="HeadingBase"/>
    <w:next w:val="Normal"/>
    <w:rsid w:val="004C62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2A6"/>
    <w:pPr>
      <w:spacing w:before="60" w:after="60"/>
    </w:pPr>
  </w:style>
  <w:style w:type="paragraph" w:styleId="ListContinue">
    <w:name w:val="List Continue"/>
    <w:basedOn w:val="List"/>
    <w:rsid w:val="004C62A6"/>
    <w:pPr>
      <w:ind w:firstLine="0"/>
    </w:pPr>
  </w:style>
  <w:style w:type="paragraph" w:customStyle="1" w:styleId="ListNote">
    <w:name w:val="List Note"/>
    <w:basedOn w:val="List"/>
    <w:rsid w:val="004C62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2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2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2A6"/>
    <w:rPr>
      <w:rFonts w:ascii="Courier New" w:hAnsi="Courier New"/>
    </w:rPr>
  </w:style>
  <w:style w:type="paragraph" w:customStyle="1" w:styleId="NoteBullet">
    <w:name w:val="Note Bullet"/>
    <w:basedOn w:val="Note"/>
    <w:rsid w:val="004C62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2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2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2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2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62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2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2A6"/>
    <w:rPr>
      <w:b/>
      <w:smallCaps/>
    </w:rPr>
  </w:style>
  <w:style w:type="paragraph" w:customStyle="1" w:styleId="TableListNumber">
    <w:name w:val="Table List Number"/>
    <w:basedOn w:val="ListNumber"/>
    <w:rsid w:val="004C62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2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2A6"/>
    <w:pPr>
      <w:numPr>
        <w:numId w:val="9"/>
      </w:numPr>
    </w:pPr>
  </w:style>
  <w:style w:type="paragraph" w:customStyle="1" w:styleId="ListAlpha2">
    <w:name w:val="List Alpha 2"/>
    <w:basedOn w:val="List2"/>
    <w:rsid w:val="004C62A6"/>
    <w:pPr>
      <w:numPr>
        <w:numId w:val="8"/>
      </w:numPr>
    </w:pPr>
  </w:style>
  <w:style w:type="paragraph" w:styleId="List2">
    <w:name w:val="List 2"/>
    <w:basedOn w:val="BodyText"/>
    <w:rsid w:val="004C62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2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2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2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2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2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62A6"/>
    <w:pPr>
      <w:numPr>
        <w:numId w:val="4"/>
      </w:numPr>
    </w:pPr>
  </w:style>
  <w:style w:type="paragraph" w:styleId="ListContinue2">
    <w:name w:val="List Continue 2"/>
    <w:basedOn w:val="List2"/>
    <w:rsid w:val="004C62A6"/>
    <w:pPr>
      <w:ind w:firstLine="0"/>
    </w:pPr>
  </w:style>
  <w:style w:type="paragraph" w:styleId="ListContinue3">
    <w:name w:val="List Continue 3"/>
    <w:basedOn w:val="List3"/>
    <w:rsid w:val="004C62A6"/>
    <w:pPr>
      <w:ind w:left="1021" w:firstLine="0"/>
    </w:pPr>
  </w:style>
  <w:style w:type="paragraph" w:styleId="ListContinue4">
    <w:name w:val="List Continue 4"/>
    <w:basedOn w:val="List4"/>
    <w:rsid w:val="004C62A6"/>
    <w:pPr>
      <w:ind w:firstLine="0"/>
    </w:pPr>
  </w:style>
  <w:style w:type="paragraph" w:styleId="ListContinue5">
    <w:name w:val="List Continue 5"/>
    <w:basedOn w:val="List5"/>
    <w:rsid w:val="004C62A6"/>
    <w:pPr>
      <w:ind w:firstLine="0"/>
    </w:pPr>
  </w:style>
  <w:style w:type="paragraph" w:styleId="ListNumber3">
    <w:name w:val="List Number 3"/>
    <w:basedOn w:val="List3"/>
    <w:rsid w:val="004C62A6"/>
    <w:pPr>
      <w:numPr>
        <w:numId w:val="5"/>
      </w:numPr>
    </w:pPr>
  </w:style>
  <w:style w:type="paragraph" w:styleId="ListNumber4">
    <w:name w:val="List Number 4"/>
    <w:basedOn w:val="List4"/>
    <w:rsid w:val="004C62A6"/>
    <w:pPr>
      <w:numPr>
        <w:numId w:val="6"/>
      </w:numPr>
    </w:pPr>
  </w:style>
  <w:style w:type="paragraph" w:styleId="ListNumber5">
    <w:name w:val="List Number 5"/>
    <w:basedOn w:val="List5"/>
    <w:rsid w:val="004C62A6"/>
    <w:pPr>
      <w:numPr>
        <w:numId w:val="7"/>
      </w:numPr>
    </w:pPr>
  </w:style>
  <w:style w:type="paragraph" w:styleId="BlockText">
    <w:name w:val="Block Text"/>
    <w:basedOn w:val="Normal"/>
    <w:rsid w:val="004C62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2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2A6"/>
    <w:rPr>
      <w:sz w:val="16"/>
      <w:vertAlign w:val="superscript"/>
    </w:rPr>
  </w:style>
  <w:style w:type="character" w:customStyle="1" w:styleId="Symbols">
    <w:name w:val="Symbols"/>
    <w:basedOn w:val="DefaultParagraphFont"/>
    <w:rsid w:val="004C62A6"/>
    <w:rPr>
      <w:rFonts w:ascii="Symbol" w:hAnsi="Symbol"/>
    </w:rPr>
  </w:style>
  <w:style w:type="character" w:customStyle="1" w:styleId="MenuOptions">
    <w:name w:val="Menu Options"/>
    <w:basedOn w:val="DefaultParagraphFont"/>
    <w:rsid w:val="004C62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2A6"/>
    <w:rPr>
      <w:b/>
    </w:rPr>
  </w:style>
  <w:style w:type="character" w:customStyle="1" w:styleId="Underlined">
    <w:name w:val="Underlined"/>
    <w:basedOn w:val="DefaultParagraphFont"/>
    <w:rsid w:val="004C62A6"/>
    <w:rPr>
      <w:u w:val="single"/>
    </w:rPr>
  </w:style>
  <w:style w:type="paragraph" w:customStyle="1" w:styleId="TableBodyTextRight">
    <w:name w:val="Table Body Text Right"/>
    <w:basedOn w:val="TableBodyText"/>
    <w:rsid w:val="004C62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2A6"/>
    <w:rPr>
      <w:sz w:val="18"/>
    </w:rPr>
  </w:style>
  <w:style w:type="paragraph" w:customStyle="1" w:styleId="BodySmallRight">
    <w:name w:val="Body Small Right"/>
    <w:basedOn w:val="BodyTextRight"/>
    <w:rsid w:val="004C62A6"/>
    <w:rPr>
      <w:sz w:val="18"/>
      <w:szCs w:val="18"/>
    </w:rPr>
  </w:style>
  <w:style w:type="paragraph" w:customStyle="1" w:styleId="MarginEdition">
    <w:name w:val="Margin Edition"/>
    <w:basedOn w:val="MarginNote"/>
    <w:rsid w:val="004C62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2A6"/>
    <w:rPr>
      <w:sz w:val="2"/>
      <w:szCs w:val="2"/>
    </w:rPr>
  </w:style>
  <w:style w:type="character" w:customStyle="1" w:styleId="Small">
    <w:name w:val="Small"/>
    <w:basedOn w:val="DefaultParagraphFont"/>
    <w:rsid w:val="004C62A6"/>
    <w:rPr>
      <w:sz w:val="16"/>
    </w:rPr>
  </w:style>
  <w:style w:type="paragraph" w:customStyle="1" w:styleId="WideTable">
    <w:name w:val="Wide Table"/>
    <w:basedOn w:val="Normal"/>
    <w:rsid w:val="004C62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2A6"/>
  </w:style>
  <w:style w:type="paragraph" w:styleId="Quote">
    <w:name w:val="Quote"/>
    <w:basedOn w:val="Heading1"/>
    <w:link w:val="QuoteChar"/>
    <w:qFormat/>
    <w:rsid w:val="004C62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2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2A6"/>
    <w:pPr>
      <w:pageBreakBefore/>
    </w:pPr>
  </w:style>
  <w:style w:type="paragraph" w:customStyle="1" w:styleId="Border">
    <w:name w:val="Border"/>
    <w:basedOn w:val="Normal"/>
    <w:qFormat/>
    <w:rsid w:val="004C62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2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2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2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2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2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2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2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2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2A6"/>
    <w:rPr>
      <w:u w:val="single"/>
    </w:rPr>
  </w:style>
  <w:style w:type="character" w:customStyle="1" w:styleId="BoldandItalics">
    <w:name w:val="Bold and Italics"/>
    <w:qFormat/>
    <w:rsid w:val="004C62A6"/>
    <w:rPr>
      <w:b/>
      <w:i/>
      <w:u w:val="none"/>
    </w:rPr>
  </w:style>
  <w:style w:type="paragraph" w:styleId="BalloonText">
    <w:name w:val="Balloon Text"/>
    <w:basedOn w:val="Normal"/>
    <w:link w:val="BalloonTextChar"/>
    <w:rsid w:val="004C62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2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2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2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2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2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2A6"/>
    <w:pPr>
      <w:spacing w:before="0" w:after="0"/>
    </w:pPr>
  </w:style>
  <w:style w:type="paragraph" w:customStyle="1" w:styleId="BodyTextBold">
    <w:name w:val="Body Text Bold"/>
    <w:basedOn w:val="BodyText"/>
    <w:qFormat/>
    <w:rsid w:val="004C62A6"/>
    <w:rPr>
      <w:b/>
    </w:rPr>
  </w:style>
  <w:style w:type="character" w:styleId="Hyperlink">
    <w:name w:val="Hyperlink"/>
    <w:basedOn w:val="DefaultParagraphFont"/>
    <w:uiPriority w:val="99"/>
    <w:unhideWhenUsed/>
    <w:rsid w:val="00DE17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3017</Characters>
  <Application>Microsoft Office Word</Application>
  <DocSecurity>0</DocSecurity>
  <Lines>83</Lines>
  <Paragraphs>68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MSTFR2002 Supply and fit new heel block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2022-12-22T00:54:00Z</dcterms:created>
  <dcterms:modified xsi:type="dcterms:W3CDTF">2022-12-22T00:54:00Z</dcterms:modified>
</cp:coreProperties>
</file>