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4BE5" w:rsidP="00D64BE5">
      <w:pPr>
        <w:pStyle w:val="Title"/>
      </w:pPr>
      <w:r>
        <w:fldChar w:fldCharType="begin"/>
      </w:r>
      <w:r>
        <w:instrText xml:space="preserve"> TITLE   \* MERGEFORMAT </w:instrText>
      </w:r>
      <w:r>
        <w:fldChar w:fldCharType="separate"/>
      </w:r>
      <w:r>
        <w:t>MSTFP3005 Supervise footwear production operations</w:t>
      </w:r>
      <w:r>
        <w:fldChar w:fldCharType="end"/>
      </w:r>
    </w:p>
    <w:p w:rsidR="00D64BE5" w:rsidP="00D64BE5">
      <w:pPr>
        <w:pStyle w:val="Version"/>
        <w:sectPr w:rsidSect="00D01E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1EE3" w:rsidP="00D01EE3">
      <w:pPr>
        <w:pStyle w:val="SuperHeading"/>
      </w:pPr>
      <w:r w:rsidRPr="00D01EE3">
        <w:t>MSTFP3005 Supervise footwear production operations</w:t>
      </w:r>
    </w:p>
    <w:p w:rsidR="00000000" w:rsidRPr="00D01EE3" w:rsidP="00D01EE3">
      <w:pPr>
        <w:pStyle w:val="Heading1"/>
      </w:pPr>
      <w:bookmarkStart w:id="1" w:name="O_934622"/>
      <w:bookmarkEnd w:id="1"/>
      <w:r w:rsidRPr="00D01EE3">
        <w:t>Modification History</w:t>
      </w:r>
    </w:p>
    <w:p w:rsidR="00000000" w:rsidRPr="00D01EE3" w:rsidP="00D64BE5">
      <w:pPr>
        <w:pStyle w:val="BodyText"/>
      </w:pPr>
      <w:r w:rsidRPr="00D01EE3">
        <w:t>Release 1. Supersedes and is equivalent to LMTFP3005B Supervise footwear production operations</w:t>
      </w:r>
    </w:p>
    <w:p w:rsidR="00000000" w:rsidRPr="00D01EE3" w:rsidP="00D01EE3">
      <w:pPr>
        <w:pStyle w:val="Heading1"/>
      </w:pPr>
      <w:bookmarkStart w:id="2" w:name="O_934630"/>
      <w:bookmarkEnd w:id="2"/>
      <w:r w:rsidRPr="00D01EE3">
        <w:t>Application</w:t>
      </w:r>
    </w:p>
    <w:p w:rsidR="00000000" w:rsidRPr="00D01EE3" w:rsidP="00D64BE5">
      <w:pPr>
        <w:pStyle w:val="BodyText"/>
      </w:pPr>
      <w:r w:rsidRPr="00D01EE3">
        <w:t>This unit of competency covers the skills and knowledge required to supervise operations in a designate</w:t>
      </w:r>
      <w:r w:rsidRPr="00D01EE3">
        <w:t>d area within a footwear production enterprise, to ensure team operations meet production requirements.</w:t>
      </w:r>
    </w:p>
    <w:p w:rsidR="00000000" w:rsidRPr="00D01EE3" w:rsidP="00D64BE5">
      <w:pPr>
        <w:pStyle w:val="BodyText"/>
      </w:pPr>
      <w:r w:rsidRPr="00D01EE3">
        <w:t>The unit of competency applies to a first line, team leader supervisory role in a team or work area within a footwear production enterprise. The unit r</w:t>
      </w:r>
      <w:r w:rsidRPr="00D01EE3">
        <w:t>equires extensive knowledge and experience in working with footwear production machines, equipment and processes. Supervisory responsibilities include overseeing the team</w:t>
      </w:r>
      <w:r>
        <w:t>’</w:t>
      </w:r>
      <w:r w:rsidRPr="00D01EE3">
        <w:t xml:space="preserve">s production quality and throughput, and ensuring training, team relations, resource </w:t>
      </w:r>
      <w:r w:rsidRPr="00D01EE3">
        <w:t>allocation and work organisation support team productivity.</w:t>
      </w:r>
    </w:p>
    <w:p w:rsidR="00000000" w:rsidRPr="00D01EE3" w:rsidP="00D64BE5">
      <w:pPr>
        <w:pStyle w:val="BodyText"/>
      </w:pPr>
      <w:r w:rsidRPr="00D01EE3">
        <w:t>The unit of competency includes providing technical support to operators, overseeing production processes to ensure they meet organisational and safety standards, and providing communication link</w:t>
      </w:r>
      <w:r w:rsidRPr="00D01EE3">
        <w:t>s between staff and management.</w:t>
      </w:r>
    </w:p>
    <w:p w:rsidR="00000000" w:rsidRPr="00D01EE3" w:rsidP="00D64BE5">
      <w:pPr>
        <w:pStyle w:val="BodyText"/>
      </w:pPr>
      <w:r w:rsidRPr="00D01EE3">
        <w:t>Work may be conducted in small to large scale enterprises and may involve individual and team activities.</w:t>
      </w:r>
    </w:p>
    <w:p w:rsidR="00000000" w:rsidRPr="00D01EE3" w:rsidP="00D64BE5">
      <w:pPr>
        <w:pStyle w:val="BodyText"/>
      </w:pPr>
      <w:r w:rsidRPr="00D01EE3">
        <w:t>No licensing, legislative or certification requirements apply to this unit at the time of publication.</w:t>
      </w:r>
    </w:p>
    <w:p w:rsidR="00000000" w:rsidRPr="00D01EE3" w:rsidP="00D01EE3">
      <w:pPr>
        <w:pStyle w:val="Heading1"/>
      </w:pPr>
      <w:bookmarkStart w:id="3" w:name="O_934629"/>
      <w:bookmarkEnd w:id="3"/>
      <w:r w:rsidRPr="00D01EE3">
        <w:t>Pre-requisite Unit</w:t>
      </w:r>
    </w:p>
    <w:p w:rsidR="00000000" w:rsidRPr="00D01EE3" w:rsidP="00D64BE5">
      <w:pPr>
        <w:pStyle w:val="BodyText"/>
      </w:pPr>
      <w:r w:rsidRPr="00D01EE3">
        <w:t>Nil</w:t>
      </w:r>
    </w:p>
    <w:p w:rsidR="00000000" w:rsidRPr="00D01EE3" w:rsidP="00D01EE3">
      <w:pPr>
        <w:pStyle w:val="Heading1"/>
      </w:pPr>
      <w:bookmarkStart w:id="4" w:name="O_934628"/>
      <w:bookmarkEnd w:id="4"/>
      <w:r w:rsidRPr="00D01EE3">
        <w:t>Competency Field</w:t>
      </w:r>
    </w:p>
    <w:p w:rsidR="00000000" w:rsidRPr="00D01EE3" w:rsidP="00D64BE5">
      <w:pPr>
        <w:pStyle w:val="BodyText"/>
      </w:pPr>
      <w:r w:rsidRPr="00D01EE3">
        <w:t>Footwear production</w:t>
      </w:r>
    </w:p>
    <w:p w:rsidR="00000000" w:rsidRPr="00D01EE3" w:rsidP="00D01EE3">
      <w:pPr>
        <w:pStyle w:val="Heading1"/>
      </w:pPr>
      <w:bookmarkStart w:id="5" w:name="O_934627"/>
      <w:bookmarkEnd w:id="5"/>
      <w:r w:rsidRPr="00D01EE3">
        <w:t>Unit Sector</w:t>
      </w:r>
    </w:p>
    <w:p w:rsidR="00000000" w:rsidRPr="00D01EE3" w:rsidP="00D64BE5">
      <w:pPr>
        <w:pStyle w:val="BodyText"/>
      </w:pPr>
      <w:r w:rsidRPr="00D01EE3">
        <w:t>Not applicable</w:t>
      </w:r>
    </w:p>
    <w:p w:rsidR="00000000" w:rsidRPr="00D01EE3" w:rsidP="00D01EE3">
      <w:pPr>
        <w:pStyle w:val="Heading1"/>
      </w:pPr>
      <w:bookmarkStart w:id="6" w:name="O_934626"/>
      <w:bookmarkEnd w:id="6"/>
      <w:r w:rsidRPr="00D01EE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01EE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Performance criteria describe the per</w:t>
            </w:r>
            <w:r w:rsidRPr="00D01EE3">
              <w:t>formance needed to demonstrate achievement of the element.</w:t>
            </w:r>
          </w:p>
        </w:tc>
      </w:tr>
      <w:tr w:rsidTr="00D01E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01EE3" w:rsidP="00D01EE3">
            <w:pPr>
              <w:pStyle w:val="BodyText"/>
            </w:pPr>
            <w:r w:rsidRPr="00D01EE3">
              <w:t>1</w:t>
            </w:r>
          </w:p>
        </w:tc>
        <w:tc>
          <w:tcPr>
            <w:tcW w:w="1962" w:type="dxa"/>
            <w:vMerge w:val="restart"/>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rPr>
                <w:rStyle w:val="SpecialBold"/>
              </w:rPr>
              <w:t>Identify scope of supervisory responsibility</w:t>
            </w:r>
          </w:p>
        </w:tc>
        <w:tc>
          <w:tcPr>
            <w:tcW w:w="77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1.1</w:t>
            </w:r>
          </w:p>
        </w:tc>
        <w:tc>
          <w:tcPr>
            <w:tcW w:w="561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Identify machine operations, staff, resources and production processes within work area</w:t>
            </w:r>
          </w:p>
        </w:tc>
      </w:tr>
      <w:tr w:rsidTr="00D01E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1.2</w:t>
            </w:r>
          </w:p>
        </w:tc>
        <w:tc>
          <w:tcPr>
            <w:tcW w:w="561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Identify scope and limitations of supervisory role</w:t>
            </w:r>
          </w:p>
        </w:tc>
      </w:tr>
      <w:tr w:rsidTr="00D01E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1.3</w:t>
            </w:r>
          </w:p>
        </w:tc>
        <w:tc>
          <w:tcPr>
            <w:tcW w:w="561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Identify production targets</w:t>
            </w:r>
          </w:p>
        </w:tc>
      </w:tr>
      <w:tr w:rsidTr="00D01EE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D01E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01EE3" w:rsidP="00D01EE3">
            <w:pPr>
              <w:pStyle w:val="BodyText"/>
            </w:pPr>
            <w:r w:rsidRPr="00D01EE3">
              <w:t>2</w:t>
            </w:r>
          </w:p>
        </w:tc>
        <w:tc>
          <w:tcPr>
            <w:tcW w:w="1962" w:type="dxa"/>
            <w:vMerge w:val="restart"/>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rPr>
                <w:rStyle w:val="SpecialBold"/>
              </w:rPr>
              <w:t>Provide technical support to operators</w:t>
            </w:r>
          </w:p>
        </w:tc>
        <w:tc>
          <w:tcPr>
            <w:tcW w:w="77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2.1</w:t>
            </w:r>
          </w:p>
        </w:tc>
        <w:tc>
          <w:tcPr>
            <w:tcW w:w="561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Identify operator roles and allocation of personnel</w:t>
            </w:r>
          </w:p>
        </w:tc>
      </w:tr>
      <w:tr w:rsidTr="00D01E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2.2</w:t>
            </w:r>
          </w:p>
        </w:tc>
        <w:tc>
          <w:tcPr>
            <w:tcW w:w="561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Monitor operator productivity and identify where training or support is required</w:t>
            </w:r>
          </w:p>
        </w:tc>
      </w:tr>
      <w:tr w:rsidTr="00D01E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2.3</w:t>
            </w:r>
          </w:p>
        </w:tc>
        <w:tc>
          <w:tcPr>
            <w:tcW w:w="561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Communicate with appropriate personnel to identify training needs and organise training</w:t>
            </w:r>
          </w:p>
        </w:tc>
      </w:tr>
      <w:tr w:rsidTr="00D01E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2.4</w:t>
            </w:r>
          </w:p>
        </w:tc>
        <w:tc>
          <w:tcPr>
            <w:tcW w:w="561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Address technical problems raised by operators regarding machinery, produ</w:t>
            </w:r>
            <w:r w:rsidRPr="00D01EE3">
              <w:t>ct quality and operational safety</w:t>
            </w:r>
          </w:p>
        </w:tc>
      </w:tr>
      <w:tr w:rsidTr="00D01E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2.5</w:t>
            </w:r>
          </w:p>
        </w:tc>
        <w:tc>
          <w:tcPr>
            <w:tcW w:w="561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Provide technical support to operators for skills and knowledge associated with production of footwear products</w:t>
            </w:r>
          </w:p>
        </w:tc>
      </w:tr>
      <w:tr w:rsidTr="00D01EE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D01E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01EE3" w:rsidP="00D01EE3">
            <w:pPr>
              <w:pStyle w:val="BodyText"/>
            </w:pPr>
            <w:r w:rsidRPr="00D01EE3">
              <w:t>3</w:t>
            </w:r>
          </w:p>
        </w:tc>
        <w:tc>
          <w:tcPr>
            <w:tcW w:w="1962" w:type="dxa"/>
            <w:vMerge w:val="restart"/>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rPr>
                <w:rStyle w:val="SpecialBold"/>
              </w:rPr>
              <w:t>Lead team activity</w:t>
            </w:r>
          </w:p>
        </w:tc>
        <w:tc>
          <w:tcPr>
            <w:tcW w:w="77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3.1</w:t>
            </w:r>
          </w:p>
        </w:tc>
        <w:tc>
          <w:tcPr>
            <w:tcW w:w="561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Communicate production standards to team members</w:t>
            </w:r>
          </w:p>
        </w:tc>
      </w:tr>
      <w:tr w:rsidTr="00D01E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3.2</w:t>
            </w:r>
          </w:p>
        </w:tc>
        <w:tc>
          <w:tcPr>
            <w:tcW w:w="561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Monitor work allocation requirements to maintain optimum production efficiency</w:t>
            </w:r>
          </w:p>
        </w:tc>
      </w:tr>
      <w:tr w:rsidTr="00D01E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3.3</w:t>
            </w:r>
          </w:p>
        </w:tc>
        <w:tc>
          <w:tcPr>
            <w:tcW w:w="561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Use suitable language to communicate targets and procedures to relevant personnel</w:t>
            </w:r>
          </w:p>
        </w:tc>
      </w:tr>
      <w:tr w:rsidTr="00D01E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3.4</w:t>
            </w:r>
          </w:p>
        </w:tc>
        <w:tc>
          <w:tcPr>
            <w:tcW w:w="561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Monitor and support effective team communication</w:t>
            </w:r>
          </w:p>
        </w:tc>
      </w:tr>
      <w:tr w:rsidTr="00D01E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3.5</w:t>
            </w:r>
          </w:p>
        </w:tc>
        <w:tc>
          <w:tcPr>
            <w:tcW w:w="561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Monitor team compliance with work health and safety (WHS) practices and workplace procedures</w:t>
            </w:r>
          </w:p>
        </w:tc>
      </w:tr>
      <w:tr w:rsidTr="00D01E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3.6</w:t>
            </w:r>
          </w:p>
        </w:tc>
        <w:tc>
          <w:tcPr>
            <w:tcW w:w="561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Monitor production output against targets and take necessary action to resolve problems when required</w:t>
            </w:r>
          </w:p>
        </w:tc>
      </w:tr>
      <w:tr w:rsidTr="00D01EE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D01E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01EE3" w:rsidP="00D01EE3">
            <w:pPr>
              <w:pStyle w:val="BodyText"/>
            </w:pPr>
            <w:r w:rsidRPr="00D01EE3">
              <w:t>4</w:t>
            </w:r>
          </w:p>
        </w:tc>
        <w:tc>
          <w:tcPr>
            <w:tcW w:w="1962" w:type="dxa"/>
            <w:vMerge w:val="restart"/>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rPr>
                <w:rStyle w:val="SpecialBold"/>
              </w:rPr>
              <w:t>Liaise with production areas and management</w:t>
            </w:r>
          </w:p>
        </w:tc>
        <w:tc>
          <w:tcPr>
            <w:tcW w:w="77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4.</w:t>
            </w:r>
            <w:r w:rsidRPr="00D01EE3">
              <w:t>1</w:t>
            </w:r>
          </w:p>
        </w:tc>
        <w:tc>
          <w:tcPr>
            <w:tcW w:w="561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Maintain liaison with downstream and upstream production areas to ensure production is efficient and meets quality standards</w:t>
            </w:r>
          </w:p>
        </w:tc>
      </w:tr>
      <w:tr w:rsidTr="00D01E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4.2</w:t>
            </w:r>
          </w:p>
        </w:tc>
        <w:tc>
          <w:tcPr>
            <w:tcW w:w="561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Keep management informed of progress and any issues that may affect production outcomes</w:t>
            </w:r>
          </w:p>
        </w:tc>
      </w:tr>
      <w:tr w:rsidTr="00D01E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4.3</w:t>
            </w:r>
          </w:p>
        </w:tc>
        <w:tc>
          <w:tcPr>
            <w:tcW w:w="561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Maintain ongoing liaison with management to guide production supervision</w:t>
            </w:r>
          </w:p>
        </w:tc>
      </w:tr>
      <w:tr w:rsidTr="00D01E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4.4</w:t>
            </w:r>
          </w:p>
        </w:tc>
        <w:tc>
          <w:tcPr>
            <w:tcW w:w="561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Monitor movement of materials through production process to assess progress</w:t>
            </w:r>
          </w:p>
        </w:tc>
      </w:tr>
      <w:tr w:rsidTr="00D01EE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D01E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01EE3" w:rsidP="00D01EE3">
            <w:pPr>
              <w:pStyle w:val="BodyText"/>
            </w:pPr>
            <w:r w:rsidRPr="00D01EE3">
              <w:t>5</w:t>
            </w:r>
          </w:p>
        </w:tc>
        <w:tc>
          <w:tcPr>
            <w:tcW w:w="1962" w:type="dxa"/>
            <w:vMerge w:val="restart"/>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rPr>
                <w:rStyle w:val="SpecialBold"/>
              </w:rPr>
              <w:t>Maintain documentation</w:t>
            </w:r>
          </w:p>
        </w:tc>
        <w:tc>
          <w:tcPr>
            <w:tcW w:w="77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5.1</w:t>
            </w:r>
          </w:p>
        </w:tc>
        <w:tc>
          <w:tcPr>
            <w:tcW w:w="561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Identify documentation procedures for each step of production process</w:t>
            </w:r>
          </w:p>
        </w:tc>
      </w:tr>
      <w:tr w:rsidTr="00D01E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5.2</w:t>
            </w:r>
          </w:p>
        </w:tc>
        <w:tc>
          <w:tcPr>
            <w:tcW w:w="561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Monitor compliance with documentation requirements</w:t>
            </w:r>
          </w:p>
        </w:tc>
      </w:tr>
      <w:tr w:rsidTr="00D01E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5.3</w:t>
            </w:r>
          </w:p>
        </w:tc>
        <w:tc>
          <w:tcPr>
            <w:tcW w:w="5610" w:type="dxa"/>
            <w:tcBorders>
              <w:top w:val="nil"/>
              <w:left w:val="nil"/>
              <w:bottom w:val="nil"/>
              <w:right w:val="nil"/>
            </w:tcBorders>
            <w:tcMar>
              <w:top w:w="0" w:type="dxa"/>
              <w:left w:w="62" w:type="dxa"/>
              <w:bottom w:w="0" w:type="dxa"/>
              <w:right w:w="62" w:type="dxa"/>
            </w:tcMar>
          </w:tcPr>
          <w:p w:rsidR="00000000" w:rsidRPr="00D01EE3" w:rsidP="00D01EE3">
            <w:pPr>
              <w:pStyle w:val="BodyText"/>
            </w:pPr>
            <w:r w:rsidRPr="00D01EE3">
              <w:t>Complete production documentation</w:t>
            </w:r>
          </w:p>
        </w:tc>
      </w:tr>
    </w:tbl>
    <w:p w:rsidR="00000000" w:rsidRPr="00D01EE3" w:rsidP="00D01EE3">
      <w:pPr>
        <w:pStyle w:val="BodyText"/>
      </w:pPr>
    </w:p>
    <w:p w:rsidR="00000000" w:rsidRPr="00D01EE3" w:rsidP="00D01EE3">
      <w:pPr>
        <w:pStyle w:val="AllowPageBreak"/>
      </w:pPr>
    </w:p>
    <w:p w:rsidR="00000000" w:rsidRPr="00D01EE3" w:rsidP="00D01EE3">
      <w:pPr>
        <w:pStyle w:val="Heading1"/>
      </w:pPr>
      <w:bookmarkStart w:id="7" w:name="O_934625"/>
      <w:bookmarkEnd w:id="7"/>
      <w:r w:rsidRPr="00D01EE3">
        <w:t>Foundation Skills</w:t>
      </w:r>
    </w:p>
    <w:p w:rsidR="00000000" w:rsidRPr="00D01EE3" w:rsidP="00D64BE5">
      <w:pPr>
        <w:pStyle w:val="BodyText"/>
      </w:pPr>
      <w:r w:rsidRPr="00D01EE3">
        <w:t>This section describes those required skills (language, literacy and numeracy) that are essential to performance.</w:t>
      </w:r>
    </w:p>
    <w:p w:rsidR="00000000" w:rsidRPr="00D01EE3" w:rsidP="00D64BE5">
      <w:pPr>
        <w:pStyle w:val="BodyText"/>
      </w:pPr>
      <w:r w:rsidRPr="00D01EE3">
        <w:t>Foundation skills essential to performance are explicit in the performance criteria of this unit of competency.</w:t>
      </w:r>
    </w:p>
    <w:p w:rsidR="00000000" w:rsidRPr="00D01EE3" w:rsidP="00D01EE3">
      <w:pPr>
        <w:pStyle w:val="Heading1"/>
      </w:pPr>
      <w:bookmarkStart w:id="8" w:name="O_934624"/>
      <w:bookmarkEnd w:id="8"/>
      <w:r w:rsidRPr="00D01EE3">
        <w:t>Range of Conditions</w:t>
      </w:r>
    </w:p>
    <w:tbl>
      <w:tblPr>
        <w:tblW w:w="0" w:type="auto"/>
        <w:tblCellMar>
          <w:left w:w="62" w:type="dxa"/>
          <w:right w:w="62" w:type="dxa"/>
        </w:tblCellMar>
        <w:tblLook w:val="0000"/>
      </w:tblPr>
      <w:tblGrid>
        <w:gridCol w:w="2163"/>
        <w:gridCol w:w="7033"/>
      </w:tblGrid>
      <w:tr w:rsidTr="00D64BE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t>This field allows for different work environments and conditions that may affect performance. Essential operating conditions that may be present (depending on the work situation, needs of the candidate, accessibility of the item, and lo</w:t>
            </w:r>
            <w:r w:rsidRPr="00D01EE3">
              <w:t>cal industry and regional contexts) are included.</w:t>
            </w:r>
          </w:p>
        </w:tc>
      </w:tr>
      <w:tr w:rsidTr="00D64B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01EE3" w:rsidP="00D01EE3">
            <w:pPr>
              <w:pStyle w:val="ListBullet"/>
            </w:pPr>
            <w:r w:rsidRPr="00D01EE3">
              <w:t>requirements prescribed by legislation, awards, agreements and conditions of employment</w:t>
            </w:r>
          </w:p>
          <w:p w:rsidR="00000000" w:rsidRPr="00D01EE3" w:rsidP="00D01EE3">
            <w:pPr>
              <w:pStyle w:val="ListBullet"/>
            </w:pPr>
            <w:r w:rsidRPr="00D01EE3">
              <w:t>standard operating procedures (SOPs)</w:t>
            </w:r>
          </w:p>
          <w:p w:rsidR="00000000" w:rsidRPr="00D01EE3" w:rsidP="00D01EE3">
            <w:pPr>
              <w:pStyle w:val="ListBullet"/>
            </w:pPr>
            <w:r w:rsidRPr="00D01EE3">
              <w:t>work instructions</w:t>
            </w:r>
          </w:p>
          <w:p w:rsidR="00000000" w:rsidRPr="00D01EE3" w:rsidP="00D01EE3">
            <w:pPr>
              <w:pStyle w:val="ListBullet"/>
            </w:pPr>
            <w:r w:rsidRPr="00D01EE3">
              <w:t>o</w:t>
            </w:r>
            <w:r w:rsidRPr="00D01EE3">
              <w:t>ral, written and visual communication</w:t>
            </w:r>
          </w:p>
          <w:p w:rsidR="00000000" w:rsidRPr="00D01EE3" w:rsidP="00D01EE3">
            <w:pPr>
              <w:pStyle w:val="ListBullet"/>
            </w:pPr>
            <w:r w:rsidRPr="00D01EE3">
              <w:t>quality practices, including responsibility for maintenance of own work quality and contribution to quality improvement of team or section output</w:t>
            </w:r>
          </w:p>
          <w:p w:rsidR="00000000" w:rsidRPr="00D01EE3" w:rsidP="00D01EE3">
            <w:pPr>
              <w:pStyle w:val="ListBullet"/>
            </w:pPr>
            <w:r w:rsidRPr="00D01EE3">
              <w:t>housekeeping</w:t>
            </w:r>
          </w:p>
          <w:p w:rsidR="00000000" w:rsidRPr="00D01EE3" w:rsidP="00D01EE3">
            <w:pPr>
              <w:pStyle w:val="ListBullet"/>
            </w:pPr>
            <w:r w:rsidRPr="00D01EE3">
              <w:t xml:space="preserve">tasks related to environmental protection, waste disposal, </w:t>
            </w:r>
            <w:r w:rsidRPr="00D01EE3">
              <w:t>pollution control and recycling</w:t>
            </w:r>
          </w:p>
          <w:p w:rsidR="00000000" w:rsidRPr="00D01EE3" w:rsidP="00D01EE3">
            <w:pPr>
              <w:pStyle w:val="ListBullet"/>
            </w:pPr>
            <w:r w:rsidRPr="00D01EE3">
              <w:t>WHS practices</w:t>
            </w:r>
          </w:p>
          <w:p w:rsidR="00000000" w:rsidP="00D01EE3">
            <w:pPr>
              <w:pStyle w:val="BodyText"/>
              <w:rPr>
                <w:lang w:val="en-NZ"/>
              </w:rPr>
            </w:pPr>
          </w:p>
        </w:tc>
      </w:tr>
      <w:tr w:rsidTr="00D64B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1EE3">
            <w:pPr>
              <w:pStyle w:val="BodyText"/>
              <w:rPr>
                <w:lang w:val="en-NZ"/>
              </w:rPr>
            </w:pPr>
            <w:r w:rsidRPr="00D01EE3">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D01EE3" w:rsidP="00D01EE3">
            <w:pPr>
              <w:pStyle w:val="ListBullet"/>
            </w:pPr>
            <w:r w:rsidRPr="00D01EE3">
              <w:t>the relevant industry or Australian Standards that are current at the time this unit is being undertaken</w:t>
            </w:r>
          </w:p>
          <w:p w:rsidR="00000000" w:rsidP="00D01EE3">
            <w:pPr>
              <w:pStyle w:val="BodyText"/>
              <w:rPr>
                <w:lang w:val="en-NZ"/>
              </w:rPr>
            </w:pPr>
          </w:p>
        </w:tc>
      </w:tr>
      <w:tr w:rsidTr="00D64B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01EE3" w:rsidP="00D01EE3">
            <w:pPr>
              <w:pStyle w:val="BodyText"/>
            </w:pPr>
            <w:r w:rsidRPr="00D01EE3">
              <w:rPr>
                <w:rStyle w:val="SpecialBold"/>
              </w:rPr>
              <w:t>Production processes include one or more of the following:</w:t>
            </w:r>
          </w:p>
          <w:p w:rsidR="00000000" w:rsidP="00D01EE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01EE3" w:rsidP="00D01EE3">
            <w:pPr>
              <w:pStyle w:val="ListBullet"/>
            </w:pPr>
            <w:r w:rsidRPr="00D01EE3">
              <w:t>machines and equipment used in the various sectors of the footwear production industry, including:</w:t>
            </w:r>
          </w:p>
          <w:p w:rsidR="00000000" w:rsidRPr="00D01EE3" w:rsidP="00D01EE3">
            <w:pPr>
              <w:pStyle w:val="ListBullet2"/>
            </w:pPr>
            <w:r w:rsidRPr="00D01EE3">
              <w:t>moulding</w:t>
            </w:r>
          </w:p>
          <w:p w:rsidR="00000000" w:rsidRPr="00D01EE3" w:rsidP="00D01EE3">
            <w:pPr>
              <w:pStyle w:val="ListBullet2"/>
            </w:pPr>
            <w:r w:rsidRPr="00D01EE3">
              <w:t>sewing machines</w:t>
            </w:r>
          </w:p>
          <w:p w:rsidR="00000000" w:rsidRPr="00D01EE3" w:rsidP="00D01EE3">
            <w:pPr>
              <w:pStyle w:val="ListBullet2"/>
            </w:pPr>
            <w:r w:rsidRPr="00D01EE3">
              <w:t>cutting machines</w:t>
            </w:r>
          </w:p>
          <w:p w:rsidR="00000000" w:rsidP="00D01EE3">
            <w:pPr>
              <w:pStyle w:val="ListBullet2"/>
              <w:rPr>
                <w:lang w:val="en-NZ"/>
              </w:rPr>
            </w:pPr>
            <w:r w:rsidRPr="00D01EE3">
              <w:t>robots</w:t>
            </w:r>
          </w:p>
        </w:tc>
      </w:tr>
      <w:tr w:rsidTr="00D64B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01EE3" w:rsidP="00D01EE3">
            <w:pPr>
              <w:pStyle w:val="BodyText"/>
            </w:pPr>
            <w:r w:rsidRPr="00D01EE3">
              <w:rPr>
                <w:rStyle w:val="SpecialBold"/>
              </w:rPr>
              <w:t>Address problems includes one or more of the following:</w:t>
            </w:r>
          </w:p>
          <w:p w:rsidR="00000000" w:rsidP="00D01EE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01EE3" w:rsidP="00D01EE3">
            <w:pPr>
              <w:pStyle w:val="ListBullet"/>
            </w:pPr>
            <w:r w:rsidRPr="00D01EE3">
              <w:t>communicating requirements to operators</w:t>
            </w:r>
          </w:p>
          <w:p w:rsidR="00000000" w:rsidRPr="00D01EE3" w:rsidP="00D01EE3">
            <w:pPr>
              <w:pStyle w:val="ListBullet"/>
            </w:pPr>
            <w:r w:rsidRPr="00D01EE3">
              <w:t>providing coaching or other relevant support</w:t>
            </w:r>
          </w:p>
          <w:p w:rsidR="00000000" w:rsidRPr="00D01EE3" w:rsidP="00D01EE3">
            <w:pPr>
              <w:pStyle w:val="ListBullet"/>
            </w:pPr>
            <w:r w:rsidRPr="00D01EE3">
              <w:t>referring to appropriate personnel</w:t>
            </w:r>
          </w:p>
          <w:p w:rsidR="00000000" w:rsidRPr="00D01EE3" w:rsidP="00D01EE3">
            <w:pPr>
              <w:pStyle w:val="ListBullet"/>
            </w:pPr>
            <w:r w:rsidRPr="00D01EE3">
              <w:t>allocating appropriate staff or resources</w:t>
            </w:r>
          </w:p>
          <w:p w:rsidR="00000000" w:rsidRPr="00D01EE3" w:rsidP="00D01EE3">
            <w:pPr>
              <w:pStyle w:val="ListBullet"/>
            </w:pPr>
            <w:r w:rsidRPr="00D01EE3">
              <w:t>implementing disciplinary procedures</w:t>
            </w:r>
          </w:p>
          <w:p w:rsidR="00000000" w:rsidRPr="00D01EE3" w:rsidP="00D01EE3">
            <w:pPr>
              <w:pStyle w:val="ListBullet"/>
            </w:pPr>
            <w:r w:rsidRPr="00D01EE3">
              <w:t>problem solving team or technology issues</w:t>
            </w:r>
          </w:p>
          <w:p w:rsidR="00000000" w:rsidP="00D01EE3">
            <w:pPr>
              <w:pStyle w:val="BodyText"/>
              <w:rPr>
                <w:lang w:val="en-NZ"/>
              </w:rPr>
            </w:pPr>
          </w:p>
        </w:tc>
      </w:tr>
      <w:tr w:rsidTr="00D64B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01EE3" w:rsidP="00D01EE3">
            <w:pPr>
              <w:pStyle w:val="BodyText"/>
            </w:pPr>
            <w:r w:rsidRPr="00D01EE3">
              <w:rPr>
                <w:rStyle w:val="SpecialBold"/>
              </w:rPr>
              <w:t>Issues which may affect production outcomes include one or more of the following:</w:t>
            </w:r>
          </w:p>
          <w:p w:rsidR="00000000" w:rsidP="00D01EE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01EE3" w:rsidP="00D01EE3">
            <w:pPr>
              <w:pStyle w:val="ListBullet"/>
            </w:pPr>
            <w:r w:rsidRPr="00D01EE3">
              <w:t>staffing</w:t>
            </w:r>
          </w:p>
          <w:p w:rsidR="00000000" w:rsidRPr="00D01EE3" w:rsidP="00D01EE3">
            <w:pPr>
              <w:pStyle w:val="ListBullet"/>
            </w:pPr>
            <w:r w:rsidRPr="00D01EE3">
              <w:t>machinery</w:t>
            </w:r>
          </w:p>
          <w:p w:rsidR="00000000" w:rsidRPr="00D01EE3" w:rsidP="00D01EE3">
            <w:pPr>
              <w:pStyle w:val="ListBullet"/>
            </w:pPr>
            <w:r w:rsidRPr="00D01EE3">
              <w:t>materials</w:t>
            </w:r>
          </w:p>
          <w:p w:rsidR="00000000" w:rsidRPr="00D01EE3" w:rsidP="00D01EE3">
            <w:pPr>
              <w:pStyle w:val="ListBullet"/>
            </w:pPr>
            <w:r w:rsidRPr="00D01EE3">
              <w:t>schedules</w:t>
            </w:r>
          </w:p>
        </w:tc>
      </w:tr>
    </w:tbl>
    <w:p w:rsidR="00000000" w:rsidRPr="00D01EE3" w:rsidP="00D01EE3">
      <w:pPr>
        <w:pStyle w:val="BodyText"/>
      </w:pPr>
    </w:p>
    <w:p w:rsidR="00000000" w:rsidRPr="00D01EE3" w:rsidP="00D01EE3">
      <w:pPr>
        <w:pStyle w:val="AllowPageBreak"/>
      </w:pPr>
    </w:p>
    <w:p w:rsidR="00000000" w:rsidRPr="00D01EE3" w:rsidP="00D01EE3">
      <w:pPr>
        <w:pStyle w:val="Heading1"/>
      </w:pPr>
      <w:bookmarkStart w:id="9" w:name="O_934623"/>
      <w:bookmarkEnd w:id="9"/>
      <w:r w:rsidRPr="00D01EE3">
        <w:t>Unit Mapping Information</w:t>
      </w:r>
    </w:p>
    <w:p w:rsidR="00000000" w:rsidRPr="00D01EE3" w:rsidP="00D64BE5">
      <w:pPr>
        <w:pStyle w:val="BodyText"/>
      </w:pPr>
      <w:r w:rsidRPr="00D01EE3">
        <w:t>Release 1. Supersedes and is equivalent to LMTFP3005B Supe</w:t>
      </w:r>
      <w:r w:rsidRPr="00D01EE3">
        <w:t>rvise footwear production operations</w:t>
      </w:r>
    </w:p>
    <w:p w:rsidR="00000000" w:rsidRPr="00D01EE3" w:rsidP="00D01EE3">
      <w:pPr>
        <w:pStyle w:val="Heading1"/>
      </w:pPr>
      <w:bookmarkStart w:id="10" w:name="O_934616"/>
      <w:bookmarkEnd w:id="10"/>
      <w:r w:rsidRPr="00D01EE3">
        <w:t>Links</w:t>
      </w:r>
    </w:p>
    <w:p w:rsidR="00000000" w:rsidRPr="00D01EE3" w:rsidP="00D64BE5">
      <w:pPr>
        <w:pStyle w:val="BodyText"/>
      </w:pPr>
      <w:r w:rsidRPr="00D01EE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50242">
        <w:rPr>
          <w:rStyle w:val="Hyperlink"/>
        </w:rPr>
        <w:t>https://vetnet.gov.au/Pages/TrainingDocs.aspx?q=a203ec5c-de7d-406b-b3e1-8f1a9b76e92e</w:t>
      </w:r>
      <w:r>
        <w:fldChar w:fldCharType="end"/>
      </w:r>
    </w:p>
    <w:p w:rsidR="00000000" w:rsidRPr="00D01EE3" w:rsidP="00D01EE3"/>
    <w:sectPr w:rsidSect="00D01E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E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EE3" w:rsidRPr="00D64BE5" w:rsidP="00D64B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E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BE5" w:rsidP="00D01E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4BE5" w:rsidP="00D01EE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64BE5" w:rsidP="00D01E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E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B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1EE3" w:rsidRPr="00D64BE5" w:rsidP="00D64B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E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BE5" w:rsidRPr="002D2AF8" w:rsidP="00D01EE3">
    <w:pPr>
      <w:pStyle w:val="Header"/>
      <w:framePr w:wrap="around"/>
    </w:pPr>
    <w:r>
      <w:fldChar w:fldCharType="begin"/>
    </w:r>
    <w:r>
      <w:instrText xml:space="preserve"> TITLE   \* MERGEFORMAT </w:instrText>
    </w:r>
    <w:r>
      <w:fldChar w:fldCharType="separate"/>
    </w:r>
    <w:r>
      <w:t>MSTFP3005 Supervise footwear production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D64BE5" w:rsidP="00D01E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52F7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ECC7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7C84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E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1EE3"/>
    <w:pPr>
      <w:spacing w:before="360" w:after="60"/>
      <w:outlineLvl w:val="0"/>
    </w:pPr>
    <w:rPr>
      <w:sz w:val="32"/>
    </w:rPr>
  </w:style>
  <w:style w:type="paragraph" w:styleId="Heading2">
    <w:name w:val="heading 2"/>
    <w:basedOn w:val="HeadingBase"/>
    <w:next w:val="BodyText"/>
    <w:link w:val="Heading2Char"/>
    <w:qFormat/>
    <w:rsid w:val="00D01EE3"/>
    <w:pPr>
      <w:keepLines/>
      <w:spacing w:before="240" w:after="120"/>
      <w:outlineLvl w:val="1"/>
    </w:pPr>
    <w:rPr>
      <w:sz w:val="28"/>
      <w:szCs w:val="40"/>
    </w:rPr>
  </w:style>
  <w:style w:type="paragraph" w:styleId="Heading3">
    <w:name w:val="heading 3"/>
    <w:basedOn w:val="HeadingBase"/>
    <w:next w:val="BodyText"/>
    <w:link w:val="Heading3Char"/>
    <w:qFormat/>
    <w:rsid w:val="00D01EE3"/>
    <w:pPr>
      <w:spacing w:before="180" w:after="120"/>
      <w:outlineLvl w:val="2"/>
    </w:pPr>
    <w:rPr>
      <w:spacing w:val="-10"/>
      <w:kern w:val="32"/>
    </w:rPr>
  </w:style>
  <w:style w:type="paragraph" w:styleId="Heading4">
    <w:name w:val="heading 4"/>
    <w:basedOn w:val="HeadingBase"/>
    <w:next w:val="BodyText"/>
    <w:link w:val="Heading4Char"/>
    <w:qFormat/>
    <w:rsid w:val="00D01EE3"/>
    <w:pPr>
      <w:spacing w:before="160" w:after="120"/>
      <w:outlineLvl w:val="3"/>
    </w:pPr>
    <w:rPr>
      <w:sz w:val="22"/>
    </w:rPr>
  </w:style>
  <w:style w:type="paragraph" w:styleId="Heading5">
    <w:name w:val="heading 5"/>
    <w:basedOn w:val="HeadingBase"/>
    <w:next w:val="Normal"/>
    <w:link w:val="Heading5Char"/>
    <w:qFormat/>
    <w:rsid w:val="00D01EE3"/>
    <w:pPr>
      <w:spacing w:before="80"/>
      <w:outlineLvl w:val="4"/>
    </w:pPr>
    <w:rPr>
      <w:color w:val="918585"/>
      <w:sz w:val="20"/>
    </w:rPr>
  </w:style>
  <w:style w:type="paragraph" w:styleId="Heading6">
    <w:name w:val="heading 6"/>
    <w:basedOn w:val="HeadingBase"/>
    <w:next w:val="Normal"/>
    <w:link w:val="Heading6Char"/>
    <w:qFormat/>
    <w:rsid w:val="00D01EE3"/>
    <w:pPr>
      <w:spacing w:before="60"/>
      <w:outlineLvl w:val="5"/>
    </w:pPr>
    <w:rPr>
      <w:color w:val="918585"/>
      <w:sz w:val="20"/>
    </w:rPr>
  </w:style>
  <w:style w:type="paragraph" w:styleId="Heading7">
    <w:name w:val="heading 7"/>
    <w:basedOn w:val="Normal"/>
    <w:next w:val="Normal"/>
    <w:link w:val="Heading7Char"/>
    <w:qFormat/>
    <w:rsid w:val="00D01EE3"/>
    <w:pPr>
      <w:ind w:left="720"/>
      <w:outlineLvl w:val="6"/>
    </w:pPr>
    <w:rPr>
      <w:i/>
    </w:rPr>
  </w:style>
  <w:style w:type="paragraph" w:styleId="Heading8">
    <w:name w:val="heading 8"/>
    <w:basedOn w:val="Normal"/>
    <w:next w:val="Normal"/>
    <w:link w:val="Heading8Char"/>
    <w:qFormat/>
    <w:rsid w:val="00D01EE3"/>
    <w:pPr>
      <w:ind w:left="720"/>
      <w:outlineLvl w:val="7"/>
    </w:pPr>
    <w:rPr>
      <w:i/>
    </w:rPr>
  </w:style>
  <w:style w:type="paragraph" w:styleId="Heading9">
    <w:name w:val="heading 9"/>
    <w:basedOn w:val="Normal"/>
    <w:next w:val="Normal"/>
    <w:link w:val="Heading9Char"/>
    <w:qFormat/>
    <w:rsid w:val="00D01EE3"/>
    <w:pPr>
      <w:ind w:left="720"/>
      <w:outlineLvl w:val="8"/>
    </w:pPr>
    <w:rPr>
      <w:i/>
    </w:rPr>
  </w:style>
  <w:style w:type="character" w:default="1" w:styleId="DefaultParagraphFont">
    <w:name w:val="Default Paragraph Font"/>
    <w:uiPriority w:val="1"/>
    <w:unhideWhenUsed/>
    <w:rsid w:val="00D01E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1EE3"/>
  </w:style>
  <w:style w:type="character" w:customStyle="1" w:styleId="Heading1Char">
    <w:name w:val="Heading 1 Char"/>
    <w:basedOn w:val="DefaultParagraphFont"/>
    <w:link w:val="Heading1"/>
    <w:rsid w:val="00D01EE3"/>
    <w:rPr>
      <w:rFonts w:ascii="Times New Roman" w:eastAsia="Times New Roman" w:hAnsi="Times New Roman" w:cs="Times New Roman"/>
      <w:b/>
      <w:sz w:val="32"/>
      <w:szCs w:val="20"/>
      <w:lang w:eastAsia="en-US"/>
    </w:rPr>
  </w:style>
  <w:style w:type="paragraph" w:styleId="BodyText">
    <w:name w:val="Body Text"/>
    <w:basedOn w:val="Normal"/>
    <w:link w:val="BodyTextChar"/>
    <w:rsid w:val="00D01E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1EE3"/>
    <w:rPr>
      <w:rFonts w:ascii="Times New Roman" w:eastAsia="Times New Roman" w:hAnsi="Times New Roman" w:cs="Times New Roman"/>
      <w:sz w:val="24"/>
      <w:lang w:eastAsia="en-US"/>
    </w:rPr>
  </w:style>
  <w:style w:type="paragraph" w:styleId="ListBullet">
    <w:name w:val="List Bullet"/>
    <w:basedOn w:val="List"/>
    <w:rsid w:val="00D01EE3"/>
    <w:pPr>
      <w:numPr>
        <w:numId w:val="12"/>
      </w:numPr>
      <w:tabs>
        <w:tab w:val="clear" w:pos="340"/>
      </w:tabs>
      <w:spacing w:before="40" w:after="40"/>
    </w:pPr>
  </w:style>
  <w:style w:type="character" w:customStyle="1" w:styleId="SpecialBold">
    <w:name w:val="Special Bold"/>
    <w:basedOn w:val="DefaultParagraphFont"/>
    <w:rsid w:val="00D01EE3"/>
    <w:rPr>
      <w:b/>
      <w:spacing w:val="0"/>
    </w:rPr>
  </w:style>
  <w:style w:type="paragraph" w:styleId="ListBullet2">
    <w:name w:val="List Bullet 2"/>
    <w:basedOn w:val="List2"/>
    <w:rsid w:val="00D01EE3"/>
    <w:pPr>
      <w:numPr>
        <w:numId w:val="13"/>
      </w:numPr>
      <w:tabs>
        <w:tab w:val="clear" w:pos="680"/>
      </w:tabs>
    </w:pPr>
  </w:style>
  <w:style w:type="paragraph" w:customStyle="1" w:styleId="SuperHeading">
    <w:name w:val="SuperHeading"/>
    <w:basedOn w:val="Normal"/>
    <w:rsid w:val="00D01EE3"/>
    <w:pPr>
      <w:spacing w:before="240" w:after="120"/>
      <w:outlineLvl w:val="0"/>
    </w:pPr>
    <w:rPr>
      <w:rFonts w:ascii="Times New Roman" w:hAnsi="Times New Roman"/>
      <w:b/>
      <w:sz w:val="32"/>
    </w:rPr>
  </w:style>
  <w:style w:type="paragraph" w:customStyle="1" w:styleId="AllowPageBreak">
    <w:name w:val="AllowPageBreak"/>
    <w:rsid w:val="00D01E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1E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1E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1E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1E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1E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1E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1E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1EE3"/>
    <w:rPr>
      <w:rFonts w:ascii="Courier New" w:eastAsia="Times New Roman" w:hAnsi="Courier New" w:cs="Times New Roman"/>
      <w:i/>
      <w:szCs w:val="20"/>
      <w:lang w:eastAsia="en-US"/>
    </w:rPr>
  </w:style>
  <w:style w:type="paragraph" w:customStyle="1" w:styleId="HeadingBase">
    <w:name w:val="Heading Base"/>
    <w:rsid w:val="00D01E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1EE3"/>
    <w:pPr>
      <w:tabs>
        <w:tab w:val="right" w:leader="dot" w:pos="9072"/>
      </w:tabs>
      <w:ind w:left="567"/>
    </w:pPr>
    <w:rPr>
      <w:szCs w:val="22"/>
    </w:rPr>
  </w:style>
  <w:style w:type="paragraph" w:customStyle="1" w:styleId="TOCBase">
    <w:name w:val="TOC Base"/>
    <w:rsid w:val="00D01E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1EE3"/>
    <w:pPr>
      <w:tabs>
        <w:tab w:val="right" w:leader="dot" w:pos="9072"/>
      </w:tabs>
      <w:spacing w:before="40" w:after="40"/>
      <w:ind w:left="284"/>
    </w:pPr>
    <w:rPr>
      <w:rFonts w:ascii="Times New Roman" w:hAnsi="Times New Roman"/>
    </w:rPr>
  </w:style>
  <w:style w:type="paragraph" w:styleId="TOC1">
    <w:name w:val="toc 1"/>
    <w:basedOn w:val="TOCBase"/>
    <w:next w:val="Normal"/>
    <w:rsid w:val="00D01E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1E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1EE3"/>
    <w:rPr>
      <w:rFonts w:ascii="Times New Roman" w:eastAsia="Times New Roman" w:hAnsi="Times New Roman" w:cs="Times New Roman"/>
      <w:sz w:val="16"/>
      <w:lang w:eastAsia="en-US"/>
    </w:rPr>
  </w:style>
  <w:style w:type="paragraph" w:styleId="Title">
    <w:name w:val="Title"/>
    <w:basedOn w:val="HeadingBase"/>
    <w:link w:val="TitleChar"/>
    <w:qFormat/>
    <w:rsid w:val="00D01EE3"/>
    <w:pPr>
      <w:spacing w:before="5040"/>
      <w:jc w:val="center"/>
    </w:pPr>
    <w:rPr>
      <w:sz w:val="48"/>
      <w:szCs w:val="72"/>
      <w:lang w:val="en-US"/>
    </w:rPr>
  </w:style>
  <w:style w:type="character" w:customStyle="1" w:styleId="TitleChar">
    <w:name w:val="Title Char"/>
    <w:basedOn w:val="DefaultParagraphFont"/>
    <w:link w:val="Title"/>
    <w:rsid w:val="00D01E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1EE3"/>
    <w:pPr>
      <w:tabs>
        <w:tab w:val="left" w:pos="3600"/>
        <w:tab w:val="left" w:pos="3958"/>
      </w:tabs>
    </w:pPr>
  </w:style>
  <w:style w:type="paragraph" w:styleId="List">
    <w:name w:val="List"/>
    <w:basedOn w:val="BodyText"/>
    <w:next w:val="BodyText"/>
    <w:rsid w:val="00D01EE3"/>
    <w:pPr>
      <w:tabs>
        <w:tab w:val="left" w:pos="340"/>
      </w:tabs>
      <w:spacing w:before="60" w:after="60"/>
      <w:ind w:left="340" w:hanging="340"/>
    </w:pPr>
  </w:style>
  <w:style w:type="paragraph" w:customStyle="1" w:styleId="Note">
    <w:name w:val="Note"/>
    <w:basedOn w:val="BodyText"/>
    <w:rsid w:val="00D01E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1EE3"/>
    <w:pPr>
      <w:framePr w:wrap="auto" w:hAnchor="text" w:y="6049"/>
    </w:pPr>
    <w:rPr>
      <w:color w:val="000000"/>
      <w:sz w:val="40"/>
    </w:rPr>
  </w:style>
  <w:style w:type="paragraph" w:customStyle="1" w:styleId="TOCTitle">
    <w:name w:val="TOCTitle"/>
    <w:basedOn w:val="Heading1"/>
    <w:rsid w:val="00D01EE3"/>
    <w:pPr>
      <w:spacing w:after="240"/>
      <w:jc w:val="center"/>
      <w:outlineLvl w:val="9"/>
    </w:pPr>
    <w:rPr>
      <w:caps/>
    </w:rPr>
  </w:style>
  <w:style w:type="paragraph" w:customStyle="1" w:styleId="Version">
    <w:name w:val="Version"/>
    <w:rsid w:val="00D01E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1EE3"/>
    <w:pPr>
      <w:keepNext w:val="0"/>
      <w:tabs>
        <w:tab w:val="right" w:pos="4176"/>
      </w:tabs>
      <w:ind w:left="198" w:hanging="198"/>
    </w:pPr>
    <w:rPr>
      <w:rFonts w:ascii="Garamond" w:hAnsi="Garamond"/>
    </w:rPr>
  </w:style>
  <w:style w:type="paragraph" w:styleId="IndexHeading">
    <w:name w:val="index heading"/>
    <w:basedOn w:val="Normal"/>
    <w:next w:val="Index1"/>
    <w:semiHidden/>
    <w:rsid w:val="00D01EE3"/>
    <w:pPr>
      <w:spacing w:before="120" w:after="120"/>
    </w:pPr>
    <w:rPr>
      <w:rFonts w:ascii="Arial" w:hAnsi="Arial"/>
      <w:b/>
      <w:color w:val="918585"/>
      <w:sz w:val="24"/>
    </w:rPr>
  </w:style>
  <w:style w:type="paragraph" w:styleId="Header">
    <w:name w:val="header"/>
    <w:basedOn w:val="Normal"/>
    <w:link w:val="HeaderChar"/>
    <w:rsid w:val="00D01E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1EE3"/>
    <w:rPr>
      <w:rFonts w:ascii="Times New Roman" w:eastAsia="Times New Roman" w:hAnsi="Times New Roman" w:cs="Times New Roman"/>
      <w:sz w:val="16"/>
      <w:szCs w:val="20"/>
      <w:lang w:val="en-GB" w:eastAsia="en-US"/>
    </w:rPr>
  </w:style>
  <w:style w:type="paragraph" w:customStyle="1" w:styleId="Chapter">
    <w:name w:val="Chapter"/>
    <w:basedOn w:val="Normal"/>
    <w:rsid w:val="00D01EE3"/>
    <w:pPr>
      <w:spacing w:before="240"/>
    </w:pPr>
    <w:rPr>
      <w:rFonts w:ascii="Times New Roman" w:hAnsi="Times New Roman"/>
      <w:smallCaps/>
      <w:spacing w:val="80"/>
      <w:sz w:val="28"/>
    </w:rPr>
  </w:style>
  <w:style w:type="paragraph" w:customStyle="1" w:styleId="InChapter">
    <w:name w:val="InChapter"/>
    <w:basedOn w:val="Heading3"/>
    <w:rsid w:val="00D01EE3"/>
    <w:pPr>
      <w:spacing w:after="240"/>
      <w:outlineLvl w:val="9"/>
    </w:pPr>
    <w:rPr>
      <w:noProof/>
    </w:rPr>
  </w:style>
  <w:style w:type="paragraph" w:styleId="Index2">
    <w:name w:val="index 2"/>
    <w:basedOn w:val="Normal"/>
    <w:next w:val="Normal"/>
    <w:semiHidden/>
    <w:rsid w:val="00D01EE3"/>
    <w:pPr>
      <w:tabs>
        <w:tab w:val="right" w:pos="4176"/>
      </w:tabs>
      <w:ind w:left="568" w:hanging="284"/>
    </w:pPr>
    <w:rPr>
      <w:rFonts w:ascii="Garamond" w:hAnsi="Garamond"/>
    </w:rPr>
  </w:style>
  <w:style w:type="paragraph" w:customStyle="1" w:styleId="Byline">
    <w:name w:val="Byline"/>
    <w:rsid w:val="00D01E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1EE3"/>
    <w:pPr>
      <w:tabs>
        <w:tab w:val="clear" w:pos="3600"/>
        <w:tab w:val="clear" w:pos="3958"/>
      </w:tabs>
      <w:jc w:val="right"/>
    </w:pPr>
  </w:style>
  <w:style w:type="character" w:styleId="Emphasis">
    <w:name w:val="Emphasis"/>
    <w:basedOn w:val="DefaultParagraphFont"/>
    <w:qFormat/>
    <w:rsid w:val="00D01EE3"/>
    <w:rPr>
      <w:i/>
    </w:rPr>
  </w:style>
  <w:style w:type="paragraph" w:styleId="Caption">
    <w:name w:val="caption"/>
    <w:basedOn w:val="BodyText"/>
    <w:next w:val="Normal"/>
    <w:qFormat/>
    <w:rsid w:val="00D01EE3"/>
    <w:pPr>
      <w:framePr w:w="2268" w:hSpace="181" w:vSpace="181" w:wrap="around" w:vAnchor="text" w:hAnchor="page" w:x="1135" w:y="285" w:anchorLock="1"/>
    </w:pPr>
    <w:rPr>
      <w:i/>
    </w:rPr>
  </w:style>
  <w:style w:type="paragraph" w:customStyle="1" w:styleId="MiniTOCTitle">
    <w:name w:val="MiniTOCTitle"/>
    <w:basedOn w:val="Heading4"/>
    <w:rsid w:val="00D01EE3"/>
    <w:pPr>
      <w:spacing w:before="240"/>
      <w:outlineLvl w:val="9"/>
    </w:pPr>
    <w:rPr>
      <w:noProof/>
      <w:sz w:val="24"/>
    </w:rPr>
  </w:style>
  <w:style w:type="paragraph" w:customStyle="1" w:styleId="MiniTOCItem">
    <w:name w:val="MiniTOCItem"/>
    <w:basedOn w:val="ListBullet"/>
    <w:rsid w:val="00D01EE3"/>
    <w:pPr>
      <w:numPr>
        <w:numId w:val="0"/>
      </w:numPr>
      <w:tabs>
        <w:tab w:val="right" w:leader="dot" w:pos="6521"/>
      </w:tabs>
      <w:spacing w:before="0" w:after="0"/>
    </w:pPr>
  </w:style>
  <w:style w:type="paragraph" w:customStyle="1" w:styleId="TOFTitle">
    <w:name w:val="TOFTitle"/>
    <w:basedOn w:val="TOCTitle"/>
    <w:rsid w:val="00D01EE3"/>
  </w:style>
  <w:style w:type="paragraph" w:styleId="TableofFigures">
    <w:name w:val="table of figures"/>
    <w:basedOn w:val="Normal"/>
    <w:next w:val="Normal"/>
    <w:semiHidden/>
    <w:rsid w:val="00D01EE3"/>
    <w:pPr>
      <w:tabs>
        <w:tab w:val="right" w:leader="dot" w:pos="9072"/>
      </w:tabs>
      <w:ind w:left="970" w:hanging="403"/>
    </w:pPr>
    <w:rPr>
      <w:rFonts w:ascii="Times New Roman" w:hAnsi="Times New Roman"/>
      <w:b/>
    </w:rPr>
  </w:style>
  <w:style w:type="paragraph" w:styleId="ListNumber">
    <w:name w:val="List Number"/>
    <w:basedOn w:val="List"/>
    <w:rsid w:val="00D01EE3"/>
    <w:pPr>
      <w:numPr>
        <w:numId w:val="15"/>
      </w:numPr>
      <w:tabs>
        <w:tab w:val="clear" w:pos="340"/>
      </w:tabs>
    </w:pPr>
  </w:style>
  <w:style w:type="character" w:customStyle="1" w:styleId="WingdingSymbols">
    <w:name w:val="Wingding Symbols"/>
    <w:rsid w:val="00D01EE3"/>
    <w:rPr>
      <w:rFonts w:ascii="Wingdings" w:hAnsi="Wingdings"/>
    </w:rPr>
  </w:style>
  <w:style w:type="paragraph" w:customStyle="1" w:styleId="TableHeading">
    <w:name w:val="Table Heading"/>
    <w:basedOn w:val="HeadingBase"/>
    <w:rsid w:val="00D01EE3"/>
    <w:pPr>
      <w:keepLines/>
      <w:pBdr>
        <w:bottom w:val="single" w:sz="6" w:space="1" w:color="918585"/>
      </w:pBdr>
      <w:spacing w:before="240"/>
    </w:pPr>
  </w:style>
  <w:style w:type="character" w:customStyle="1" w:styleId="HotSpot">
    <w:name w:val="HotSpot"/>
    <w:rsid w:val="00D01EE3"/>
    <w:rPr>
      <w:color w:val="0033CC"/>
      <w:u w:val="none"/>
    </w:rPr>
  </w:style>
  <w:style w:type="paragraph" w:customStyle="1" w:styleId="BodyTextRight">
    <w:name w:val="Body Text Right"/>
    <w:basedOn w:val="BodyText"/>
    <w:rsid w:val="00D01EE3"/>
    <w:pPr>
      <w:spacing w:before="0" w:after="0"/>
      <w:jc w:val="right"/>
    </w:pPr>
  </w:style>
  <w:style w:type="paragraph" w:styleId="Index3">
    <w:name w:val="index 3"/>
    <w:basedOn w:val="ListNumber2"/>
    <w:next w:val="Normal"/>
    <w:semiHidden/>
    <w:rsid w:val="00D01EE3"/>
    <w:pPr>
      <w:numPr>
        <w:numId w:val="0"/>
      </w:numPr>
      <w:tabs>
        <w:tab w:val="right" w:leader="dot" w:pos="4176"/>
      </w:tabs>
    </w:pPr>
  </w:style>
  <w:style w:type="paragraph" w:styleId="ListNumber2">
    <w:name w:val="List Number 2"/>
    <w:basedOn w:val="List2"/>
    <w:rsid w:val="00D01EE3"/>
    <w:pPr>
      <w:numPr>
        <w:numId w:val="10"/>
      </w:numPr>
      <w:tabs>
        <w:tab w:val="clear" w:pos="1060"/>
      </w:tabs>
    </w:pPr>
  </w:style>
  <w:style w:type="paragraph" w:customStyle="1" w:styleId="MarginNote">
    <w:name w:val="Margin Note"/>
    <w:basedOn w:val="BodyText"/>
    <w:rsid w:val="00D01E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1E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1E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1EE3"/>
    <w:rPr>
      <w:sz w:val="32"/>
    </w:rPr>
  </w:style>
  <w:style w:type="paragraph" w:customStyle="1" w:styleId="HeadingProcedure">
    <w:name w:val="Heading Procedure"/>
    <w:basedOn w:val="HeadingBase"/>
    <w:next w:val="Normal"/>
    <w:rsid w:val="00D01EE3"/>
    <w:pPr>
      <w:tabs>
        <w:tab w:val="left" w:pos="0"/>
      </w:tabs>
      <w:spacing w:before="120" w:after="60"/>
    </w:pPr>
    <w:rPr>
      <w:i/>
      <w:color w:val="918585"/>
      <w:sz w:val="22"/>
    </w:rPr>
  </w:style>
  <w:style w:type="paragraph" w:customStyle="1" w:styleId="TableBodyText">
    <w:name w:val="Table Body Text"/>
    <w:basedOn w:val="BodyText"/>
    <w:rsid w:val="00D01EE3"/>
    <w:pPr>
      <w:spacing w:before="60" w:after="60"/>
    </w:pPr>
  </w:style>
  <w:style w:type="paragraph" w:styleId="ListContinue">
    <w:name w:val="List Continue"/>
    <w:basedOn w:val="List"/>
    <w:rsid w:val="00D01EE3"/>
    <w:pPr>
      <w:ind w:firstLine="0"/>
    </w:pPr>
  </w:style>
  <w:style w:type="paragraph" w:customStyle="1" w:styleId="ListNote">
    <w:name w:val="List Note"/>
    <w:basedOn w:val="List"/>
    <w:rsid w:val="00D01EE3"/>
    <w:pPr>
      <w:pBdr>
        <w:top w:val="single" w:sz="6" w:space="2" w:color="918585"/>
        <w:bottom w:val="single" w:sz="6" w:space="2" w:color="918585"/>
      </w:pBdr>
      <w:tabs>
        <w:tab w:val="left" w:pos="1021"/>
      </w:tabs>
      <w:ind w:firstLine="0"/>
    </w:pPr>
  </w:style>
  <w:style w:type="paragraph" w:customStyle="1" w:styleId="Warning">
    <w:name w:val="Warning"/>
    <w:basedOn w:val="BodyText"/>
    <w:rsid w:val="00D01EE3"/>
    <w:pPr>
      <w:shd w:val="clear" w:color="auto" w:fill="D9D9D9"/>
      <w:tabs>
        <w:tab w:val="left" w:pos="992"/>
      </w:tabs>
      <w:ind w:left="119" w:right="119"/>
    </w:pPr>
    <w:rPr>
      <w:sz w:val="20"/>
    </w:rPr>
  </w:style>
  <w:style w:type="paragraph" w:customStyle="1" w:styleId="MarginIcons">
    <w:name w:val="Margin Icons"/>
    <w:basedOn w:val="BodyText"/>
    <w:rsid w:val="00D01E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1EE3"/>
    <w:rPr>
      <w:rFonts w:ascii="Courier New" w:hAnsi="Courier New"/>
    </w:rPr>
  </w:style>
  <w:style w:type="paragraph" w:customStyle="1" w:styleId="NoteBullet">
    <w:name w:val="Note Bullet"/>
    <w:basedOn w:val="Note"/>
    <w:rsid w:val="00D01EE3"/>
    <w:pPr>
      <w:tabs>
        <w:tab w:val="clear" w:pos="680"/>
      </w:tabs>
      <w:spacing w:before="60" w:after="60"/>
    </w:pPr>
  </w:style>
  <w:style w:type="paragraph" w:customStyle="1" w:styleId="SubHeading2">
    <w:name w:val="SubHeading2"/>
    <w:basedOn w:val="HeadingBase"/>
    <w:rsid w:val="00D01EE3"/>
    <w:pPr>
      <w:spacing w:before="240" w:after="60"/>
    </w:pPr>
    <w:rPr>
      <w:sz w:val="20"/>
    </w:rPr>
  </w:style>
  <w:style w:type="paragraph" w:customStyle="1" w:styleId="SubHeading1">
    <w:name w:val="SubHeading1"/>
    <w:basedOn w:val="HeadingBase"/>
    <w:rsid w:val="00D01EE3"/>
    <w:pPr>
      <w:spacing w:before="240" w:after="60"/>
    </w:pPr>
    <w:rPr>
      <w:color w:val="918585"/>
      <w:sz w:val="22"/>
    </w:rPr>
  </w:style>
  <w:style w:type="paragraph" w:customStyle="1" w:styleId="SideHeading">
    <w:name w:val="Side Heading"/>
    <w:basedOn w:val="HeadingBase"/>
    <w:rsid w:val="00D01E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1EE3"/>
    <w:pPr>
      <w:tabs>
        <w:tab w:val="num" w:pos="360"/>
      </w:tabs>
    </w:pPr>
  </w:style>
  <w:style w:type="paragraph" w:styleId="PlainText">
    <w:name w:val="Plain Text"/>
    <w:basedOn w:val="Normal"/>
    <w:link w:val="PlainTextChar"/>
    <w:rsid w:val="00D01EE3"/>
    <w:rPr>
      <w:sz w:val="20"/>
    </w:rPr>
  </w:style>
  <w:style w:type="character" w:customStyle="1" w:styleId="PlainTextChar">
    <w:name w:val="Plain Text Char"/>
    <w:basedOn w:val="DefaultParagraphFont"/>
    <w:link w:val="PlainText"/>
    <w:rsid w:val="00D01EE3"/>
    <w:rPr>
      <w:rFonts w:ascii="Courier New" w:eastAsia="Times New Roman" w:hAnsi="Courier New" w:cs="Times New Roman"/>
      <w:sz w:val="20"/>
      <w:szCs w:val="20"/>
      <w:lang w:eastAsia="en-US"/>
    </w:rPr>
  </w:style>
  <w:style w:type="character" w:customStyle="1" w:styleId="MenuOption">
    <w:name w:val="Menu Option"/>
    <w:basedOn w:val="DefaultParagraphFont"/>
    <w:rsid w:val="00D01EE3"/>
    <w:rPr>
      <w:b/>
      <w:smallCaps/>
    </w:rPr>
  </w:style>
  <w:style w:type="paragraph" w:customStyle="1" w:styleId="TableListNumber">
    <w:name w:val="Table List Number"/>
    <w:basedOn w:val="ListNumber"/>
    <w:rsid w:val="00D01EE3"/>
    <w:pPr>
      <w:numPr>
        <w:numId w:val="0"/>
      </w:numPr>
    </w:pPr>
  </w:style>
  <w:style w:type="paragraph" w:styleId="TOC4">
    <w:name w:val="toc 4"/>
    <w:basedOn w:val="TOCBase"/>
    <w:next w:val="Normal"/>
    <w:semiHidden/>
    <w:rsid w:val="00D01EE3"/>
    <w:pPr>
      <w:tabs>
        <w:tab w:val="right" w:leader="dot" w:pos="9071"/>
      </w:tabs>
      <w:ind w:left="1701"/>
    </w:pPr>
  </w:style>
  <w:style w:type="paragraph" w:customStyle="1" w:styleId="ListAlpha">
    <w:name w:val="List Alpha"/>
    <w:basedOn w:val="List"/>
    <w:rsid w:val="00D01EE3"/>
    <w:pPr>
      <w:numPr>
        <w:numId w:val="9"/>
      </w:numPr>
    </w:pPr>
  </w:style>
  <w:style w:type="paragraph" w:customStyle="1" w:styleId="ListAlpha2">
    <w:name w:val="List Alpha 2"/>
    <w:basedOn w:val="List2"/>
    <w:rsid w:val="00D01EE3"/>
    <w:pPr>
      <w:numPr>
        <w:numId w:val="8"/>
      </w:numPr>
    </w:pPr>
  </w:style>
  <w:style w:type="paragraph" w:styleId="List2">
    <w:name w:val="List 2"/>
    <w:basedOn w:val="BodyText"/>
    <w:rsid w:val="00D01EE3"/>
    <w:pPr>
      <w:tabs>
        <w:tab w:val="left" w:pos="680"/>
      </w:tabs>
      <w:spacing w:before="60" w:after="60"/>
      <w:ind w:left="680" w:hanging="340"/>
    </w:pPr>
  </w:style>
  <w:style w:type="paragraph" w:styleId="List3">
    <w:name w:val="List 3"/>
    <w:basedOn w:val="BodyText"/>
    <w:rsid w:val="00D01EE3"/>
    <w:pPr>
      <w:tabs>
        <w:tab w:val="left" w:pos="1021"/>
      </w:tabs>
      <w:spacing w:before="60" w:after="60"/>
      <w:ind w:left="1020" w:hanging="340"/>
    </w:pPr>
  </w:style>
  <w:style w:type="paragraph" w:styleId="List4">
    <w:name w:val="List 4"/>
    <w:basedOn w:val="BodyText"/>
    <w:rsid w:val="00D01EE3"/>
    <w:pPr>
      <w:tabs>
        <w:tab w:val="left" w:pos="1361"/>
      </w:tabs>
      <w:spacing w:before="60" w:after="60"/>
      <w:ind w:left="1361" w:hanging="340"/>
    </w:pPr>
  </w:style>
  <w:style w:type="paragraph" w:styleId="List5">
    <w:name w:val="List 5"/>
    <w:basedOn w:val="BodyText"/>
    <w:rsid w:val="00D01EE3"/>
    <w:pPr>
      <w:tabs>
        <w:tab w:val="left" w:pos="1701"/>
      </w:tabs>
      <w:spacing w:before="60" w:after="60"/>
      <w:ind w:left="1701" w:hanging="340"/>
    </w:pPr>
  </w:style>
  <w:style w:type="paragraph" w:styleId="ListBullet3">
    <w:name w:val="List Bullet 3"/>
    <w:basedOn w:val="List3"/>
    <w:rsid w:val="00D01EE3"/>
    <w:pPr>
      <w:numPr>
        <w:numId w:val="14"/>
      </w:numPr>
      <w:tabs>
        <w:tab w:val="clear" w:pos="1021"/>
      </w:tabs>
      <w:ind w:left="1037" w:hanging="357"/>
    </w:pPr>
  </w:style>
  <w:style w:type="paragraph" w:styleId="ListBullet4">
    <w:name w:val="List Bullet 4"/>
    <w:basedOn w:val="List4"/>
    <w:rsid w:val="00D01EE3"/>
    <w:pPr>
      <w:numPr>
        <w:numId w:val="3"/>
      </w:numPr>
      <w:tabs>
        <w:tab w:val="clear" w:pos="1361"/>
      </w:tabs>
    </w:pPr>
  </w:style>
  <w:style w:type="paragraph" w:styleId="ListBullet5">
    <w:name w:val="List Bullet 5"/>
    <w:basedOn w:val="List5"/>
    <w:rsid w:val="00D01EE3"/>
    <w:pPr>
      <w:numPr>
        <w:numId w:val="4"/>
      </w:numPr>
    </w:pPr>
  </w:style>
  <w:style w:type="paragraph" w:styleId="ListContinue2">
    <w:name w:val="List Continue 2"/>
    <w:basedOn w:val="List2"/>
    <w:rsid w:val="00D01EE3"/>
    <w:pPr>
      <w:ind w:firstLine="0"/>
    </w:pPr>
  </w:style>
  <w:style w:type="paragraph" w:styleId="ListContinue3">
    <w:name w:val="List Continue 3"/>
    <w:basedOn w:val="List3"/>
    <w:rsid w:val="00D01EE3"/>
    <w:pPr>
      <w:ind w:left="1021" w:firstLine="0"/>
    </w:pPr>
  </w:style>
  <w:style w:type="paragraph" w:styleId="ListContinue4">
    <w:name w:val="List Continue 4"/>
    <w:basedOn w:val="List4"/>
    <w:rsid w:val="00D01EE3"/>
    <w:pPr>
      <w:ind w:firstLine="0"/>
    </w:pPr>
  </w:style>
  <w:style w:type="paragraph" w:styleId="ListContinue5">
    <w:name w:val="List Continue 5"/>
    <w:basedOn w:val="List5"/>
    <w:rsid w:val="00D01EE3"/>
    <w:pPr>
      <w:ind w:firstLine="0"/>
    </w:pPr>
  </w:style>
  <w:style w:type="paragraph" w:styleId="ListNumber3">
    <w:name w:val="List Number 3"/>
    <w:basedOn w:val="List3"/>
    <w:rsid w:val="00D01EE3"/>
    <w:pPr>
      <w:numPr>
        <w:numId w:val="5"/>
      </w:numPr>
    </w:pPr>
  </w:style>
  <w:style w:type="paragraph" w:styleId="ListNumber4">
    <w:name w:val="List Number 4"/>
    <w:basedOn w:val="List4"/>
    <w:rsid w:val="00D01EE3"/>
    <w:pPr>
      <w:numPr>
        <w:numId w:val="6"/>
      </w:numPr>
    </w:pPr>
  </w:style>
  <w:style w:type="paragraph" w:styleId="ListNumber5">
    <w:name w:val="List Number 5"/>
    <w:basedOn w:val="List5"/>
    <w:rsid w:val="00D01EE3"/>
    <w:pPr>
      <w:numPr>
        <w:numId w:val="7"/>
      </w:numPr>
    </w:pPr>
  </w:style>
  <w:style w:type="paragraph" w:styleId="BlockText">
    <w:name w:val="Block Text"/>
    <w:basedOn w:val="Normal"/>
    <w:rsid w:val="00D01EE3"/>
    <w:pPr>
      <w:spacing w:after="120"/>
      <w:ind w:left="1440" w:right="1440"/>
    </w:pPr>
  </w:style>
  <w:style w:type="character" w:customStyle="1" w:styleId="Subscript">
    <w:name w:val="Subscript"/>
    <w:basedOn w:val="DefaultParagraphFont"/>
    <w:rsid w:val="00D01EE3"/>
    <w:rPr>
      <w:sz w:val="16"/>
      <w:vertAlign w:val="subscript"/>
    </w:rPr>
  </w:style>
  <w:style w:type="character" w:customStyle="1" w:styleId="Superscript">
    <w:name w:val="Superscript"/>
    <w:basedOn w:val="DefaultParagraphFont"/>
    <w:rsid w:val="00D01EE3"/>
    <w:rPr>
      <w:sz w:val="16"/>
      <w:vertAlign w:val="superscript"/>
    </w:rPr>
  </w:style>
  <w:style w:type="character" w:customStyle="1" w:styleId="Symbols">
    <w:name w:val="Symbols"/>
    <w:basedOn w:val="DefaultParagraphFont"/>
    <w:rsid w:val="00D01EE3"/>
    <w:rPr>
      <w:rFonts w:ascii="Symbol" w:hAnsi="Symbol"/>
    </w:rPr>
  </w:style>
  <w:style w:type="character" w:customStyle="1" w:styleId="MenuOptions">
    <w:name w:val="Menu Options"/>
    <w:basedOn w:val="DefaultParagraphFont"/>
    <w:rsid w:val="00D01EE3"/>
    <w:rPr>
      <w:rFonts w:ascii="Arial Narrow" w:hAnsi="Arial Narrow"/>
      <w:smallCaps/>
    </w:rPr>
  </w:style>
  <w:style w:type="character" w:customStyle="1" w:styleId="Buttons">
    <w:name w:val="Buttons"/>
    <w:basedOn w:val="DefaultParagraphFont"/>
    <w:rsid w:val="00D01EE3"/>
    <w:rPr>
      <w:b/>
    </w:rPr>
  </w:style>
  <w:style w:type="character" w:customStyle="1" w:styleId="Underlined">
    <w:name w:val="Underlined"/>
    <w:basedOn w:val="DefaultParagraphFont"/>
    <w:rsid w:val="00D01EE3"/>
    <w:rPr>
      <w:u w:val="single"/>
    </w:rPr>
  </w:style>
  <w:style w:type="paragraph" w:customStyle="1" w:styleId="TableBodyTextRight">
    <w:name w:val="Table Body Text Right"/>
    <w:basedOn w:val="TableBodyText"/>
    <w:rsid w:val="00D01EE3"/>
    <w:pPr>
      <w:widowControl w:val="0"/>
      <w:autoSpaceDE w:val="0"/>
      <w:autoSpaceDN w:val="0"/>
      <w:adjustRightInd w:val="0"/>
      <w:jc w:val="right"/>
    </w:pPr>
    <w:rPr>
      <w:rFonts w:cs="Arial"/>
      <w:szCs w:val="18"/>
    </w:rPr>
  </w:style>
  <w:style w:type="paragraph" w:customStyle="1" w:styleId="CopyrightText">
    <w:name w:val="Copyright Text"/>
    <w:basedOn w:val="BodyText"/>
    <w:rsid w:val="00D01EE3"/>
    <w:rPr>
      <w:sz w:val="18"/>
    </w:rPr>
  </w:style>
  <w:style w:type="paragraph" w:customStyle="1" w:styleId="BodySmallRight">
    <w:name w:val="Body Small Right"/>
    <w:basedOn w:val="BodyTextRight"/>
    <w:rsid w:val="00D01EE3"/>
    <w:rPr>
      <w:sz w:val="18"/>
      <w:szCs w:val="18"/>
    </w:rPr>
  </w:style>
  <w:style w:type="paragraph" w:customStyle="1" w:styleId="MarginEdition">
    <w:name w:val="Margin Edition"/>
    <w:basedOn w:val="MarginNote"/>
    <w:rsid w:val="00D01EE3"/>
    <w:pPr>
      <w:spacing w:before="0" w:after="0"/>
    </w:pPr>
    <w:rPr>
      <w:rFonts w:ascii="Times New Roman" w:hAnsi="Times New Roman"/>
      <w:color w:val="999999"/>
    </w:rPr>
  </w:style>
  <w:style w:type="paragraph" w:customStyle="1" w:styleId="Spacer">
    <w:name w:val="Spacer"/>
    <w:basedOn w:val="Normal"/>
    <w:rsid w:val="00D01EE3"/>
    <w:rPr>
      <w:sz w:val="2"/>
      <w:szCs w:val="2"/>
    </w:rPr>
  </w:style>
  <w:style w:type="character" w:customStyle="1" w:styleId="Small">
    <w:name w:val="Small"/>
    <w:basedOn w:val="DefaultParagraphFont"/>
    <w:rsid w:val="00D01EE3"/>
    <w:rPr>
      <w:sz w:val="16"/>
    </w:rPr>
  </w:style>
  <w:style w:type="paragraph" w:customStyle="1" w:styleId="WideTable">
    <w:name w:val="Wide Table"/>
    <w:basedOn w:val="Normal"/>
    <w:rsid w:val="00D01EE3"/>
    <w:pPr>
      <w:ind w:left="-1418"/>
    </w:pPr>
    <w:rPr>
      <w:sz w:val="2"/>
      <w:szCs w:val="2"/>
    </w:rPr>
  </w:style>
  <w:style w:type="character" w:styleId="PageNumber">
    <w:name w:val="page number"/>
    <w:basedOn w:val="DefaultParagraphFont"/>
    <w:rsid w:val="00D01EE3"/>
  </w:style>
  <w:style w:type="paragraph" w:styleId="Quote">
    <w:name w:val="Quote"/>
    <w:basedOn w:val="Heading1"/>
    <w:link w:val="QuoteChar"/>
    <w:qFormat/>
    <w:rsid w:val="00D01EE3"/>
    <w:rPr>
      <w:b w:val="0"/>
      <w:sz w:val="72"/>
      <w:szCs w:val="72"/>
      <w:lang w:val="en-NZ"/>
    </w:rPr>
  </w:style>
  <w:style w:type="character" w:customStyle="1" w:styleId="QuoteChar">
    <w:name w:val="Quote Char"/>
    <w:basedOn w:val="DefaultParagraphFont"/>
    <w:link w:val="Quote"/>
    <w:rsid w:val="00D01E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1EE3"/>
    <w:pPr>
      <w:pageBreakBefore/>
    </w:pPr>
  </w:style>
  <w:style w:type="paragraph" w:customStyle="1" w:styleId="Border">
    <w:name w:val="Border"/>
    <w:basedOn w:val="Normal"/>
    <w:qFormat/>
    <w:rsid w:val="00D01E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1EE3"/>
    <w:rPr>
      <w:b/>
      <w:bCs/>
      <w:i/>
      <w:iCs/>
      <w:color w:val="auto"/>
    </w:rPr>
  </w:style>
  <w:style w:type="paragraph" w:styleId="IntenseQuote">
    <w:name w:val="Intense Quote"/>
    <w:basedOn w:val="Normal"/>
    <w:next w:val="Normal"/>
    <w:link w:val="IntenseQuoteChar"/>
    <w:uiPriority w:val="30"/>
    <w:qFormat/>
    <w:rsid w:val="00D01E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1E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1EE3"/>
    <w:rPr>
      <w:smallCaps/>
      <w:color w:val="auto"/>
      <w:u w:val="single"/>
    </w:rPr>
  </w:style>
  <w:style w:type="character" w:styleId="IntenseReference">
    <w:name w:val="Intense Reference"/>
    <w:basedOn w:val="DefaultParagraphFont"/>
    <w:uiPriority w:val="32"/>
    <w:qFormat/>
    <w:rsid w:val="00D01EE3"/>
    <w:rPr>
      <w:b/>
      <w:bCs/>
      <w:smallCaps/>
      <w:color w:val="auto"/>
      <w:spacing w:val="5"/>
      <w:u w:val="single"/>
    </w:rPr>
  </w:style>
  <w:style w:type="paragraph" w:customStyle="1" w:styleId="2ColumnHeading">
    <w:name w:val="2Column Heading"/>
    <w:basedOn w:val="BodyText"/>
    <w:qFormat/>
    <w:rsid w:val="00D01EE3"/>
    <w:pPr>
      <w:spacing w:after="60"/>
      <w:ind w:left="-2268"/>
    </w:pPr>
    <w:rPr>
      <w:b/>
    </w:rPr>
  </w:style>
  <w:style w:type="paragraph" w:customStyle="1" w:styleId="Heading1TOC">
    <w:name w:val="Heading1 TOC"/>
    <w:basedOn w:val="Normal"/>
    <w:qFormat/>
    <w:rsid w:val="00D01EE3"/>
    <w:pPr>
      <w:spacing w:before="240" w:after="120"/>
    </w:pPr>
    <w:rPr>
      <w:rFonts w:ascii="Times New Roman" w:hAnsi="Times New Roman"/>
      <w:b/>
      <w:sz w:val="32"/>
    </w:rPr>
  </w:style>
  <w:style w:type="paragraph" w:customStyle="1" w:styleId="Heading2TOC">
    <w:name w:val="Heading2 TOC"/>
    <w:basedOn w:val="Normal"/>
    <w:qFormat/>
    <w:rsid w:val="00D01EE3"/>
    <w:pPr>
      <w:spacing w:before="240" w:after="60"/>
    </w:pPr>
    <w:rPr>
      <w:rFonts w:ascii="Times New Roman" w:hAnsi="Times New Roman"/>
      <w:b/>
      <w:sz w:val="28"/>
    </w:rPr>
  </w:style>
  <w:style w:type="character" w:customStyle="1" w:styleId="Underline">
    <w:name w:val="Underline"/>
    <w:basedOn w:val="DefaultParagraphFont"/>
    <w:qFormat/>
    <w:rsid w:val="00D01EE3"/>
    <w:rPr>
      <w:u w:val="single"/>
    </w:rPr>
  </w:style>
  <w:style w:type="character" w:customStyle="1" w:styleId="BoldandItalics">
    <w:name w:val="Bold and Italics"/>
    <w:qFormat/>
    <w:rsid w:val="00D01EE3"/>
    <w:rPr>
      <w:b/>
      <w:i/>
      <w:u w:val="none"/>
    </w:rPr>
  </w:style>
  <w:style w:type="paragraph" w:styleId="BalloonText">
    <w:name w:val="Balloon Text"/>
    <w:basedOn w:val="Normal"/>
    <w:link w:val="BalloonTextChar"/>
    <w:rsid w:val="00D01EE3"/>
    <w:rPr>
      <w:rFonts w:ascii="Tahoma" w:hAnsi="Tahoma" w:cs="Tahoma"/>
      <w:sz w:val="16"/>
      <w:szCs w:val="16"/>
    </w:rPr>
  </w:style>
  <w:style w:type="character" w:customStyle="1" w:styleId="BalloonTextChar">
    <w:name w:val="Balloon Text Char"/>
    <w:basedOn w:val="DefaultParagraphFont"/>
    <w:link w:val="BalloonText"/>
    <w:rsid w:val="00D01E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1E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1E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1EE3"/>
    <w:rPr>
      <w:b/>
      <w:color w:val="660033"/>
      <w:spacing w:val="0"/>
    </w:rPr>
  </w:style>
  <w:style w:type="paragraph" w:customStyle="1" w:styleId="Nameditemlist">
    <w:name w:val="Named item list"/>
    <w:basedOn w:val="BodyText"/>
    <w:qFormat/>
    <w:rsid w:val="00D01EE3"/>
    <w:pPr>
      <w:tabs>
        <w:tab w:val="left" w:pos="2835"/>
      </w:tabs>
      <w:ind w:left="2835" w:hanging="2835"/>
    </w:pPr>
  </w:style>
  <w:style w:type="paragraph" w:customStyle="1" w:styleId="BodyTextnopadding">
    <w:name w:val="Body Text no padding"/>
    <w:basedOn w:val="BodyText"/>
    <w:qFormat/>
    <w:rsid w:val="00D01EE3"/>
    <w:pPr>
      <w:spacing w:before="0" w:after="0"/>
    </w:pPr>
  </w:style>
  <w:style w:type="paragraph" w:customStyle="1" w:styleId="BodyTextBold">
    <w:name w:val="Body Text Bold"/>
    <w:basedOn w:val="BodyText"/>
    <w:qFormat/>
    <w:rsid w:val="00D01EE3"/>
    <w:rPr>
      <w:b/>
    </w:rPr>
  </w:style>
  <w:style w:type="character" w:styleId="Hyperlink">
    <w:name w:val="Hyperlink"/>
    <w:basedOn w:val="DefaultParagraphFont"/>
    <w:uiPriority w:val="99"/>
    <w:unhideWhenUsed/>
    <w:rsid w:val="00D64B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762</Words>
  <Characters>5026</Characters>
  <Application>Microsoft Office Word</Application>
  <DocSecurity>0</DocSecurity>
  <Lines>251</Lines>
  <Paragraphs>131</Paragraphs>
  <ScaleCrop>false</ScaleCrop>
  <Company>Author-it Software Corporation Ltd.</Company>
  <LinksUpToDate>false</LinksUpToDate>
  <CharactersWithSpaces>5657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MSTFP3005 Supervise footwear production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2020-07-29T04:10:00Z</dcterms:created>
  <dcterms:modified xsi:type="dcterms:W3CDTF">2020-07-29T04:10:00Z</dcterms:modified>
</cp:coreProperties>
</file>