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D96" w:rsidP="00E74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MSTDC2012 Identify pre-spotting requirements</w:t>
      </w:r>
      <w:r>
        <w:fldChar w:fldCharType="end"/>
      </w:r>
    </w:p>
    <w:p w:rsidR="00E74D96" w:rsidP="00E74D96">
      <w:pPr>
        <w:pStyle w:val="Version"/>
        <w:sectPr w:rsidSect="00321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DAF" w:rsidP="00321DAF">
      <w:pPr>
        <w:pStyle w:val="SuperHeading"/>
      </w:pPr>
      <w:r w:rsidRPr="00321DAF">
        <w:t>Assessment Requirements for MSTDC2012 Identify pre-spotting requirements</w:t>
      </w:r>
    </w:p>
    <w:p w:rsidR="00000000" w:rsidRPr="00321DAF" w:rsidP="00321DAF">
      <w:pPr>
        <w:pStyle w:val="Heading1"/>
      </w:pPr>
      <w:bookmarkStart w:id="1" w:name="O_1064373"/>
      <w:bookmarkEnd w:id="1"/>
      <w:r w:rsidRPr="00321DAF">
        <w:t>Modification History</w:t>
      </w:r>
    </w:p>
    <w:p w:rsidR="00000000" w:rsidRPr="00321DAF" w:rsidP="00E74D96">
      <w:pPr>
        <w:pStyle w:val="BodyText"/>
      </w:pPr>
      <w:r w:rsidRPr="00321DAF">
        <w:t>Release 1. Supersedes and is equivalent to MSTDC2003 Identify pre- and post-spotting requirements.</w:t>
      </w:r>
    </w:p>
    <w:p w:rsidR="00000000" w:rsidRPr="00321DAF" w:rsidP="00321DAF">
      <w:pPr>
        <w:pStyle w:val="Heading1"/>
      </w:pPr>
      <w:bookmarkStart w:id="2" w:name="O_1064374"/>
      <w:bookmarkEnd w:id="2"/>
      <w:r w:rsidRPr="00321DAF">
        <w:t>Performance Evidence</w:t>
      </w:r>
    </w:p>
    <w:p w:rsidR="00000000" w:rsidRPr="00321DAF" w:rsidP="00E74D96">
      <w:pPr>
        <w:pStyle w:val="BodyText"/>
      </w:pPr>
      <w:r w:rsidRPr="00321DAF">
        <w:t>There must be evidence the candidate has completed the tasks outlined in the elements and performance criteria of this unit, and:</w:t>
      </w:r>
    </w:p>
    <w:p w:rsidR="00000000" w:rsidRPr="00321DAF" w:rsidP="00321DAF">
      <w:pPr>
        <w:pStyle w:val="ListBullet"/>
      </w:pPr>
      <w:r w:rsidRPr="00321DAF">
        <w:t>identified at least 5 different kinds of soils or stains and marks on a variety of common fabrics, garments or textiles and t</w:t>
      </w:r>
      <w:r w:rsidRPr="00321DAF">
        <w:t>he appropriate removal procedures to suit the stain, fibre and fabric, and dye and colour characteristics</w:t>
      </w:r>
    </w:p>
    <w:p w:rsidR="00000000" w:rsidRPr="00321DAF" w:rsidP="00321DAF">
      <w:pPr>
        <w:pStyle w:val="ListBullet"/>
      </w:pPr>
      <w:r w:rsidRPr="00321DAF">
        <w:t>maintained quality requirements for each stage of the process</w:t>
      </w:r>
    </w:p>
    <w:p w:rsidR="00000000" w:rsidRPr="00321DAF" w:rsidP="00321DAF">
      <w:pPr>
        <w:pStyle w:val="ListBullet"/>
      </w:pPr>
      <w:r w:rsidRPr="00321DAF">
        <w:t xml:space="preserve">communicated spotting requirements to customer </w:t>
      </w:r>
    </w:p>
    <w:p w:rsidR="00000000" w:rsidRPr="00321DAF" w:rsidP="00321DAF">
      <w:pPr>
        <w:pStyle w:val="ListBullet"/>
      </w:pPr>
      <w:r w:rsidRPr="00321DAF">
        <w:t>documented spotting requirements for wor</w:t>
      </w:r>
      <w:r w:rsidRPr="00321DAF">
        <w:t>k personnel.</w:t>
      </w:r>
    </w:p>
    <w:p w:rsidR="00000000" w:rsidRPr="00321DAF" w:rsidP="00321DAF">
      <w:pPr>
        <w:pStyle w:val="AllowPageBreak"/>
      </w:pPr>
    </w:p>
    <w:p w:rsidR="00000000" w:rsidRPr="00321DAF" w:rsidP="00321DAF">
      <w:pPr>
        <w:pStyle w:val="Heading1"/>
      </w:pPr>
      <w:bookmarkStart w:id="3" w:name="O_1064375"/>
      <w:bookmarkEnd w:id="3"/>
      <w:r w:rsidRPr="00321DAF">
        <w:t>Knowledge Evidence</w:t>
      </w:r>
    </w:p>
    <w:p w:rsidR="00000000" w:rsidRPr="00321DAF" w:rsidP="00E74D96">
      <w:pPr>
        <w:pStyle w:val="BodyText"/>
      </w:pPr>
      <w:r w:rsidRPr="00321DAF">
        <w:t>There must be evidence the candidate has knowledge of:</w:t>
      </w:r>
    </w:p>
    <w:p w:rsidR="00000000" w:rsidRPr="00321DAF" w:rsidP="00321DAF">
      <w:pPr>
        <w:pStyle w:val="ListBullet2"/>
      </w:pPr>
      <w:r w:rsidRPr="00321DAF">
        <w:t>safe work practices and procedures and use of personal protective equipment (PPE)</w:t>
      </w:r>
    </w:p>
    <w:p w:rsidR="00000000" w:rsidRPr="00321DAF" w:rsidP="00321DAF">
      <w:pPr>
        <w:pStyle w:val="ListBullet2"/>
      </w:pPr>
      <w:r w:rsidRPr="00321DAF">
        <w:t>Australian Standa</w:t>
      </w:r>
      <w:r w:rsidRPr="00321DAF">
        <w:t>rds, industry regulations and codes of practice that govern the control of chemicals in the workplace, including:</w:t>
      </w:r>
    </w:p>
    <w:p w:rsidR="00000000" w:rsidRPr="00321DAF" w:rsidP="00321DAF">
      <w:pPr>
        <w:pStyle w:val="ListBullet3"/>
      </w:pPr>
      <w:r w:rsidRPr="00321DAF">
        <w:rPr>
          <w:rStyle w:val="Emphasis"/>
        </w:rPr>
        <w:t>Managing risks of hazardous chemicals in the workplace: Code of Practice,</w:t>
      </w:r>
      <w:r w:rsidRPr="00321DAF">
        <w:t xml:space="preserve"> Safe Work Australia</w:t>
      </w:r>
    </w:p>
    <w:p w:rsidR="00000000" w:rsidRPr="00321DAF" w:rsidP="00321DAF">
      <w:pPr>
        <w:pStyle w:val="ListBullet3"/>
      </w:pPr>
      <w:r w:rsidRPr="00321DAF">
        <w:rPr>
          <w:rStyle w:val="Emphasis"/>
        </w:rPr>
        <w:t>Managing risks of exposure to solvents in the w</w:t>
      </w:r>
      <w:r w:rsidRPr="00321DAF">
        <w:rPr>
          <w:rStyle w:val="Emphasis"/>
        </w:rPr>
        <w:t>orkplace, Information sheet,</w:t>
      </w:r>
      <w:r w:rsidRPr="00321DAF">
        <w:t xml:space="preserve"> Safe Work Australia</w:t>
      </w:r>
    </w:p>
    <w:p w:rsidR="00000000" w:rsidRPr="00321DAF" w:rsidP="00321DAF">
      <w:pPr>
        <w:pStyle w:val="ListBullet3"/>
      </w:pPr>
      <w:r w:rsidRPr="00321DAF">
        <w:t>Dry Cleaning Institute of Australia (DIA) information resources</w:t>
      </w:r>
    </w:p>
    <w:p w:rsidR="00000000" w:rsidRPr="00321DAF" w:rsidP="00321DAF">
      <w:pPr>
        <w:pStyle w:val="ListBullet2"/>
      </w:pPr>
      <w:r w:rsidRPr="00321DAF">
        <w:t>characteristics of fibres, fabrics, dyes or colours and the effects of the spotting procedure</w:t>
      </w:r>
    </w:p>
    <w:p w:rsidR="00000000" w:rsidRPr="00321DAF" w:rsidP="00321DAF">
      <w:pPr>
        <w:pStyle w:val="ListBullet2"/>
      </w:pPr>
      <w:r w:rsidRPr="00321DAF">
        <w:t>stain identification procedures and steps to rec</w:t>
      </w:r>
      <w:r w:rsidRPr="00321DAF">
        <w:t>ognise typical stains, including:</w:t>
      </w:r>
    </w:p>
    <w:p w:rsidR="00000000" w:rsidRPr="00321DAF" w:rsidP="00321DAF">
      <w:pPr>
        <w:pStyle w:val="ListBullet3"/>
      </w:pPr>
      <w:r w:rsidRPr="00321DAF">
        <w:t>albumin stains</w:t>
      </w:r>
    </w:p>
    <w:p w:rsidR="00000000" w:rsidRPr="00321DAF" w:rsidP="00321DAF">
      <w:pPr>
        <w:pStyle w:val="ListBullet3"/>
      </w:pPr>
      <w:r w:rsidRPr="00321DAF">
        <w:t xml:space="preserve">dye stains </w:t>
      </w:r>
    </w:p>
    <w:p w:rsidR="00000000" w:rsidRPr="00321DAF" w:rsidP="00321DAF">
      <w:pPr>
        <w:pStyle w:val="ListBullet3"/>
      </w:pPr>
      <w:r w:rsidRPr="00321DAF">
        <w:t>make up</w:t>
      </w:r>
    </w:p>
    <w:p w:rsidR="00000000" w:rsidRPr="00321DAF" w:rsidP="00321DAF">
      <w:pPr>
        <w:pStyle w:val="ListBullet3"/>
      </w:pPr>
      <w:r w:rsidRPr="00321DAF">
        <w:t>mustard</w:t>
      </w:r>
    </w:p>
    <w:p w:rsidR="00000000" w:rsidRPr="00321DAF" w:rsidP="00321DAF">
      <w:pPr>
        <w:pStyle w:val="ListBullet3"/>
      </w:pPr>
      <w:r w:rsidRPr="00321DAF">
        <w:t>nail polish</w:t>
      </w:r>
    </w:p>
    <w:p w:rsidR="00000000" w:rsidRPr="00321DAF" w:rsidP="00321DAF">
      <w:pPr>
        <w:pStyle w:val="ListBullet3"/>
      </w:pPr>
      <w:r w:rsidRPr="00321DAF">
        <w:t>organic or non-organic stains</w:t>
      </w:r>
    </w:p>
    <w:p w:rsidR="00000000" w:rsidRPr="00321DAF" w:rsidP="00321DAF">
      <w:pPr>
        <w:pStyle w:val="ListBullet3"/>
      </w:pPr>
      <w:r w:rsidRPr="00321DAF">
        <w:t xml:space="preserve">paints, inks </w:t>
      </w:r>
    </w:p>
    <w:p w:rsidR="00000000" w:rsidRPr="00321DAF" w:rsidP="00321DAF">
      <w:pPr>
        <w:pStyle w:val="ListBullet3"/>
      </w:pPr>
      <w:r w:rsidRPr="00321DAF">
        <w:t>protein stains</w:t>
      </w:r>
    </w:p>
    <w:p w:rsidR="00000000" w:rsidRPr="00321DAF" w:rsidP="00321DAF">
      <w:pPr>
        <w:pStyle w:val="ListBullet3"/>
      </w:pPr>
      <w:r w:rsidRPr="00321DAF">
        <w:t>tannin stains</w:t>
      </w:r>
    </w:p>
    <w:p w:rsidR="00000000" w:rsidRPr="00321DAF" w:rsidP="00321DAF">
      <w:pPr>
        <w:pStyle w:val="ListBullet3"/>
      </w:pPr>
      <w:r w:rsidRPr="00321DAF">
        <w:t>vegetable adhesives</w:t>
      </w:r>
    </w:p>
    <w:p w:rsidR="00000000" w:rsidRPr="00321DAF" w:rsidP="00321DAF">
      <w:pPr>
        <w:pStyle w:val="ListBullet3"/>
      </w:pPr>
      <w:r w:rsidRPr="00321DAF">
        <w:t>wine</w:t>
      </w:r>
    </w:p>
    <w:p w:rsidR="00000000" w:rsidRPr="00321DAF" w:rsidP="00321DAF">
      <w:pPr>
        <w:pStyle w:val="ListBullet2"/>
      </w:pPr>
      <w:r w:rsidRPr="00321DAF">
        <w:t>types of special spotting agents:</w:t>
      </w:r>
    </w:p>
    <w:p w:rsidR="00000000" w:rsidRPr="00321DAF" w:rsidP="00321DAF">
      <w:pPr>
        <w:pStyle w:val="ListBullet3"/>
      </w:pPr>
      <w:r w:rsidRPr="00321DAF">
        <w:t>brushing agents</w:t>
      </w:r>
    </w:p>
    <w:p w:rsidR="00000000" w:rsidRPr="00321DAF" w:rsidP="00321DAF">
      <w:pPr>
        <w:pStyle w:val="ListBullet3"/>
      </w:pPr>
      <w:r w:rsidRPr="00321DAF">
        <w:t>glue, adhesive and lacquer remover.</w:t>
      </w:r>
    </w:p>
    <w:p w:rsidR="00000000" w:rsidRPr="00321DAF" w:rsidP="00321DAF">
      <w:pPr>
        <w:pStyle w:val="ListBullet3"/>
      </w:pPr>
      <w:r w:rsidRPr="00321DAF">
        <w:t>ink removers</w:t>
      </w:r>
    </w:p>
    <w:p w:rsidR="00000000" w:rsidRPr="00321DAF" w:rsidP="00321DAF">
      <w:pPr>
        <w:pStyle w:val="ListBullet3"/>
      </w:pPr>
      <w:r w:rsidRPr="00321DAF">
        <w:t>paint removers</w:t>
      </w:r>
    </w:p>
    <w:p w:rsidR="00000000" w:rsidRPr="00321DAF" w:rsidP="00321DAF">
      <w:pPr>
        <w:pStyle w:val="ListBullet3"/>
      </w:pPr>
      <w:r w:rsidRPr="00321DAF">
        <w:t>paint, oil and grease (POG) remover</w:t>
      </w:r>
    </w:p>
    <w:p w:rsidR="00000000" w:rsidRPr="00321DAF" w:rsidP="00321DAF">
      <w:pPr>
        <w:pStyle w:val="ListBullet3"/>
      </w:pPr>
      <w:r w:rsidRPr="00321DAF">
        <w:t>pre spotting agents</w:t>
      </w:r>
    </w:p>
    <w:p w:rsidR="00000000" w:rsidRPr="00321DAF" w:rsidP="00321DAF">
      <w:pPr>
        <w:pStyle w:val="ListBullet3"/>
      </w:pPr>
      <w:r w:rsidRPr="00321DAF">
        <w:t>protein removers</w:t>
      </w:r>
    </w:p>
    <w:p w:rsidR="00000000" w:rsidRPr="00321DAF" w:rsidP="00321DAF">
      <w:pPr>
        <w:pStyle w:val="ListBullet3"/>
      </w:pPr>
      <w:r w:rsidRPr="00321DAF">
        <w:t xml:space="preserve">rust removers  </w:t>
      </w:r>
    </w:p>
    <w:p w:rsidR="00000000" w:rsidRPr="00321DAF" w:rsidP="00321DAF">
      <w:pPr>
        <w:pStyle w:val="ListBullet3"/>
      </w:pPr>
      <w:r w:rsidRPr="00321DAF">
        <w:t>tannin removers</w:t>
      </w:r>
    </w:p>
    <w:p w:rsidR="00000000" w:rsidRPr="00321DAF" w:rsidP="00321DAF">
      <w:pPr>
        <w:pStyle w:val="ListBullet2"/>
      </w:pPr>
      <w:r w:rsidRPr="00321DAF">
        <w:t>processes for communicating spotting treatment requirements.</w:t>
      </w:r>
    </w:p>
    <w:p w:rsidR="00000000" w:rsidRPr="00321DAF" w:rsidP="00321DAF">
      <w:pPr>
        <w:pStyle w:val="AllowPageBreak"/>
      </w:pPr>
    </w:p>
    <w:p w:rsidR="00000000" w:rsidRPr="00321DAF" w:rsidP="00321DAF">
      <w:pPr>
        <w:pStyle w:val="Heading1"/>
      </w:pPr>
      <w:bookmarkStart w:id="4" w:name="O_1064376"/>
      <w:bookmarkEnd w:id="4"/>
      <w:r w:rsidRPr="00321DAF">
        <w:t>Assessment Conditions</w:t>
      </w:r>
    </w:p>
    <w:p w:rsidR="00000000" w:rsidRPr="00321DAF" w:rsidP="00E74D96">
      <w:pPr>
        <w:pStyle w:val="BodyText"/>
      </w:pPr>
      <w:r w:rsidRPr="00321DA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21DAF" w:rsidP="00321DAF">
      <w:pPr>
        <w:pStyle w:val="ListBullet2"/>
      </w:pPr>
      <w:r w:rsidRPr="00321DAF">
        <w:t>use of suitable facilities, equipment and re</w:t>
      </w:r>
      <w:r w:rsidRPr="00321DAF">
        <w:t>sources, including:</w:t>
      </w:r>
    </w:p>
    <w:p w:rsidR="00000000" w:rsidRPr="00321DAF" w:rsidP="00321DAF">
      <w:pPr>
        <w:pStyle w:val="ListBullet3"/>
      </w:pPr>
      <w:r w:rsidRPr="00321DAF">
        <w:t>a dry cleaning environment set up with chemicals and solvents for spot cleaning, and related safety materials including standard operating procedures (SOPs)</w:t>
      </w:r>
    </w:p>
    <w:p w:rsidR="00000000" w:rsidRPr="00321DAF" w:rsidP="00321DAF">
      <w:pPr>
        <w:pStyle w:val="ListBullet3"/>
      </w:pPr>
      <w:r w:rsidRPr="00321DAF">
        <w:t>articles that require spot cleaning, made of a variety of fabrics with differe</w:t>
      </w:r>
      <w:r w:rsidRPr="00321DAF">
        <w:t>nt types of stains or marks.</w:t>
      </w:r>
    </w:p>
    <w:p w:rsidR="00000000" w:rsidRPr="00321DAF" w:rsidP="00E74D96">
      <w:pPr>
        <w:pStyle w:val="BodyText"/>
      </w:pPr>
      <w:r w:rsidRPr="00321DAF">
        <w:t>Assessors must satisfy the NVR/AQTF mandatory competency requirements for assessors.</w:t>
      </w:r>
    </w:p>
    <w:p w:rsidR="00000000" w:rsidRPr="00321DAF" w:rsidP="00321DAF">
      <w:pPr>
        <w:pStyle w:val="Heading1"/>
      </w:pPr>
      <w:bookmarkStart w:id="5" w:name="O_1064379"/>
      <w:bookmarkEnd w:id="5"/>
      <w:r w:rsidRPr="00321DAF">
        <w:t>Links</w:t>
      </w:r>
    </w:p>
    <w:p w:rsidR="00000000" w:rsidRPr="00321DAF" w:rsidP="00E74D96">
      <w:pPr>
        <w:pStyle w:val="BodyText"/>
      </w:pPr>
      <w:r w:rsidRPr="00321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7064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21DAF" w:rsidP="00321DAF"/>
    <w:sectPr w:rsidSect="00321D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AF" w:rsidRPr="00E74D96" w:rsidP="00E74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96" w:rsidP="00321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4D96" w:rsidP="00321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4D96" w:rsidP="00321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DAF" w:rsidRPr="00E74D96" w:rsidP="00E74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96" w:rsidRPr="002D2AF8" w:rsidP="00321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MSTDC2012 Identify pre-spotting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74D96" w:rsidP="00321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72C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C3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87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DAF"/>
  </w:style>
  <w:style w:type="character" w:customStyle="1" w:styleId="Heading1Char">
    <w:name w:val="Heading 1 Char"/>
    <w:basedOn w:val="DefaultParagraphFont"/>
    <w:link w:val="Heading1"/>
    <w:rsid w:val="00321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D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DA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DA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1DAF"/>
    <w:rPr>
      <w:i/>
    </w:rPr>
  </w:style>
  <w:style w:type="paragraph" w:customStyle="1" w:styleId="SuperHeading">
    <w:name w:val="SuperHeading"/>
    <w:basedOn w:val="Normal"/>
    <w:rsid w:val="00321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1D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1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D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DAF"/>
    <w:rPr>
      <w:b/>
      <w:spacing w:val="0"/>
    </w:rPr>
  </w:style>
  <w:style w:type="paragraph" w:customStyle="1" w:styleId="SuperTitle">
    <w:name w:val="SuperTitle"/>
    <w:basedOn w:val="Title"/>
    <w:rsid w:val="00321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D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DAF"/>
  </w:style>
  <w:style w:type="paragraph" w:styleId="TableofFigures">
    <w:name w:val="table of figures"/>
    <w:basedOn w:val="Normal"/>
    <w:next w:val="Normal"/>
    <w:semiHidden/>
    <w:rsid w:val="00321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D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1DAF"/>
    <w:rPr>
      <w:rFonts w:ascii="Wingdings" w:hAnsi="Wingdings"/>
    </w:rPr>
  </w:style>
  <w:style w:type="paragraph" w:customStyle="1" w:styleId="TableHeading">
    <w:name w:val="Table Heading"/>
    <w:basedOn w:val="HeadingBase"/>
    <w:rsid w:val="00321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DAF"/>
    <w:rPr>
      <w:color w:val="0033CC"/>
      <w:u w:val="none"/>
    </w:rPr>
  </w:style>
  <w:style w:type="paragraph" w:customStyle="1" w:styleId="BodyTextRight">
    <w:name w:val="Body Text Right"/>
    <w:basedOn w:val="BodyText"/>
    <w:rsid w:val="00321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D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DAF"/>
    <w:rPr>
      <w:sz w:val="32"/>
    </w:rPr>
  </w:style>
  <w:style w:type="paragraph" w:customStyle="1" w:styleId="HeadingProcedure">
    <w:name w:val="Heading Procedure"/>
    <w:basedOn w:val="HeadingBase"/>
    <w:next w:val="Normal"/>
    <w:rsid w:val="00321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DAF"/>
    <w:pPr>
      <w:spacing w:before="60" w:after="60"/>
    </w:pPr>
  </w:style>
  <w:style w:type="paragraph" w:styleId="ListContinue">
    <w:name w:val="List Continue"/>
    <w:basedOn w:val="List"/>
    <w:rsid w:val="00321DAF"/>
    <w:pPr>
      <w:ind w:firstLine="0"/>
    </w:pPr>
  </w:style>
  <w:style w:type="paragraph" w:customStyle="1" w:styleId="ListNote">
    <w:name w:val="List Note"/>
    <w:basedOn w:val="List"/>
    <w:rsid w:val="00321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DAF"/>
    <w:rPr>
      <w:rFonts w:ascii="Courier New" w:hAnsi="Courier New"/>
    </w:rPr>
  </w:style>
  <w:style w:type="paragraph" w:customStyle="1" w:styleId="NoteBullet">
    <w:name w:val="Note Bullet"/>
    <w:basedOn w:val="Note"/>
    <w:rsid w:val="00321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D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1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DAF"/>
    <w:rPr>
      <w:b/>
      <w:smallCaps/>
    </w:rPr>
  </w:style>
  <w:style w:type="paragraph" w:customStyle="1" w:styleId="TableListNumber">
    <w:name w:val="Table List Number"/>
    <w:basedOn w:val="ListNumber"/>
    <w:rsid w:val="00321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DAF"/>
    <w:pPr>
      <w:numPr>
        <w:numId w:val="10"/>
      </w:numPr>
    </w:pPr>
  </w:style>
  <w:style w:type="paragraph" w:customStyle="1" w:styleId="ListAlpha2">
    <w:name w:val="List Alpha 2"/>
    <w:basedOn w:val="List2"/>
    <w:rsid w:val="00321DAF"/>
    <w:pPr>
      <w:numPr>
        <w:numId w:val="9"/>
      </w:numPr>
    </w:pPr>
  </w:style>
  <w:style w:type="paragraph" w:styleId="List2">
    <w:name w:val="List 2"/>
    <w:basedOn w:val="BodyText"/>
    <w:rsid w:val="00321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D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1D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1DAF"/>
    <w:pPr>
      <w:numPr>
        <w:numId w:val="5"/>
      </w:numPr>
    </w:pPr>
  </w:style>
  <w:style w:type="paragraph" w:styleId="ListContinue2">
    <w:name w:val="List Continue 2"/>
    <w:basedOn w:val="List2"/>
    <w:rsid w:val="00321DAF"/>
    <w:pPr>
      <w:ind w:firstLine="0"/>
    </w:pPr>
  </w:style>
  <w:style w:type="paragraph" w:styleId="ListContinue3">
    <w:name w:val="List Continue 3"/>
    <w:basedOn w:val="List3"/>
    <w:rsid w:val="00321DAF"/>
    <w:pPr>
      <w:ind w:left="1021" w:firstLine="0"/>
    </w:pPr>
  </w:style>
  <w:style w:type="paragraph" w:styleId="ListContinue4">
    <w:name w:val="List Continue 4"/>
    <w:basedOn w:val="List4"/>
    <w:rsid w:val="00321DAF"/>
    <w:pPr>
      <w:ind w:firstLine="0"/>
    </w:pPr>
  </w:style>
  <w:style w:type="paragraph" w:styleId="ListContinue5">
    <w:name w:val="List Continue 5"/>
    <w:basedOn w:val="List5"/>
    <w:rsid w:val="00321DAF"/>
    <w:pPr>
      <w:ind w:firstLine="0"/>
    </w:pPr>
  </w:style>
  <w:style w:type="paragraph" w:styleId="ListNumber3">
    <w:name w:val="List Number 3"/>
    <w:basedOn w:val="List3"/>
    <w:rsid w:val="00321DAF"/>
    <w:pPr>
      <w:numPr>
        <w:numId w:val="6"/>
      </w:numPr>
    </w:pPr>
  </w:style>
  <w:style w:type="paragraph" w:styleId="ListNumber4">
    <w:name w:val="List Number 4"/>
    <w:basedOn w:val="List4"/>
    <w:rsid w:val="00321DAF"/>
    <w:pPr>
      <w:numPr>
        <w:numId w:val="7"/>
      </w:numPr>
    </w:pPr>
  </w:style>
  <w:style w:type="paragraph" w:styleId="ListNumber5">
    <w:name w:val="List Number 5"/>
    <w:basedOn w:val="List5"/>
    <w:rsid w:val="00321DAF"/>
    <w:pPr>
      <w:numPr>
        <w:numId w:val="8"/>
      </w:numPr>
    </w:pPr>
  </w:style>
  <w:style w:type="paragraph" w:styleId="BlockText">
    <w:name w:val="Block Text"/>
    <w:basedOn w:val="Normal"/>
    <w:rsid w:val="00321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DAF"/>
    <w:rPr>
      <w:sz w:val="16"/>
      <w:vertAlign w:val="superscript"/>
    </w:rPr>
  </w:style>
  <w:style w:type="character" w:customStyle="1" w:styleId="Symbols">
    <w:name w:val="Symbols"/>
    <w:basedOn w:val="DefaultParagraphFont"/>
    <w:rsid w:val="00321DAF"/>
    <w:rPr>
      <w:rFonts w:ascii="Symbol" w:hAnsi="Symbol"/>
    </w:rPr>
  </w:style>
  <w:style w:type="character" w:customStyle="1" w:styleId="MenuOptions">
    <w:name w:val="Menu Options"/>
    <w:basedOn w:val="DefaultParagraphFont"/>
    <w:rsid w:val="00321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DAF"/>
    <w:rPr>
      <w:b/>
    </w:rPr>
  </w:style>
  <w:style w:type="character" w:customStyle="1" w:styleId="Underlined">
    <w:name w:val="Underlined"/>
    <w:basedOn w:val="DefaultParagraphFont"/>
    <w:rsid w:val="00321DAF"/>
    <w:rPr>
      <w:u w:val="single"/>
    </w:rPr>
  </w:style>
  <w:style w:type="paragraph" w:customStyle="1" w:styleId="TableBodyTextRight">
    <w:name w:val="Table Body Text Right"/>
    <w:basedOn w:val="TableBodyText"/>
    <w:rsid w:val="00321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DAF"/>
    <w:rPr>
      <w:sz w:val="18"/>
    </w:rPr>
  </w:style>
  <w:style w:type="paragraph" w:customStyle="1" w:styleId="BodySmallRight">
    <w:name w:val="Body Small Right"/>
    <w:basedOn w:val="BodyTextRight"/>
    <w:rsid w:val="00321DAF"/>
    <w:rPr>
      <w:sz w:val="18"/>
      <w:szCs w:val="18"/>
    </w:rPr>
  </w:style>
  <w:style w:type="paragraph" w:customStyle="1" w:styleId="MarginEdition">
    <w:name w:val="Margin Edition"/>
    <w:basedOn w:val="MarginNote"/>
    <w:rsid w:val="00321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DAF"/>
    <w:rPr>
      <w:sz w:val="2"/>
      <w:szCs w:val="2"/>
    </w:rPr>
  </w:style>
  <w:style w:type="character" w:customStyle="1" w:styleId="Small">
    <w:name w:val="Small"/>
    <w:basedOn w:val="DefaultParagraphFont"/>
    <w:rsid w:val="00321DAF"/>
    <w:rPr>
      <w:sz w:val="16"/>
    </w:rPr>
  </w:style>
  <w:style w:type="paragraph" w:customStyle="1" w:styleId="WideTable">
    <w:name w:val="Wide Table"/>
    <w:basedOn w:val="Normal"/>
    <w:rsid w:val="00321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DAF"/>
  </w:style>
  <w:style w:type="paragraph" w:styleId="Quote">
    <w:name w:val="Quote"/>
    <w:basedOn w:val="Heading1"/>
    <w:link w:val="QuoteChar"/>
    <w:qFormat/>
    <w:rsid w:val="00321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DAF"/>
    <w:pPr>
      <w:pageBreakBefore/>
    </w:pPr>
  </w:style>
  <w:style w:type="paragraph" w:customStyle="1" w:styleId="Border">
    <w:name w:val="Border"/>
    <w:basedOn w:val="Normal"/>
    <w:qFormat/>
    <w:rsid w:val="00321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DAF"/>
    <w:rPr>
      <w:u w:val="single"/>
    </w:rPr>
  </w:style>
  <w:style w:type="character" w:customStyle="1" w:styleId="BoldandItalics">
    <w:name w:val="Bold and Italics"/>
    <w:qFormat/>
    <w:rsid w:val="00321DAF"/>
    <w:rPr>
      <w:b/>
      <w:i/>
      <w:u w:val="none"/>
    </w:rPr>
  </w:style>
  <w:style w:type="paragraph" w:styleId="BalloonText">
    <w:name w:val="Balloon Text"/>
    <w:basedOn w:val="Normal"/>
    <w:link w:val="BalloonTextChar"/>
    <w:rsid w:val="00321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DAF"/>
    <w:pPr>
      <w:spacing w:before="0" w:after="0"/>
    </w:pPr>
  </w:style>
  <w:style w:type="paragraph" w:customStyle="1" w:styleId="BodyTextBold">
    <w:name w:val="Body Text Bold"/>
    <w:basedOn w:val="BodyText"/>
    <w:qFormat/>
    <w:rsid w:val="00321DAF"/>
    <w:rPr>
      <w:b/>
    </w:rPr>
  </w:style>
  <w:style w:type="character" w:styleId="Hyperlink">
    <w:name w:val="Hyperlink"/>
    <w:basedOn w:val="DefaultParagraphFont"/>
    <w:uiPriority w:val="99"/>
    <w:unhideWhenUsed/>
    <w:rsid w:val="00E74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2531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MSTDC2012 Identify pre-spotting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