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1B7" w:rsidP="00B04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MSTDC2003 Identify pre- and post-spotting requirements</w:t>
      </w:r>
      <w:r>
        <w:fldChar w:fldCharType="end"/>
      </w:r>
    </w:p>
    <w:p w:rsidR="00B041B7" w:rsidP="00B041B7">
      <w:pPr>
        <w:pStyle w:val="Version"/>
        <w:sectPr w:rsidSect="00EF7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7F79" w:rsidP="00EF7F79">
      <w:pPr>
        <w:pStyle w:val="SuperHeading"/>
      </w:pPr>
      <w:r w:rsidRPr="00EF7F79">
        <w:t>Assessment Requirements for MSTDC2003 Identify pre- and post-spotting requirements</w:t>
      </w:r>
    </w:p>
    <w:p w:rsidR="00000000" w:rsidRPr="00EF7F79" w:rsidP="00EF7F79">
      <w:pPr>
        <w:pStyle w:val="Heading1"/>
      </w:pPr>
      <w:bookmarkStart w:id="1" w:name="O_935286"/>
      <w:bookmarkEnd w:id="1"/>
      <w:r w:rsidRPr="00EF7F79">
        <w:t>Modification History</w:t>
      </w:r>
    </w:p>
    <w:p w:rsidR="00000000" w:rsidRPr="00EF7F79" w:rsidP="00B041B7">
      <w:pPr>
        <w:pStyle w:val="BodyText"/>
      </w:pPr>
      <w:r w:rsidRPr="00EF7F79">
        <w:t>Release 1. Supersedes and is equivalent to LMTDC2011A Identify pre- and post-spotting requirements</w:t>
      </w:r>
    </w:p>
    <w:p w:rsidR="00000000" w:rsidRPr="00EF7F79" w:rsidP="00EF7F79">
      <w:pPr>
        <w:pStyle w:val="Heading1"/>
      </w:pPr>
      <w:bookmarkStart w:id="2" w:name="O_935289"/>
      <w:bookmarkEnd w:id="2"/>
      <w:r w:rsidRPr="00EF7F79">
        <w:t>Performance Evidence</w:t>
      </w:r>
    </w:p>
    <w:p w:rsidR="00000000" w:rsidRPr="00EF7F79" w:rsidP="00B041B7">
      <w:pPr>
        <w:pStyle w:val="BodyText"/>
      </w:pPr>
      <w:r w:rsidRPr="00EF7F79">
        <w:t>Evidence required to demonstrate competence in this unit must be relevant to and satisfy the requirements of the elements and performance criteria, and include:</w:t>
      </w:r>
    </w:p>
    <w:p w:rsidR="00000000" w:rsidRPr="00EF7F79" w:rsidP="00EF7F79">
      <w:pPr>
        <w:pStyle w:val="ListBullet"/>
      </w:pPr>
      <w:r w:rsidRPr="00EF7F79">
        <w:t>reading and following work instructions, standard operating procedures (S</w:t>
      </w:r>
      <w:r w:rsidRPr="00EF7F79">
        <w:t>OPs), safe work practices and other reference material</w:t>
      </w:r>
    </w:p>
    <w:p w:rsidR="00000000" w:rsidRPr="00EF7F79" w:rsidP="00EF7F79">
      <w:pPr>
        <w:pStyle w:val="ListBullet"/>
      </w:pPr>
      <w:r w:rsidRPr="00EF7F79">
        <w:t>recognising fibres, fabric types, dyes and colour categories</w:t>
      </w:r>
    </w:p>
    <w:p w:rsidR="00000000" w:rsidRPr="00EF7F79" w:rsidP="00EF7F79">
      <w:pPr>
        <w:pStyle w:val="ListBullet"/>
      </w:pPr>
      <w:r w:rsidRPr="00EF7F79">
        <w:t>recording non-removable stains and defects</w:t>
      </w:r>
    </w:p>
    <w:p w:rsidR="00000000" w:rsidRPr="00EF7F79" w:rsidP="00EF7F79">
      <w:pPr>
        <w:pStyle w:val="ListBullet"/>
      </w:pPr>
      <w:r w:rsidRPr="00EF7F79">
        <w:t>identifying at least five (5) different kinds of stains and marks on a variety of common fabrics,</w:t>
      </w:r>
      <w:r w:rsidRPr="00EF7F79">
        <w:t xml:space="preserve"> and their appropriate removal procedures to suit the stain, fibre and fabric, and dye and colour characteristics</w:t>
      </w:r>
    </w:p>
    <w:p w:rsidR="00000000" w:rsidRPr="00EF7F79" w:rsidP="00EF7F79">
      <w:pPr>
        <w:pStyle w:val="ListBullet"/>
      </w:pPr>
      <w:r w:rsidRPr="00EF7F79">
        <w:t>maintaining quality requirements for each stage of the process</w:t>
      </w:r>
    </w:p>
    <w:p w:rsidR="00000000" w:rsidRPr="00EF7F79" w:rsidP="00EF7F79">
      <w:pPr>
        <w:pStyle w:val="ListBullet"/>
      </w:pPr>
      <w:r w:rsidRPr="00EF7F79">
        <w:t>communicating and documenting spotting requirements to customer and work person</w:t>
      </w:r>
      <w:r w:rsidRPr="00EF7F79">
        <w:t xml:space="preserve">nel </w:t>
      </w:r>
    </w:p>
    <w:p w:rsidR="00000000" w:rsidRPr="00EF7F79" w:rsidP="00EF7F79">
      <w:pPr>
        <w:pStyle w:val="ListBullet"/>
      </w:pPr>
      <w:r w:rsidRPr="00EF7F79">
        <w:t>complying with relevant federal and state or territory legislative or regulatory requirements.</w:t>
      </w:r>
    </w:p>
    <w:p w:rsidR="00000000" w:rsidRPr="00EF7F79" w:rsidP="00EF7F79">
      <w:pPr>
        <w:pStyle w:val="AllowPageBreak"/>
      </w:pPr>
    </w:p>
    <w:p w:rsidR="00000000" w:rsidRPr="00EF7F79" w:rsidP="00EF7F79">
      <w:pPr>
        <w:pStyle w:val="Heading1"/>
      </w:pPr>
      <w:bookmarkStart w:id="3" w:name="O_935288"/>
      <w:bookmarkEnd w:id="3"/>
      <w:r w:rsidRPr="00EF7F79">
        <w:t>Knowledge Evidence</w:t>
      </w:r>
    </w:p>
    <w:p w:rsidR="00000000" w:rsidRPr="00EF7F79" w:rsidP="00B041B7">
      <w:pPr>
        <w:pStyle w:val="BodyText"/>
      </w:pPr>
      <w:r w:rsidRPr="00EF7F79">
        <w:t>Evidence must be provided that demonstrates knowledge of:</w:t>
      </w:r>
    </w:p>
    <w:p w:rsidR="00000000" w:rsidRPr="00EF7F79" w:rsidP="00EF7F79">
      <w:pPr>
        <w:pStyle w:val="ListBullet"/>
      </w:pPr>
      <w:r w:rsidRPr="00EF7F79">
        <w:t>safe work practices and procedures and use of personal protec</w:t>
      </w:r>
      <w:r w:rsidRPr="00EF7F79">
        <w:t>tive equipment (PPE)</w:t>
      </w:r>
    </w:p>
    <w:p w:rsidR="00000000" w:rsidRPr="00EF7F79" w:rsidP="00EF7F79">
      <w:pPr>
        <w:pStyle w:val="ListBullet"/>
      </w:pPr>
      <w:r w:rsidRPr="00EF7F79">
        <w:t>Australian Standards that govern dry cleaning and laundry operations</w:t>
      </w:r>
    </w:p>
    <w:p w:rsidR="00000000" w:rsidRPr="00EF7F79" w:rsidP="00EF7F79">
      <w:pPr>
        <w:pStyle w:val="ListBullet"/>
      </w:pPr>
      <w:r w:rsidRPr="00EF7F79">
        <w:t>characteristics of fibres, fabrics, dyes or colours and the effects of the spotting procedure</w:t>
      </w:r>
    </w:p>
    <w:p w:rsidR="00000000" w:rsidRPr="00EF7F79" w:rsidP="00EF7F79">
      <w:pPr>
        <w:pStyle w:val="ListBullet"/>
      </w:pPr>
      <w:r w:rsidRPr="00EF7F79">
        <w:t>stain identification procedures, including steps to be followed</w:t>
      </w:r>
    </w:p>
    <w:p w:rsidR="00000000" w:rsidRPr="00EF7F79" w:rsidP="00EF7F79">
      <w:pPr>
        <w:pStyle w:val="ListBullet"/>
      </w:pPr>
      <w:r w:rsidRPr="00EF7F79">
        <w:t>types of</w:t>
      </w:r>
      <w:r w:rsidRPr="00EF7F79">
        <w:t xml:space="preserve"> special spotting agents</w:t>
      </w:r>
    </w:p>
    <w:p w:rsidR="00000000" w:rsidRPr="00EF7F79" w:rsidP="00EF7F79">
      <w:pPr>
        <w:pStyle w:val="ListBullet"/>
      </w:pPr>
      <w:r w:rsidRPr="00EF7F79">
        <w:t>wet-side and dry-side agents:</w:t>
      </w:r>
    </w:p>
    <w:p w:rsidR="00000000" w:rsidRPr="00EF7F79" w:rsidP="00EF7F79">
      <w:pPr>
        <w:pStyle w:val="ListBullet2"/>
      </w:pPr>
      <w:r w:rsidRPr="00EF7F79">
        <w:t>sodium thiosulphate</w:t>
      </w:r>
    </w:p>
    <w:p w:rsidR="00000000" w:rsidRPr="00EF7F79" w:rsidP="00EF7F79">
      <w:pPr>
        <w:pStyle w:val="ListBullet2"/>
      </w:pPr>
      <w:r w:rsidRPr="00EF7F79">
        <w:t>formic acid</w:t>
      </w:r>
    </w:p>
    <w:p w:rsidR="00000000" w:rsidRPr="00EF7F79" w:rsidP="00EF7F79">
      <w:pPr>
        <w:pStyle w:val="ListBullet2"/>
      </w:pPr>
      <w:r w:rsidRPr="00EF7F79">
        <w:t xml:space="preserve">oxalic acid </w:t>
      </w:r>
    </w:p>
    <w:p w:rsidR="00000000" w:rsidRPr="00EF7F79" w:rsidP="00EF7F79">
      <w:pPr>
        <w:pStyle w:val="ListBullet2"/>
      </w:pPr>
      <w:r w:rsidRPr="00EF7F79">
        <w:t>iodine</w:t>
      </w:r>
    </w:p>
    <w:p w:rsidR="00000000" w:rsidRPr="00EF7F79" w:rsidP="00EF7F79">
      <w:pPr>
        <w:pStyle w:val="ListBullet2"/>
      </w:pPr>
      <w:r w:rsidRPr="00EF7F79">
        <w:t>acetone</w:t>
      </w:r>
    </w:p>
    <w:p w:rsidR="00000000" w:rsidRPr="00EF7F79" w:rsidP="00EF7F79">
      <w:pPr>
        <w:pStyle w:val="ListBullet2"/>
      </w:pPr>
      <w:r w:rsidRPr="00EF7F79">
        <w:t>methyl alcohol</w:t>
      </w:r>
    </w:p>
    <w:p w:rsidR="00000000" w:rsidRPr="00EF7F79" w:rsidP="00EF7F79">
      <w:pPr>
        <w:pStyle w:val="ListBullet2"/>
      </w:pPr>
      <w:r w:rsidRPr="00EF7F79">
        <w:t>oxidising and reducing bleaches</w:t>
      </w:r>
    </w:p>
    <w:p w:rsidR="00000000" w:rsidRPr="00EF7F79" w:rsidP="00EF7F79">
      <w:pPr>
        <w:pStyle w:val="ListBullet2"/>
      </w:pPr>
      <w:r w:rsidRPr="00EF7F79">
        <w:t>digestion agents</w:t>
      </w:r>
    </w:p>
    <w:p w:rsidR="00000000" w:rsidRPr="00EF7F79" w:rsidP="00EF7F79">
      <w:pPr>
        <w:pStyle w:val="ListBullet2"/>
      </w:pPr>
      <w:r w:rsidRPr="00EF7F79">
        <w:t>solvents</w:t>
      </w:r>
    </w:p>
    <w:p w:rsidR="00000000" w:rsidRPr="00EF7F79" w:rsidP="00EF7F79">
      <w:pPr>
        <w:pStyle w:val="ListBullet2"/>
      </w:pPr>
      <w:r w:rsidRPr="00EF7F79">
        <w:t>detergents</w:t>
      </w:r>
    </w:p>
    <w:p w:rsidR="00000000" w:rsidRPr="00EF7F79" w:rsidP="00EF7F79">
      <w:pPr>
        <w:pStyle w:val="ListBullet"/>
      </w:pPr>
      <w:r w:rsidRPr="00EF7F79">
        <w:t>spotting techniques</w:t>
      </w:r>
    </w:p>
    <w:p w:rsidR="00000000" w:rsidRPr="00EF7F79" w:rsidP="00EF7F79">
      <w:pPr>
        <w:pStyle w:val="ListBullet"/>
      </w:pPr>
      <w:r w:rsidRPr="00EF7F79">
        <w:t>environmental aspects related to workplace and machine or equipment operation and manual handling</w:t>
      </w:r>
    </w:p>
    <w:p w:rsidR="00000000" w:rsidRPr="00EF7F79" w:rsidP="00EF7F79">
      <w:pPr>
        <w:pStyle w:val="ListBullet"/>
      </w:pPr>
      <w:r w:rsidRPr="00EF7F79">
        <w:t>quality practices</w:t>
      </w:r>
    </w:p>
    <w:p w:rsidR="00000000" w:rsidRPr="00EF7F79" w:rsidP="00EF7F79">
      <w:pPr>
        <w:pStyle w:val="ListBullet"/>
      </w:pPr>
      <w:r w:rsidRPr="00EF7F79">
        <w:t>workplace practices</w:t>
      </w:r>
    </w:p>
    <w:p w:rsidR="00000000" w:rsidRPr="00EF7F79" w:rsidP="00EF7F79">
      <w:pPr>
        <w:pStyle w:val="ListBullet"/>
      </w:pPr>
      <w:r w:rsidRPr="00EF7F79">
        <w:t xml:space="preserve">processes to communicate and document spotting requirements to customer and work personnel </w:t>
      </w:r>
    </w:p>
    <w:p w:rsidR="00000000" w:rsidRPr="00EF7F79" w:rsidP="00EF7F79">
      <w:pPr>
        <w:pStyle w:val="ListBullet"/>
      </w:pPr>
      <w:r w:rsidRPr="00EF7F79">
        <w:t>federal and state or territory legislative or regulatory requirements.</w:t>
      </w:r>
    </w:p>
    <w:p w:rsidR="00000000" w:rsidRPr="00EF7F79" w:rsidP="00EF7F79">
      <w:pPr>
        <w:pStyle w:val="AllowPageBreak"/>
      </w:pPr>
    </w:p>
    <w:p w:rsidR="00000000" w:rsidRPr="00EF7F79" w:rsidP="00EF7F79">
      <w:pPr>
        <w:pStyle w:val="Heading1"/>
      </w:pPr>
      <w:bookmarkStart w:id="4" w:name="O_935287"/>
      <w:bookmarkEnd w:id="4"/>
      <w:r w:rsidRPr="00EF7F79">
        <w:t>Assessment Conditions</w:t>
      </w:r>
    </w:p>
    <w:p w:rsidR="00000000" w:rsidRPr="00EF7F79" w:rsidP="00B041B7">
      <w:pPr>
        <w:pStyle w:val="BodyText"/>
      </w:pPr>
      <w:r w:rsidRPr="00EF7F79">
        <w:t>Evidence must be provided that demonstrates knowledge of:</w:t>
      </w:r>
    </w:p>
    <w:p w:rsidR="00000000" w:rsidRPr="00EF7F79" w:rsidP="00EF7F79">
      <w:pPr>
        <w:pStyle w:val="ListBullet"/>
      </w:pPr>
      <w:r w:rsidRPr="00EF7F79">
        <w:t>safe work practices and procedures and use of personal protective equipment (PPE)</w:t>
      </w:r>
    </w:p>
    <w:p w:rsidR="00000000" w:rsidRPr="00EF7F79" w:rsidP="00EF7F79">
      <w:pPr>
        <w:pStyle w:val="ListBullet"/>
      </w:pPr>
      <w:r w:rsidRPr="00EF7F79">
        <w:t>Austr</w:t>
      </w:r>
      <w:r w:rsidRPr="00EF7F79">
        <w:t>alian Standards that govern dry cleaning and laundry operations</w:t>
      </w:r>
    </w:p>
    <w:p w:rsidR="00000000" w:rsidRPr="00EF7F79" w:rsidP="00EF7F79">
      <w:pPr>
        <w:pStyle w:val="ListBullet"/>
      </w:pPr>
      <w:r w:rsidRPr="00EF7F79">
        <w:t>characteristics of fibres, fabrics, dyes or colours and the effects of the spotting procedure</w:t>
      </w:r>
    </w:p>
    <w:p w:rsidR="00000000" w:rsidRPr="00EF7F79" w:rsidP="00EF7F79">
      <w:pPr>
        <w:pStyle w:val="ListBullet"/>
      </w:pPr>
      <w:r w:rsidRPr="00EF7F79">
        <w:t>stain identification procedures, including steps to be followed</w:t>
      </w:r>
    </w:p>
    <w:p w:rsidR="00000000" w:rsidRPr="00EF7F79" w:rsidP="00EF7F79">
      <w:pPr>
        <w:pStyle w:val="ListBullet"/>
      </w:pPr>
      <w:r w:rsidRPr="00EF7F79">
        <w:t>types of special spotting agents</w:t>
      </w:r>
    </w:p>
    <w:p w:rsidR="00000000" w:rsidRPr="00EF7F79" w:rsidP="00EF7F79">
      <w:pPr>
        <w:pStyle w:val="ListBullet"/>
      </w:pPr>
      <w:r w:rsidRPr="00EF7F79">
        <w:t>w</w:t>
      </w:r>
      <w:r w:rsidRPr="00EF7F79">
        <w:t>et-side and dry-side agents:</w:t>
      </w:r>
    </w:p>
    <w:p w:rsidR="00000000" w:rsidRPr="00EF7F79" w:rsidP="00EF7F79">
      <w:pPr>
        <w:pStyle w:val="ListBullet"/>
      </w:pPr>
      <w:r w:rsidRPr="00EF7F79">
        <w:t>sodium thiosulphate</w:t>
      </w:r>
    </w:p>
    <w:p w:rsidR="00000000" w:rsidRPr="00EF7F79" w:rsidP="00EF7F79">
      <w:pPr>
        <w:pStyle w:val="ListBullet"/>
      </w:pPr>
      <w:r w:rsidRPr="00EF7F79">
        <w:t>formic acid</w:t>
      </w:r>
    </w:p>
    <w:p w:rsidR="00000000" w:rsidRPr="00EF7F79" w:rsidP="00EF7F79">
      <w:pPr>
        <w:pStyle w:val="ListBullet"/>
      </w:pPr>
      <w:r w:rsidRPr="00EF7F79">
        <w:t xml:space="preserve">oxalic acid </w:t>
      </w:r>
    </w:p>
    <w:p w:rsidR="00000000" w:rsidRPr="00EF7F79" w:rsidP="00EF7F79">
      <w:pPr>
        <w:pStyle w:val="ListBullet"/>
      </w:pPr>
      <w:r w:rsidRPr="00EF7F79">
        <w:t>iodine</w:t>
      </w:r>
    </w:p>
    <w:p w:rsidR="00000000" w:rsidRPr="00EF7F79" w:rsidP="00EF7F79">
      <w:pPr>
        <w:pStyle w:val="ListBullet"/>
      </w:pPr>
      <w:r w:rsidRPr="00EF7F79">
        <w:t>acetone</w:t>
      </w:r>
    </w:p>
    <w:p w:rsidR="00000000" w:rsidRPr="00EF7F79" w:rsidP="00EF7F79">
      <w:pPr>
        <w:pStyle w:val="ListBullet"/>
      </w:pPr>
      <w:r w:rsidRPr="00EF7F79">
        <w:t>methyl alcohol</w:t>
      </w:r>
    </w:p>
    <w:p w:rsidR="00000000" w:rsidRPr="00EF7F79" w:rsidP="00EF7F79">
      <w:pPr>
        <w:pStyle w:val="ListBullet"/>
      </w:pPr>
      <w:r w:rsidRPr="00EF7F79">
        <w:t>oxidising and reducing bleaches</w:t>
      </w:r>
    </w:p>
    <w:p w:rsidR="00000000" w:rsidRPr="00EF7F79" w:rsidP="00EF7F79">
      <w:pPr>
        <w:pStyle w:val="ListBullet"/>
      </w:pPr>
      <w:r w:rsidRPr="00EF7F79">
        <w:t>digestion agents</w:t>
      </w:r>
    </w:p>
    <w:p w:rsidR="00000000" w:rsidRPr="00EF7F79" w:rsidP="00EF7F79">
      <w:pPr>
        <w:pStyle w:val="ListBullet"/>
      </w:pPr>
      <w:r w:rsidRPr="00EF7F79">
        <w:t>solvents</w:t>
      </w:r>
    </w:p>
    <w:p w:rsidR="00000000" w:rsidRPr="00EF7F79" w:rsidP="00EF7F79">
      <w:pPr>
        <w:pStyle w:val="ListBullet"/>
      </w:pPr>
      <w:r w:rsidRPr="00EF7F79">
        <w:t>detergents</w:t>
      </w:r>
    </w:p>
    <w:p w:rsidR="00000000" w:rsidRPr="00EF7F79" w:rsidP="00EF7F79">
      <w:pPr>
        <w:pStyle w:val="ListBullet"/>
      </w:pPr>
      <w:r w:rsidRPr="00EF7F79">
        <w:t>spotting techniques</w:t>
      </w:r>
    </w:p>
    <w:p w:rsidR="00000000" w:rsidRPr="00EF7F79" w:rsidP="00EF7F79">
      <w:pPr>
        <w:pStyle w:val="ListBullet"/>
      </w:pPr>
      <w:r w:rsidRPr="00EF7F79">
        <w:t>environmental aspects related to workplace and machine or equipment operation and manual handling</w:t>
      </w:r>
    </w:p>
    <w:p w:rsidR="00000000" w:rsidRPr="00EF7F79" w:rsidP="00EF7F79">
      <w:pPr>
        <w:pStyle w:val="ListBullet"/>
      </w:pPr>
      <w:r w:rsidRPr="00EF7F79">
        <w:t>quality practices</w:t>
      </w:r>
    </w:p>
    <w:p w:rsidR="00000000" w:rsidRPr="00EF7F79" w:rsidP="00EF7F79">
      <w:pPr>
        <w:pStyle w:val="ListBullet"/>
      </w:pPr>
      <w:r w:rsidRPr="00EF7F79">
        <w:t>workplace practices</w:t>
      </w:r>
    </w:p>
    <w:p w:rsidR="00000000" w:rsidRPr="00EF7F79" w:rsidP="00EF7F79">
      <w:pPr>
        <w:pStyle w:val="ListBullet"/>
      </w:pPr>
      <w:r w:rsidRPr="00EF7F79">
        <w:t xml:space="preserve">processes to communicate and document spotting requirements to customer and work personnel </w:t>
      </w:r>
    </w:p>
    <w:p w:rsidR="00000000" w:rsidRPr="00EF7F79" w:rsidP="00EF7F79">
      <w:pPr>
        <w:pStyle w:val="ListBullet"/>
      </w:pPr>
      <w:r w:rsidRPr="00EF7F79">
        <w:t>federal and state or territo</w:t>
      </w:r>
      <w:r w:rsidRPr="00EF7F79">
        <w:t>ry legislative or regulatory requirements.</w:t>
      </w:r>
    </w:p>
    <w:p w:rsidR="00000000" w:rsidRPr="00EF7F79" w:rsidP="00EF7F79">
      <w:pPr>
        <w:pStyle w:val="AllowPageBreak"/>
      </w:pPr>
    </w:p>
    <w:p w:rsidR="00000000" w:rsidRPr="00EF7F79" w:rsidP="00EF7F79">
      <w:pPr>
        <w:pStyle w:val="Heading1"/>
      </w:pPr>
      <w:bookmarkStart w:id="5" w:name="O_935285"/>
      <w:bookmarkEnd w:id="5"/>
      <w:r w:rsidRPr="00EF7F79">
        <w:t>Links</w:t>
      </w:r>
    </w:p>
    <w:p w:rsidR="00000000" w:rsidRPr="00EF7F79" w:rsidP="00B041B7">
      <w:pPr>
        <w:pStyle w:val="BodyText"/>
      </w:pPr>
      <w:r w:rsidRPr="00EF7F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B3EBC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EF7F79" w:rsidP="00EF7F79"/>
    <w:sectPr w:rsidSect="00EF7F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79" w:rsidRPr="00B041B7" w:rsidP="00B04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7" w:rsidP="00EF7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41B7" w:rsidP="00EF7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41B7" w:rsidP="00EF7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7F79" w:rsidRPr="00B041B7" w:rsidP="00B041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1B7" w:rsidRPr="002D2AF8" w:rsidP="00EF7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MSTDC2003 Identify pre- and post-spotting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B041B7" w:rsidP="00EF7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74B0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8E8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AA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7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7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7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7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7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7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7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7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7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7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7F79"/>
  </w:style>
  <w:style w:type="character" w:customStyle="1" w:styleId="Heading1Char">
    <w:name w:val="Heading 1 Char"/>
    <w:basedOn w:val="DefaultParagraphFont"/>
    <w:link w:val="Heading1"/>
    <w:rsid w:val="00EF7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7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7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7F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7F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7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7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7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7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7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7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7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7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7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7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7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7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7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7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7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7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7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7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7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7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7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7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7F79"/>
    <w:rPr>
      <w:b/>
      <w:spacing w:val="0"/>
    </w:rPr>
  </w:style>
  <w:style w:type="paragraph" w:customStyle="1" w:styleId="SuperTitle">
    <w:name w:val="SuperTitle"/>
    <w:basedOn w:val="Title"/>
    <w:rsid w:val="00EF7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7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7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7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7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7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7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7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7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7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7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7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7F79"/>
    <w:rPr>
      <w:i/>
    </w:rPr>
  </w:style>
  <w:style w:type="paragraph" w:styleId="Caption">
    <w:name w:val="caption"/>
    <w:basedOn w:val="BodyText"/>
    <w:next w:val="Normal"/>
    <w:qFormat/>
    <w:rsid w:val="00EF7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7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7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7F79"/>
  </w:style>
  <w:style w:type="paragraph" w:styleId="TableofFigures">
    <w:name w:val="table of figures"/>
    <w:basedOn w:val="Normal"/>
    <w:next w:val="Normal"/>
    <w:semiHidden/>
    <w:rsid w:val="00EF7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7F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7F79"/>
    <w:rPr>
      <w:rFonts w:ascii="Wingdings" w:hAnsi="Wingdings"/>
    </w:rPr>
  </w:style>
  <w:style w:type="paragraph" w:customStyle="1" w:styleId="TableHeading">
    <w:name w:val="Table Heading"/>
    <w:basedOn w:val="HeadingBase"/>
    <w:rsid w:val="00EF7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7F79"/>
    <w:rPr>
      <w:color w:val="0033CC"/>
      <w:u w:val="none"/>
    </w:rPr>
  </w:style>
  <w:style w:type="paragraph" w:customStyle="1" w:styleId="BodyTextRight">
    <w:name w:val="Body Text Right"/>
    <w:basedOn w:val="BodyText"/>
    <w:rsid w:val="00EF7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7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7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7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7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7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7F79"/>
    <w:rPr>
      <w:sz w:val="32"/>
    </w:rPr>
  </w:style>
  <w:style w:type="paragraph" w:customStyle="1" w:styleId="HeadingProcedure">
    <w:name w:val="Heading Procedure"/>
    <w:basedOn w:val="HeadingBase"/>
    <w:next w:val="Normal"/>
    <w:rsid w:val="00EF7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7F79"/>
    <w:pPr>
      <w:spacing w:before="60" w:after="60"/>
    </w:pPr>
  </w:style>
  <w:style w:type="paragraph" w:styleId="ListContinue">
    <w:name w:val="List Continue"/>
    <w:basedOn w:val="List"/>
    <w:rsid w:val="00EF7F79"/>
    <w:pPr>
      <w:ind w:firstLine="0"/>
    </w:pPr>
  </w:style>
  <w:style w:type="paragraph" w:customStyle="1" w:styleId="ListNote">
    <w:name w:val="List Note"/>
    <w:basedOn w:val="List"/>
    <w:rsid w:val="00EF7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7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7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7F79"/>
    <w:rPr>
      <w:rFonts w:ascii="Courier New" w:hAnsi="Courier New"/>
    </w:rPr>
  </w:style>
  <w:style w:type="paragraph" w:customStyle="1" w:styleId="NoteBullet">
    <w:name w:val="Note Bullet"/>
    <w:basedOn w:val="Note"/>
    <w:rsid w:val="00EF7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7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7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7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7F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7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7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7F79"/>
    <w:rPr>
      <w:b/>
      <w:smallCaps/>
    </w:rPr>
  </w:style>
  <w:style w:type="paragraph" w:customStyle="1" w:styleId="TableListNumber">
    <w:name w:val="Table List Number"/>
    <w:basedOn w:val="ListNumber"/>
    <w:rsid w:val="00EF7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7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7F79"/>
    <w:pPr>
      <w:numPr>
        <w:numId w:val="9"/>
      </w:numPr>
    </w:pPr>
  </w:style>
  <w:style w:type="paragraph" w:customStyle="1" w:styleId="ListAlpha2">
    <w:name w:val="List Alpha 2"/>
    <w:basedOn w:val="List2"/>
    <w:rsid w:val="00EF7F79"/>
    <w:pPr>
      <w:numPr>
        <w:numId w:val="8"/>
      </w:numPr>
    </w:pPr>
  </w:style>
  <w:style w:type="paragraph" w:styleId="List2">
    <w:name w:val="List 2"/>
    <w:basedOn w:val="BodyText"/>
    <w:rsid w:val="00EF7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7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7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7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7F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7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7F79"/>
    <w:pPr>
      <w:numPr>
        <w:numId w:val="4"/>
      </w:numPr>
    </w:pPr>
  </w:style>
  <w:style w:type="paragraph" w:styleId="ListContinue2">
    <w:name w:val="List Continue 2"/>
    <w:basedOn w:val="List2"/>
    <w:rsid w:val="00EF7F79"/>
    <w:pPr>
      <w:ind w:firstLine="0"/>
    </w:pPr>
  </w:style>
  <w:style w:type="paragraph" w:styleId="ListContinue3">
    <w:name w:val="List Continue 3"/>
    <w:basedOn w:val="List3"/>
    <w:rsid w:val="00EF7F79"/>
    <w:pPr>
      <w:ind w:left="1021" w:firstLine="0"/>
    </w:pPr>
  </w:style>
  <w:style w:type="paragraph" w:styleId="ListContinue4">
    <w:name w:val="List Continue 4"/>
    <w:basedOn w:val="List4"/>
    <w:rsid w:val="00EF7F79"/>
    <w:pPr>
      <w:ind w:firstLine="0"/>
    </w:pPr>
  </w:style>
  <w:style w:type="paragraph" w:styleId="ListContinue5">
    <w:name w:val="List Continue 5"/>
    <w:basedOn w:val="List5"/>
    <w:rsid w:val="00EF7F79"/>
    <w:pPr>
      <w:ind w:firstLine="0"/>
    </w:pPr>
  </w:style>
  <w:style w:type="paragraph" w:styleId="ListNumber3">
    <w:name w:val="List Number 3"/>
    <w:basedOn w:val="List3"/>
    <w:rsid w:val="00EF7F79"/>
    <w:pPr>
      <w:numPr>
        <w:numId w:val="5"/>
      </w:numPr>
    </w:pPr>
  </w:style>
  <w:style w:type="paragraph" w:styleId="ListNumber4">
    <w:name w:val="List Number 4"/>
    <w:basedOn w:val="List4"/>
    <w:rsid w:val="00EF7F79"/>
    <w:pPr>
      <w:numPr>
        <w:numId w:val="6"/>
      </w:numPr>
    </w:pPr>
  </w:style>
  <w:style w:type="paragraph" w:styleId="ListNumber5">
    <w:name w:val="List Number 5"/>
    <w:basedOn w:val="List5"/>
    <w:rsid w:val="00EF7F79"/>
    <w:pPr>
      <w:numPr>
        <w:numId w:val="7"/>
      </w:numPr>
    </w:pPr>
  </w:style>
  <w:style w:type="paragraph" w:styleId="BlockText">
    <w:name w:val="Block Text"/>
    <w:basedOn w:val="Normal"/>
    <w:rsid w:val="00EF7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7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7F79"/>
    <w:rPr>
      <w:sz w:val="16"/>
      <w:vertAlign w:val="superscript"/>
    </w:rPr>
  </w:style>
  <w:style w:type="character" w:customStyle="1" w:styleId="Symbols">
    <w:name w:val="Symbols"/>
    <w:basedOn w:val="DefaultParagraphFont"/>
    <w:rsid w:val="00EF7F79"/>
    <w:rPr>
      <w:rFonts w:ascii="Symbol" w:hAnsi="Symbol"/>
    </w:rPr>
  </w:style>
  <w:style w:type="character" w:customStyle="1" w:styleId="MenuOptions">
    <w:name w:val="Menu Options"/>
    <w:basedOn w:val="DefaultParagraphFont"/>
    <w:rsid w:val="00EF7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7F79"/>
    <w:rPr>
      <w:b/>
    </w:rPr>
  </w:style>
  <w:style w:type="character" w:customStyle="1" w:styleId="Underlined">
    <w:name w:val="Underlined"/>
    <w:basedOn w:val="DefaultParagraphFont"/>
    <w:rsid w:val="00EF7F79"/>
    <w:rPr>
      <w:u w:val="single"/>
    </w:rPr>
  </w:style>
  <w:style w:type="paragraph" w:customStyle="1" w:styleId="TableBodyTextRight">
    <w:name w:val="Table Body Text Right"/>
    <w:basedOn w:val="TableBodyText"/>
    <w:rsid w:val="00EF7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7F79"/>
    <w:rPr>
      <w:sz w:val="18"/>
    </w:rPr>
  </w:style>
  <w:style w:type="paragraph" w:customStyle="1" w:styleId="BodySmallRight">
    <w:name w:val="Body Small Right"/>
    <w:basedOn w:val="BodyTextRight"/>
    <w:rsid w:val="00EF7F79"/>
    <w:rPr>
      <w:sz w:val="18"/>
      <w:szCs w:val="18"/>
    </w:rPr>
  </w:style>
  <w:style w:type="paragraph" w:customStyle="1" w:styleId="MarginEdition">
    <w:name w:val="Margin Edition"/>
    <w:basedOn w:val="MarginNote"/>
    <w:rsid w:val="00EF7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7F79"/>
    <w:rPr>
      <w:sz w:val="2"/>
      <w:szCs w:val="2"/>
    </w:rPr>
  </w:style>
  <w:style w:type="character" w:customStyle="1" w:styleId="Small">
    <w:name w:val="Small"/>
    <w:basedOn w:val="DefaultParagraphFont"/>
    <w:rsid w:val="00EF7F79"/>
    <w:rPr>
      <w:sz w:val="16"/>
    </w:rPr>
  </w:style>
  <w:style w:type="paragraph" w:customStyle="1" w:styleId="WideTable">
    <w:name w:val="Wide Table"/>
    <w:basedOn w:val="Normal"/>
    <w:rsid w:val="00EF7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7F79"/>
  </w:style>
  <w:style w:type="paragraph" w:styleId="Quote">
    <w:name w:val="Quote"/>
    <w:basedOn w:val="Heading1"/>
    <w:link w:val="QuoteChar"/>
    <w:qFormat/>
    <w:rsid w:val="00EF7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7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7F79"/>
    <w:pPr>
      <w:pageBreakBefore/>
    </w:pPr>
  </w:style>
  <w:style w:type="paragraph" w:customStyle="1" w:styleId="Border">
    <w:name w:val="Border"/>
    <w:basedOn w:val="Normal"/>
    <w:qFormat/>
    <w:rsid w:val="00EF7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7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7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7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7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7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7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7F79"/>
    <w:rPr>
      <w:u w:val="single"/>
    </w:rPr>
  </w:style>
  <w:style w:type="character" w:customStyle="1" w:styleId="BoldandItalics">
    <w:name w:val="Bold and Italics"/>
    <w:qFormat/>
    <w:rsid w:val="00EF7F79"/>
    <w:rPr>
      <w:b/>
      <w:i/>
      <w:u w:val="none"/>
    </w:rPr>
  </w:style>
  <w:style w:type="paragraph" w:styleId="BalloonText">
    <w:name w:val="Balloon Text"/>
    <w:basedOn w:val="Normal"/>
    <w:link w:val="BalloonTextChar"/>
    <w:rsid w:val="00EF7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7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7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7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7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7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7F79"/>
    <w:pPr>
      <w:spacing w:before="0" w:after="0"/>
    </w:pPr>
  </w:style>
  <w:style w:type="paragraph" w:customStyle="1" w:styleId="BodyTextBold">
    <w:name w:val="Body Text Bold"/>
    <w:basedOn w:val="BodyText"/>
    <w:qFormat/>
    <w:rsid w:val="00EF7F79"/>
    <w:rPr>
      <w:b/>
    </w:rPr>
  </w:style>
  <w:style w:type="character" w:styleId="Hyperlink">
    <w:name w:val="Hyperlink"/>
    <w:basedOn w:val="DefaultParagraphFont"/>
    <w:uiPriority w:val="99"/>
    <w:unhideWhenUsed/>
    <w:rsid w:val="00B041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2913</Characters>
  <Application>Microsoft Office Word</Application>
  <DocSecurity>0</DocSecurity>
  <Lines>88</Lines>
  <Paragraphs>75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MSTDC2003 Identify pre- and post-spotting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2019-09-11T07:08:00Z</dcterms:created>
  <dcterms:modified xsi:type="dcterms:W3CDTF">2019-09-11T07:08:00Z</dcterms:modified>
</cp:coreProperties>
</file>