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183B" w:rsidP="005A18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MSTAT4020 Prepare stencils and screens for textile printing</w:t>
      </w:r>
      <w:r>
        <w:fldChar w:fldCharType="end"/>
      </w:r>
    </w:p>
    <w:p w:rsidR="005A183B" w:rsidP="005A183B">
      <w:pPr>
        <w:pStyle w:val="Version"/>
        <w:sectPr w:rsidSect="00DA2A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2A37" w:rsidP="00DA2A37">
      <w:pPr>
        <w:pStyle w:val="SuperHeading"/>
      </w:pPr>
      <w:r w:rsidRPr="00DA2A37">
        <w:t>MSTAT4020 Prepare stencils and screens for textile printing</w:t>
      </w:r>
    </w:p>
    <w:p w:rsidR="00000000" w:rsidRPr="00DA2A37" w:rsidP="00DA2A37">
      <w:pPr>
        <w:pStyle w:val="Heading1"/>
      </w:pPr>
      <w:bookmarkStart w:id="1" w:name="O_1255593"/>
      <w:bookmarkEnd w:id="1"/>
      <w:r w:rsidRPr="00DA2A37">
        <w:t>Modification History</w:t>
      </w:r>
    </w:p>
    <w:p w:rsidR="00000000" w:rsidRPr="00DA2A37" w:rsidP="005A183B">
      <w:pPr>
        <w:pStyle w:val="BodyText"/>
      </w:pPr>
      <w:r w:rsidRPr="00DA2A37">
        <w:t>Release 1. Unit Code and Application changed. Element 1 removed. Foundation Skills field populated. Range of Conditions removed with relevant information moved to Performance or Knowledge Evidence. Assessment Requirem</w:t>
      </w:r>
      <w:r w:rsidRPr="00DA2A37">
        <w:t>ents clarified with generic foundation skills statements moved to appropriate section and duplication with Performance Criteria removed.  Supersedes and is equivalent to MSTTD4002 Prepare stencils and screens for textile printing.</w:t>
      </w:r>
    </w:p>
    <w:p w:rsidR="00000000" w:rsidRPr="00DA2A37" w:rsidP="00DA2A37">
      <w:pPr>
        <w:pStyle w:val="Heading1"/>
      </w:pPr>
      <w:bookmarkStart w:id="2" w:name="O_1255594"/>
      <w:bookmarkEnd w:id="2"/>
      <w:r w:rsidRPr="00DA2A37">
        <w:t>Applic</w:t>
      </w:r>
      <w:r w:rsidRPr="00DA2A37">
        <w:t>ation</w:t>
      </w:r>
    </w:p>
    <w:p w:rsidR="00000000" w:rsidRPr="00DA2A37" w:rsidP="005A183B">
      <w:pPr>
        <w:pStyle w:val="BodyText"/>
      </w:pPr>
      <w:r w:rsidRPr="00DA2A37">
        <w:t>This unit describes the skills and knowledge required to interpret design specifications and use stencil or silk-screen printing techniques to produce designs and artwork for textile printing on garments, textile products, furnishing fabrics, accesso</w:t>
      </w:r>
      <w:r w:rsidRPr="00DA2A37">
        <w:t xml:space="preserve">ries or public art commissions. Screen printing involves the use of manual techniques, tools and equipment.  </w:t>
      </w:r>
    </w:p>
    <w:p w:rsidR="00000000" w:rsidRPr="00DA2A37" w:rsidP="005A183B">
      <w:pPr>
        <w:pStyle w:val="BodyText"/>
      </w:pPr>
      <w:r w:rsidRPr="00DA2A37">
        <w:t>This unit applies to individuals producing work based on a pre-determined design. They use judgement and problem-solving to select and troubleshoo</w:t>
      </w:r>
      <w:r w:rsidRPr="00DA2A37">
        <w:t>t processes to achieve quality outcomes.</w:t>
      </w:r>
    </w:p>
    <w:p w:rsidR="00000000" w:rsidRPr="00DA2A37" w:rsidP="005A183B">
      <w:pPr>
        <w:pStyle w:val="BodyText"/>
      </w:pPr>
      <w:r w:rsidRPr="00DA2A37">
        <w:t>No licensing or certification requirements exist at the time of publication. Relevant legislation, industry standards and codes of practice within Australia must be applied.</w:t>
      </w:r>
    </w:p>
    <w:p w:rsidR="00000000" w:rsidRPr="00DA2A37" w:rsidP="00DA2A37">
      <w:pPr>
        <w:pStyle w:val="Heading1"/>
      </w:pPr>
      <w:bookmarkStart w:id="3" w:name="O_1255595"/>
      <w:bookmarkEnd w:id="3"/>
      <w:r w:rsidRPr="00DA2A37">
        <w:t>Pre-requisite Unit</w:t>
      </w:r>
    </w:p>
    <w:p w:rsidR="00000000" w:rsidRPr="00DA2A37" w:rsidP="005A183B">
      <w:pPr>
        <w:pStyle w:val="BodyText"/>
      </w:pPr>
      <w:r w:rsidRPr="00DA2A37">
        <w:t>Nil</w:t>
      </w:r>
    </w:p>
    <w:p w:rsidR="00000000" w:rsidRPr="00DA2A37" w:rsidP="00DA2A37">
      <w:pPr>
        <w:pStyle w:val="Heading1"/>
      </w:pPr>
      <w:bookmarkStart w:id="4" w:name="O_1255596"/>
      <w:bookmarkEnd w:id="4"/>
      <w:r w:rsidRPr="00DA2A37">
        <w:t>Competency Field</w:t>
      </w:r>
    </w:p>
    <w:p w:rsidR="00000000" w:rsidRPr="00DA2A37" w:rsidP="005A183B">
      <w:pPr>
        <w:pStyle w:val="BodyText"/>
      </w:pPr>
      <w:r w:rsidRPr="00DA2A37">
        <w:t>Apparel and Textile Production</w:t>
      </w:r>
    </w:p>
    <w:p w:rsidR="00000000" w:rsidRPr="00DA2A37" w:rsidP="00DA2A37">
      <w:pPr>
        <w:pStyle w:val="Heading1"/>
      </w:pPr>
      <w:bookmarkStart w:id="5" w:name="O_1255598"/>
      <w:bookmarkEnd w:id="5"/>
      <w:r w:rsidRPr="00DA2A3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A18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37" w:rsidP="00DA2A37">
            <w:pPr>
              <w:pStyle w:val="BodyText"/>
            </w:pPr>
            <w:r w:rsidRPr="00DA2A3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37">
            <w:pPr>
              <w:pStyle w:val="BodyText"/>
              <w:rPr>
                <w:lang w:val="en-NZ"/>
              </w:rPr>
            </w:pPr>
            <w:r w:rsidRPr="00DA2A37">
              <w:rPr>
                <w:rStyle w:val="SpecialBold"/>
              </w:rPr>
              <w:t>Performance Criteria</w:t>
            </w:r>
          </w:p>
        </w:tc>
      </w:tr>
      <w:tr w:rsidTr="005A18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37">
            <w:pPr>
              <w:pStyle w:val="BodyText"/>
              <w:rPr>
                <w:lang w:val="en-NZ"/>
              </w:rPr>
            </w:pPr>
            <w:r w:rsidRPr="00DA2A37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37">
            <w:pPr>
              <w:pStyle w:val="BodyText"/>
              <w:rPr>
                <w:lang w:val="en-NZ"/>
              </w:rPr>
            </w:pPr>
            <w:r w:rsidRPr="00DA2A37">
              <w:t>Performance criteria describe the performance needed to demonstrate achievement of the element.</w:t>
            </w:r>
          </w:p>
        </w:tc>
      </w:tr>
      <w:tr w:rsidTr="005A18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37">
            <w:pPr>
              <w:pStyle w:val="BodyText"/>
              <w:rPr>
                <w:lang w:val="en-NZ"/>
              </w:rPr>
            </w:pPr>
            <w:r w:rsidRPr="00DA2A37">
              <w:t xml:space="preserve">1. Establish requirements for stencils and screens  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37" w:rsidP="00DA2A37">
            <w:pPr>
              <w:pStyle w:val="BodyText"/>
            </w:pPr>
            <w:r w:rsidRPr="00DA2A37">
              <w:t xml:space="preserve">1.1 Analyse design specifications and confirm stencil requirements with appropriate personnel </w:t>
            </w:r>
          </w:p>
          <w:p w:rsidR="00000000" w:rsidP="00DA2A37">
            <w:pPr>
              <w:pStyle w:val="BodyText"/>
              <w:rPr>
                <w:lang w:val="en-NZ"/>
              </w:rPr>
            </w:pPr>
            <w:r w:rsidRPr="00DA2A37">
              <w:t>1.2 Identi</w:t>
            </w:r>
            <w:r w:rsidRPr="00DA2A37">
              <w:t>fy desired effects of screen printing and select appropriate conversion technique to achieve required design outcome</w:t>
            </w:r>
          </w:p>
        </w:tc>
      </w:tr>
      <w:tr w:rsidTr="005A18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37">
            <w:pPr>
              <w:pStyle w:val="BodyText"/>
              <w:rPr>
                <w:lang w:val="en-NZ"/>
              </w:rPr>
            </w:pPr>
            <w:r w:rsidRPr="00DA2A37">
              <w:t>2. Prepare stencils and screens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37" w:rsidP="00DA2A37">
            <w:pPr>
              <w:pStyle w:val="BodyText"/>
            </w:pPr>
            <w:r w:rsidRPr="00DA2A37">
              <w:t>2.1 Set up workstation, tools and equipment according to specifications for work</w:t>
            </w:r>
          </w:p>
          <w:p w:rsidR="00000000" w:rsidRPr="00DA2A37" w:rsidP="00DA2A37">
            <w:pPr>
              <w:pStyle w:val="BodyText"/>
            </w:pPr>
            <w:r w:rsidRPr="00DA2A37">
              <w:t>2.2 Prepare and label lay</w:t>
            </w:r>
            <w:r w:rsidRPr="00DA2A37">
              <w:t>outs and select media to prepare stencils</w:t>
            </w:r>
          </w:p>
          <w:p w:rsidR="00000000" w:rsidRPr="00DA2A37" w:rsidP="00DA2A37">
            <w:pPr>
              <w:pStyle w:val="BodyText"/>
            </w:pPr>
            <w:r w:rsidRPr="00DA2A37">
              <w:t>2.3 Complete stencils and check against design</w:t>
            </w:r>
          </w:p>
          <w:p w:rsidR="00000000" w:rsidRPr="00DA2A37" w:rsidP="00DA2A37">
            <w:pPr>
              <w:pStyle w:val="BodyText"/>
            </w:pPr>
            <w:r w:rsidRPr="00DA2A37">
              <w:t>2.4 Select screen types and mesh for appropriate substrates</w:t>
            </w:r>
          </w:p>
          <w:p w:rsidR="00000000" w:rsidRPr="00DA2A37" w:rsidP="00DA2A37">
            <w:pPr>
              <w:pStyle w:val="BodyText"/>
            </w:pPr>
            <w:r w:rsidRPr="00DA2A37">
              <w:t>2.5 Prepare screens for stencil process and check against quality standards</w:t>
            </w:r>
          </w:p>
          <w:p w:rsidR="00000000" w:rsidRPr="00DA2A37" w:rsidP="00DA2A37">
            <w:pPr>
              <w:pStyle w:val="BodyText"/>
            </w:pPr>
            <w:r w:rsidRPr="00DA2A37">
              <w:t>2.6 Expose stencil masters acco</w:t>
            </w:r>
            <w:r w:rsidRPr="00DA2A37">
              <w:t xml:space="preserve">rding to industry specifications </w:t>
            </w:r>
          </w:p>
          <w:p w:rsidR="00000000" w:rsidRPr="00DA2A37" w:rsidP="00DA2A37">
            <w:pPr>
              <w:pStyle w:val="BodyText"/>
            </w:pPr>
            <w:r w:rsidRPr="00DA2A37">
              <w:t>2.7 Develop screen images, dry and finish to meet specifications</w:t>
            </w:r>
          </w:p>
          <w:p w:rsidR="00000000" w:rsidP="00DA2A37">
            <w:pPr>
              <w:pStyle w:val="BodyText"/>
              <w:rPr>
                <w:lang w:val="en-NZ"/>
              </w:rPr>
            </w:pPr>
            <w:r w:rsidRPr="00DA2A37">
              <w:t xml:space="preserve">2.8 Apply screen preparation according to workplace procedures </w:t>
            </w:r>
          </w:p>
        </w:tc>
      </w:tr>
      <w:tr w:rsidTr="005A18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37">
            <w:pPr>
              <w:pStyle w:val="BodyText"/>
              <w:rPr>
                <w:lang w:val="en-NZ"/>
              </w:rPr>
            </w:pPr>
            <w:r w:rsidRPr="00DA2A37">
              <w:t>3. Test screens and stencil quality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37" w:rsidP="00DA2A37">
            <w:pPr>
              <w:pStyle w:val="BodyText"/>
            </w:pPr>
            <w:r w:rsidRPr="00DA2A37">
              <w:t>3.1 Print strike</w:t>
            </w:r>
            <w:r w:rsidRPr="00DA2A37">
              <w:t xml:space="preserve"> off and check against design specifications to ensure quality standards are met</w:t>
            </w:r>
          </w:p>
          <w:p w:rsidR="00000000" w:rsidRPr="00DA2A37" w:rsidP="00DA2A37">
            <w:pPr>
              <w:pStyle w:val="BodyText"/>
            </w:pPr>
            <w:r w:rsidRPr="00DA2A37">
              <w:t>3.2 Identify screen and stencil faults and determine causes</w:t>
            </w:r>
          </w:p>
          <w:p w:rsidR="00000000" w:rsidRPr="00DA2A37" w:rsidP="00DA2A37">
            <w:pPr>
              <w:pStyle w:val="BodyText"/>
            </w:pPr>
            <w:r w:rsidRPr="00DA2A37">
              <w:t>3.3 Apply required modifications to screens using appropriate techniques, processes or materials</w:t>
            </w:r>
          </w:p>
          <w:p w:rsidR="00000000" w:rsidRPr="00DA2A37" w:rsidP="00DA2A37">
            <w:pPr>
              <w:pStyle w:val="BodyText"/>
            </w:pPr>
            <w:r w:rsidRPr="00DA2A37">
              <w:t>3.4 Complete scree</w:t>
            </w:r>
            <w:r w:rsidRPr="00DA2A37">
              <w:t>ns and prepare for production processes</w:t>
            </w:r>
          </w:p>
          <w:p w:rsidR="00000000" w:rsidRPr="00DA2A37" w:rsidP="00DA2A37">
            <w:pPr>
              <w:pStyle w:val="BodyText"/>
            </w:pPr>
            <w:r w:rsidRPr="00DA2A37">
              <w:t>3.5 Examine outcomes and check against specifications with appropriate personnel</w:t>
            </w:r>
          </w:p>
        </w:tc>
      </w:tr>
    </w:tbl>
    <w:p w:rsidR="00000000" w:rsidRPr="00DA2A37" w:rsidP="00DA2A37">
      <w:pPr>
        <w:pStyle w:val="BodyText"/>
      </w:pPr>
    </w:p>
    <w:p w:rsidR="00000000" w:rsidRPr="00DA2A37" w:rsidP="00DA2A37">
      <w:pPr>
        <w:pStyle w:val="AllowPageBreak"/>
      </w:pPr>
    </w:p>
    <w:p w:rsidR="00000000" w:rsidRPr="00DA2A37" w:rsidP="00DA2A37">
      <w:pPr>
        <w:pStyle w:val="Heading1"/>
      </w:pPr>
      <w:bookmarkStart w:id="6" w:name="O_1255599"/>
      <w:bookmarkEnd w:id="6"/>
      <w:r w:rsidRPr="00DA2A37">
        <w:t>Foundation Skills</w:t>
      </w:r>
    </w:p>
    <w:p w:rsidR="00000000" w:rsidRPr="00DA2A37" w:rsidP="005A183B">
      <w:pPr>
        <w:pStyle w:val="BodyText"/>
      </w:pPr>
      <w:r w:rsidRPr="00DA2A37">
        <w:t>This section describes those language, literacy, numeracy and employment skills that are essenti</w:t>
      </w:r>
      <w:r w:rsidRPr="00DA2A37">
        <w:t>al to performance but not explicit in the performance criteria.</w:t>
      </w:r>
    </w:p>
    <w:p w:rsidR="00000000" w:rsidRPr="00DA2A37" w:rsidP="00DA2A37">
      <w:pPr>
        <w:pStyle w:val="ListBullet"/>
      </w:pPr>
      <w:r w:rsidRPr="00DA2A37">
        <w:t>Reading skills to interpret design specifications</w:t>
      </w:r>
    </w:p>
    <w:p w:rsidR="00000000" w:rsidRPr="00DA2A37" w:rsidP="00DA2A37">
      <w:pPr>
        <w:pStyle w:val="ListBullet"/>
      </w:pPr>
      <w:r w:rsidRPr="00DA2A37">
        <w:t>Oral communication skills to discussion requirements and production issues with others</w:t>
      </w:r>
    </w:p>
    <w:p w:rsidR="00000000" w:rsidRPr="00DA2A37" w:rsidP="00DA2A37">
      <w:pPr>
        <w:pStyle w:val="ListBullet"/>
      </w:pPr>
      <w:r w:rsidRPr="00DA2A37">
        <w:t>Numeracy skills to work with basic mathematical operat</w:t>
      </w:r>
      <w:r w:rsidRPr="00DA2A37">
        <w:t>ions and measurement concepts.</w:t>
      </w:r>
    </w:p>
    <w:p w:rsidR="00000000" w:rsidRPr="00DA2A37" w:rsidP="005A183B">
      <w:pPr>
        <w:pStyle w:val="BodyText"/>
      </w:pPr>
      <w:r w:rsidRPr="00DA2A37">
        <w:t>Other foundation skills essential to performance are explicit in the performance criteria of this unit.</w:t>
      </w:r>
    </w:p>
    <w:p w:rsidR="00000000" w:rsidRPr="00DA2A37" w:rsidP="00DA2A37">
      <w:pPr>
        <w:pStyle w:val="Heading1"/>
      </w:pPr>
      <w:bookmarkStart w:id="7" w:name="O_1255601"/>
      <w:bookmarkEnd w:id="7"/>
      <w:r w:rsidRPr="00DA2A37">
        <w:t>Unit Mapping Information</w:t>
      </w:r>
    </w:p>
    <w:p w:rsidR="00000000" w:rsidRPr="00DA2A37" w:rsidP="005A183B">
      <w:pPr>
        <w:pStyle w:val="BodyText"/>
      </w:pPr>
      <w:r w:rsidRPr="00DA2A37">
        <w:t>Supersedes and is equivalent to MSTTD4002 Prepare stencils and screens for textile printing.</w:t>
      </w:r>
    </w:p>
    <w:p w:rsidR="00000000" w:rsidRPr="00DA2A37" w:rsidP="00DA2A37">
      <w:pPr>
        <w:pStyle w:val="Heading1"/>
      </w:pPr>
      <w:bookmarkStart w:id="8" w:name="O_1255608"/>
      <w:bookmarkEnd w:id="8"/>
      <w:r w:rsidRPr="00DA2A37">
        <w:t>Links</w:t>
      </w:r>
    </w:p>
    <w:p w:rsidR="00000000" w:rsidRPr="00DA2A37" w:rsidP="005A183B">
      <w:pPr>
        <w:pStyle w:val="BodyText"/>
      </w:pPr>
      <w:r w:rsidRPr="00DA2A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F632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A2A37" w:rsidP="00DA2A37"/>
    <w:sectPr w:rsidSect="00DA2A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A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A37" w:rsidRPr="005A183B" w:rsidP="005A18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A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83B" w:rsidP="00DA2A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183B" w:rsidP="00DA2A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A183B" w:rsidP="00DA2A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A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8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2A37" w:rsidRPr="005A183B" w:rsidP="005A18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A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83B" w:rsidRPr="002D2AF8" w:rsidP="00DA2A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MSTAT4020 Prepare stencils and screens for textile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5A183B" w:rsidP="00DA2A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4AFF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AA51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A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A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A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A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A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A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A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A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A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A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A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A37"/>
  </w:style>
  <w:style w:type="character" w:customStyle="1" w:styleId="Heading1Char">
    <w:name w:val="Heading 1 Char"/>
    <w:basedOn w:val="DefaultParagraphFont"/>
    <w:link w:val="Heading1"/>
    <w:rsid w:val="00DA2A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A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A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2A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2A37"/>
    <w:rPr>
      <w:b/>
      <w:spacing w:val="0"/>
    </w:rPr>
  </w:style>
  <w:style w:type="paragraph" w:customStyle="1" w:styleId="SuperHeading">
    <w:name w:val="SuperHeading"/>
    <w:basedOn w:val="Normal"/>
    <w:rsid w:val="00DA2A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2A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2A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A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A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A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A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A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A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A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A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A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A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A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A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2A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A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2A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A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A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2A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2A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2A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A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A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2A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2A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A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A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A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A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A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A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A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A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2A37"/>
    <w:rPr>
      <w:i/>
    </w:rPr>
  </w:style>
  <w:style w:type="paragraph" w:styleId="Caption">
    <w:name w:val="caption"/>
    <w:basedOn w:val="BodyText"/>
    <w:next w:val="Normal"/>
    <w:qFormat/>
    <w:rsid w:val="00DA2A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A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A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A37"/>
  </w:style>
  <w:style w:type="paragraph" w:styleId="TableofFigures">
    <w:name w:val="table of figures"/>
    <w:basedOn w:val="Normal"/>
    <w:next w:val="Normal"/>
    <w:semiHidden/>
    <w:rsid w:val="00DA2A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A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2A37"/>
    <w:rPr>
      <w:rFonts w:ascii="Wingdings" w:hAnsi="Wingdings"/>
    </w:rPr>
  </w:style>
  <w:style w:type="paragraph" w:customStyle="1" w:styleId="TableHeading">
    <w:name w:val="Table Heading"/>
    <w:basedOn w:val="HeadingBase"/>
    <w:rsid w:val="00DA2A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A37"/>
    <w:rPr>
      <w:color w:val="0033CC"/>
      <w:u w:val="none"/>
    </w:rPr>
  </w:style>
  <w:style w:type="paragraph" w:customStyle="1" w:styleId="BodyTextRight">
    <w:name w:val="Body Text Right"/>
    <w:basedOn w:val="BodyText"/>
    <w:rsid w:val="00DA2A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A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A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A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A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A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A37"/>
    <w:rPr>
      <w:sz w:val="32"/>
    </w:rPr>
  </w:style>
  <w:style w:type="paragraph" w:customStyle="1" w:styleId="HeadingProcedure">
    <w:name w:val="Heading Procedure"/>
    <w:basedOn w:val="HeadingBase"/>
    <w:next w:val="Normal"/>
    <w:rsid w:val="00DA2A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A37"/>
    <w:pPr>
      <w:spacing w:before="60" w:after="60"/>
    </w:pPr>
  </w:style>
  <w:style w:type="paragraph" w:styleId="ListContinue">
    <w:name w:val="List Continue"/>
    <w:basedOn w:val="List"/>
    <w:rsid w:val="00DA2A37"/>
    <w:pPr>
      <w:ind w:firstLine="0"/>
    </w:pPr>
  </w:style>
  <w:style w:type="paragraph" w:customStyle="1" w:styleId="ListNote">
    <w:name w:val="List Note"/>
    <w:basedOn w:val="List"/>
    <w:rsid w:val="00DA2A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A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A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A37"/>
    <w:rPr>
      <w:rFonts w:ascii="Courier New" w:hAnsi="Courier New"/>
    </w:rPr>
  </w:style>
  <w:style w:type="paragraph" w:customStyle="1" w:styleId="NoteBullet">
    <w:name w:val="Note Bullet"/>
    <w:basedOn w:val="Note"/>
    <w:rsid w:val="00DA2A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A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A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A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A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2A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A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A37"/>
    <w:rPr>
      <w:b/>
      <w:smallCaps/>
    </w:rPr>
  </w:style>
  <w:style w:type="paragraph" w:customStyle="1" w:styleId="TableListNumber">
    <w:name w:val="Table List Number"/>
    <w:basedOn w:val="ListNumber"/>
    <w:rsid w:val="00DA2A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A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A37"/>
    <w:pPr>
      <w:numPr>
        <w:numId w:val="8"/>
      </w:numPr>
    </w:pPr>
  </w:style>
  <w:style w:type="paragraph" w:customStyle="1" w:styleId="ListAlpha2">
    <w:name w:val="List Alpha 2"/>
    <w:basedOn w:val="List2"/>
    <w:rsid w:val="00DA2A37"/>
    <w:pPr>
      <w:numPr>
        <w:numId w:val="7"/>
      </w:numPr>
    </w:pPr>
  </w:style>
  <w:style w:type="paragraph" w:styleId="List2">
    <w:name w:val="List 2"/>
    <w:basedOn w:val="BodyText"/>
    <w:rsid w:val="00DA2A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2A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A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A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2A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2A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2A37"/>
    <w:pPr>
      <w:numPr>
        <w:numId w:val="3"/>
      </w:numPr>
    </w:pPr>
  </w:style>
  <w:style w:type="paragraph" w:styleId="ListContinue2">
    <w:name w:val="List Continue 2"/>
    <w:basedOn w:val="List2"/>
    <w:rsid w:val="00DA2A37"/>
    <w:pPr>
      <w:ind w:firstLine="0"/>
    </w:pPr>
  </w:style>
  <w:style w:type="paragraph" w:styleId="ListContinue3">
    <w:name w:val="List Continue 3"/>
    <w:basedOn w:val="List3"/>
    <w:rsid w:val="00DA2A37"/>
    <w:pPr>
      <w:ind w:left="1021" w:firstLine="0"/>
    </w:pPr>
  </w:style>
  <w:style w:type="paragraph" w:styleId="ListContinue4">
    <w:name w:val="List Continue 4"/>
    <w:basedOn w:val="List4"/>
    <w:rsid w:val="00DA2A37"/>
    <w:pPr>
      <w:ind w:firstLine="0"/>
    </w:pPr>
  </w:style>
  <w:style w:type="paragraph" w:styleId="ListContinue5">
    <w:name w:val="List Continue 5"/>
    <w:basedOn w:val="List5"/>
    <w:rsid w:val="00DA2A37"/>
    <w:pPr>
      <w:ind w:firstLine="0"/>
    </w:pPr>
  </w:style>
  <w:style w:type="paragraph" w:styleId="ListNumber3">
    <w:name w:val="List Number 3"/>
    <w:basedOn w:val="List3"/>
    <w:rsid w:val="00DA2A37"/>
    <w:pPr>
      <w:numPr>
        <w:numId w:val="4"/>
      </w:numPr>
    </w:pPr>
  </w:style>
  <w:style w:type="paragraph" w:styleId="ListNumber4">
    <w:name w:val="List Number 4"/>
    <w:basedOn w:val="List4"/>
    <w:rsid w:val="00DA2A37"/>
    <w:pPr>
      <w:numPr>
        <w:numId w:val="5"/>
      </w:numPr>
    </w:pPr>
  </w:style>
  <w:style w:type="paragraph" w:styleId="ListNumber5">
    <w:name w:val="List Number 5"/>
    <w:basedOn w:val="List5"/>
    <w:rsid w:val="00DA2A37"/>
    <w:pPr>
      <w:numPr>
        <w:numId w:val="6"/>
      </w:numPr>
    </w:pPr>
  </w:style>
  <w:style w:type="paragraph" w:styleId="BlockText">
    <w:name w:val="Block Text"/>
    <w:basedOn w:val="Normal"/>
    <w:rsid w:val="00DA2A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A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A37"/>
    <w:rPr>
      <w:sz w:val="16"/>
      <w:vertAlign w:val="superscript"/>
    </w:rPr>
  </w:style>
  <w:style w:type="character" w:customStyle="1" w:styleId="Symbols">
    <w:name w:val="Symbols"/>
    <w:basedOn w:val="DefaultParagraphFont"/>
    <w:rsid w:val="00DA2A37"/>
    <w:rPr>
      <w:rFonts w:ascii="Symbol" w:hAnsi="Symbol"/>
    </w:rPr>
  </w:style>
  <w:style w:type="character" w:customStyle="1" w:styleId="MenuOptions">
    <w:name w:val="Menu Options"/>
    <w:basedOn w:val="DefaultParagraphFont"/>
    <w:rsid w:val="00DA2A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A37"/>
    <w:rPr>
      <w:b/>
    </w:rPr>
  </w:style>
  <w:style w:type="character" w:customStyle="1" w:styleId="Underlined">
    <w:name w:val="Underlined"/>
    <w:basedOn w:val="DefaultParagraphFont"/>
    <w:rsid w:val="00DA2A37"/>
    <w:rPr>
      <w:u w:val="single"/>
    </w:rPr>
  </w:style>
  <w:style w:type="paragraph" w:customStyle="1" w:styleId="TableBodyTextRight">
    <w:name w:val="Table Body Text Right"/>
    <w:basedOn w:val="TableBodyText"/>
    <w:rsid w:val="00DA2A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A37"/>
    <w:rPr>
      <w:sz w:val="18"/>
    </w:rPr>
  </w:style>
  <w:style w:type="paragraph" w:customStyle="1" w:styleId="BodySmallRight">
    <w:name w:val="Body Small Right"/>
    <w:basedOn w:val="BodyTextRight"/>
    <w:rsid w:val="00DA2A37"/>
    <w:rPr>
      <w:sz w:val="18"/>
      <w:szCs w:val="18"/>
    </w:rPr>
  </w:style>
  <w:style w:type="paragraph" w:customStyle="1" w:styleId="MarginEdition">
    <w:name w:val="Margin Edition"/>
    <w:basedOn w:val="MarginNote"/>
    <w:rsid w:val="00DA2A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A37"/>
    <w:rPr>
      <w:sz w:val="2"/>
      <w:szCs w:val="2"/>
    </w:rPr>
  </w:style>
  <w:style w:type="character" w:customStyle="1" w:styleId="Small">
    <w:name w:val="Small"/>
    <w:basedOn w:val="DefaultParagraphFont"/>
    <w:rsid w:val="00DA2A37"/>
    <w:rPr>
      <w:sz w:val="16"/>
    </w:rPr>
  </w:style>
  <w:style w:type="paragraph" w:customStyle="1" w:styleId="WideTable">
    <w:name w:val="Wide Table"/>
    <w:basedOn w:val="Normal"/>
    <w:rsid w:val="00DA2A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A37"/>
  </w:style>
  <w:style w:type="paragraph" w:styleId="Quote">
    <w:name w:val="Quote"/>
    <w:basedOn w:val="Heading1"/>
    <w:link w:val="QuoteChar"/>
    <w:qFormat/>
    <w:rsid w:val="00DA2A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A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A37"/>
    <w:pPr>
      <w:pageBreakBefore/>
    </w:pPr>
  </w:style>
  <w:style w:type="paragraph" w:customStyle="1" w:styleId="Border">
    <w:name w:val="Border"/>
    <w:basedOn w:val="Normal"/>
    <w:qFormat/>
    <w:rsid w:val="00DA2A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A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A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A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A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A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A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A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A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A37"/>
    <w:rPr>
      <w:u w:val="single"/>
    </w:rPr>
  </w:style>
  <w:style w:type="character" w:customStyle="1" w:styleId="BoldandItalics">
    <w:name w:val="Bold and Italics"/>
    <w:qFormat/>
    <w:rsid w:val="00DA2A37"/>
    <w:rPr>
      <w:b/>
      <w:i/>
      <w:u w:val="none"/>
    </w:rPr>
  </w:style>
  <w:style w:type="paragraph" w:styleId="BalloonText">
    <w:name w:val="Balloon Text"/>
    <w:basedOn w:val="Normal"/>
    <w:link w:val="BalloonTextChar"/>
    <w:rsid w:val="00DA2A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A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A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A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A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A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2A37"/>
    <w:pPr>
      <w:spacing w:before="0" w:after="0"/>
    </w:pPr>
  </w:style>
  <w:style w:type="paragraph" w:customStyle="1" w:styleId="BodyTextBold">
    <w:name w:val="Body Text Bold"/>
    <w:basedOn w:val="BodyText"/>
    <w:qFormat/>
    <w:rsid w:val="00DA2A37"/>
    <w:rPr>
      <w:b/>
    </w:rPr>
  </w:style>
  <w:style w:type="character" w:styleId="Hyperlink">
    <w:name w:val="Hyperlink"/>
    <w:basedOn w:val="DefaultParagraphFont"/>
    <w:uiPriority w:val="99"/>
    <w:unhideWhenUsed/>
    <w:rsid w:val="005A18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3315</Characters>
  <Application>Microsoft Office Word</Application>
  <DocSecurity>0</DocSecurity>
  <Lines>87</Lines>
  <Paragraphs>55</Paragraphs>
  <ScaleCrop>false</ScaleCrop>
  <Company>Author-it Software Corporation Ltd.</Company>
  <LinksUpToDate>false</LinksUpToDate>
  <CharactersWithSpaces>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MSTAT4020 Prepare stencils and screens for textile printing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2022-12-22T00:28:00Z</dcterms:created>
  <dcterms:modified xsi:type="dcterms:W3CDTF">2022-12-22T00:28:00Z</dcterms:modified>
</cp:coreProperties>
</file>