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64A" w:rsidP="00996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MSTAT4020 Prepare stencils and screens for textile printing</w:t>
      </w:r>
      <w:r>
        <w:fldChar w:fldCharType="end"/>
      </w:r>
    </w:p>
    <w:p w:rsidR="0099664A" w:rsidP="0099664A">
      <w:pPr>
        <w:pStyle w:val="Version"/>
        <w:sectPr w:rsidSect="00DC0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947" w:rsidP="00DC0947">
      <w:pPr>
        <w:pStyle w:val="SuperHeading"/>
      </w:pPr>
      <w:r w:rsidRPr="00DC0947">
        <w:t>Assessment Requirements for MSTAT4020 Prepare stencils and screens for textile printing</w:t>
      </w:r>
    </w:p>
    <w:p w:rsidR="00000000" w:rsidRPr="00DC0947" w:rsidP="00DC0947">
      <w:pPr>
        <w:pStyle w:val="Heading1"/>
      </w:pPr>
      <w:bookmarkStart w:id="1" w:name="O_1255603"/>
      <w:bookmarkEnd w:id="1"/>
      <w:r w:rsidRPr="00DC0947">
        <w:t>Modification History</w:t>
      </w:r>
    </w:p>
    <w:p w:rsidR="00000000" w:rsidRPr="00DC0947" w:rsidP="0099664A">
      <w:pPr>
        <w:pStyle w:val="BodyText"/>
      </w:pPr>
      <w:r w:rsidRPr="00DC0947">
        <w:t xml:space="preserve">Release 1. Unit Code and Application changed. Element 1 removed. Foundation Skills field populated. Range of Conditions removed with relevant information moved to Performance or Knowledge Evidence. Assessment Requirements clarified with generic foundation </w:t>
      </w:r>
      <w:r w:rsidRPr="00DC0947">
        <w:t>skills statements moved to appropriate section and duplication with Performance Criteria removed.  Supersedes and is equivalent to MSTTD4002 Prepare stencils and screens for textile printing.</w:t>
      </w:r>
    </w:p>
    <w:p w:rsidR="00000000" w:rsidRPr="00DC0947" w:rsidP="00DC0947">
      <w:pPr>
        <w:pStyle w:val="Heading1"/>
      </w:pPr>
      <w:bookmarkStart w:id="2" w:name="O_1255604"/>
      <w:bookmarkEnd w:id="2"/>
      <w:r w:rsidRPr="00DC0947">
        <w:t>Performance Evidence</w:t>
      </w:r>
    </w:p>
    <w:p w:rsidR="00000000" w:rsidRPr="00DC0947" w:rsidP="0099664A">
      <w:pPr>
        <w:pStyle w:val="BodyText"/>
      </w:pPr>
      <w:r w:rsidRPr="00DC0947">
        <w:t>There must be evidence t</w:t>
      </w:r>
      <w:r w:rsidRPr="00DC0947">
        <w:t>he candidate has completed the tasks outlined in the elements and performance criteria of this unit, and demonstrated the ability to:</w:t>
      </w:r>
    </w:p>
    <w:p w:rsidR="00000000" w:rsidRPr="00DC0947" w:rsidP="00DC0947">
      <w:pPr>
        <w:pStyle w:val="ListBullet"/>
      </w:pPr>
      <w:r w:rsidRPr="00DC0947">
        <w:t>prepare at least two stencils and screens for use with textile printing, with work to include:</w:t>
      </w:r>
    </w:p>
    <w:p w:rsidR="00000000" w:rsidRPr="00DC0947" w:rsidP="00DC0947">
      <w:pPr>
        <w:pStyle w:val="ListBullet2"/>
      </w:pPr>
      <w:r w:rsidRPr="00DC0947">
        <w:t>use of at least one of th</w:t>
      </w:r>
      <w:r w:rsidRPr="00DC0947">
        <w:t>e following conversion techniques:</w:t>
      </w:r>
    </w:p>
    <w:p w:rsidR="00000000" w:rsidRPr="00DC0947" w:rsidP="00DC0947">
      <w:pPr>
        <w:pStyle w:val="ListBullet3"/>
      </w:pPr>
      <w:r w:rsidRPr="00DC0947">
        <w:t>basic stencils</w:t>
      </w:r>
    </w:p>
    <w:p w:rsidR="00000000" w:rsidRPr="00DC0947" w:rsidP="00DC0947">
      <w:pPr>
        <w:pStyle w:val="ListBullet3"/>
      </w:pPr>
      <w:r w:rsidRPr="00DC0947">
        <w:t>hand cut and hand drawn stencils</w:t>
      </w:r>
    </w:p>
    <w:p w:rsidR="00000000" w:rsidRPr="00DC0947" w:rsidP="00DC0947">
      <w:pPr>
        <w:pStyle w:val="ListBullet3"/>
      </w:pPr>
      <w:r w:rsidRPr="00DC0947">
        <w:t>photosensitive stencils</w:t>
      </w:r>
    </w:p>
    <w:p w:rsidR="00000000" w:rsidRPr="00DC0947" w:rsidP="00DC0947">
      <w:pPr>
        <w:pStyle w:val="ListBullet3"/>
      </w:pPr>
      <w:r w:rsidRPr="00DC0947">
        <w:t>autographic</w:t>
      </w:r>
    </w:p>
    <w:p w:rsidR="00000000" w:rsidRPr="00DC0947" w:rsidP="00DC0947">
      <w:pPr>
        <w:pStyle w:val="ListBullet3"/>
      </w:pPr>
      <w:r w:rsidRPr="00DC0947">
        <w:t>digitally generated stencils</w:t>
      </w:r>
    </w:p>
    <w:p w:rsidR="00000000" w:rsidRPr="00DC0947" w:rsidP="00DC0947">
      <w:pPr>
        <w:pStyle w:val="ListBullet3"/>
      </w:pPr>
      <w:r w:rsidRPr="00DC0947">
        <w:t>multi-coloured separations.</w:t>
      </w:r>
    </w:p>
    <w:p w:rsidR="00000000" w:rsidRPr="00DC0947" w:rsidP="00DC0947">
      <w:pPr>
        <w:pStyle w:val="AllowPageBreak"/>
      </w:pPr>
    </w:p>
    <w:p w:rsidR="00000000" w:rsidRPr="00DC0947" w:rsidP="00DC0947">
      <w:pPr>
        <w:pStyle w:val="Heading1"/>
      </w:pPr>
      <w:bookmarkStart w:id="3" w:name="O_1255605"/>
      <w:bookmarkEnd w:id="3"/>
      <w:r w:rsidRPr="00DC0947">
        <w:t>Knowledge Evidence</w:t>
      </w:r>
    </w:p>
    <w:p w:rsidR="00000000" w:rsidRPr="00DC0947" w:rsidP="0099664A">
      <w:pPr>
        <w:pStyle w:val="BodyText"/>
      </w:pPr>
      <w:r w:rsidRPr="00DC0947">
        <w:t>There must be evidence the candidate has knowledge of:</w:t>
      </w:r>
    </w:p>
    <w:p w:rsidR="00000000" w:rsidRPr="00DC0947" w:rsidP="00DC0947">
      <w:pPr>
        <w:pStyle w:val="ListBullet"/>
      </w:pPr>
      <w:r w:rsidRPr="00DC0947">
        <w:t xml:space="preserve">safe work practices and procedures and use of personal protective equipment </w:t>
      </w:r>
    </w:p>
    <w:p w:rsidR="00000000" w:rsidRPr="00DC0947" w:rsidP="00DC0947">
      <w:pPr>
        <w:pStyle w:val="ListBullet"/>
      </w:pPr>
      <w:r w:rsidRPr="00DC0947">
        <w:t>characteristics of stencil and screen types, including:</w:t>
      </w:r>
    </w:p>
    <w:p w:rsidR="00000000" w:rsidRPr="00DC0947" w:rsidP="00DC0947">
      <w:pPr>
        <w:pStyle w:val="ListBullet2"/>
      </w:pPr>
      <w:r w:rsidRPr="00DC0947">
        <w:t>timber, steel and aluminium framed</w:t>
      </w:r>
    </w:p>
    <w:p w:rsidR="00000000" w:rsidRPr="00DC0947" w:rsidP="00DC0947">
      <w:pPr>
        <w:pStyle w:val="ListBullet2"/>
      </w:pPr>
      <w:r w:rsidRPr="00DC0947">
        <w:t>butt, mitre, nailed, glued, screwed and welded</w:t>
      </w:r>
    </w:p>
    <w:p w:rsidR="00000000" w:rsidRPr="00DC0947" w:rsidP="00DC0947">
      <w:pPr>
        <w:pStyle w:val="ListBullet2"/>
      </w:pPr>
      <w:r w:rsidRPr="00DC0947">
        <w:t>rectangle, rotary, hat and flat bed</w:t>
      </w:r>
    </w:p>
    <w:p w:rsidR="00000000" w:rsidRPr="00DC0947" w:rsidP="00DC0947">
      <w:pPr>
        <w:pStyle w:val="ListBullet"/>
      </w:pPr>
      <w:r w:rsidRPr="00DC0947">
        <w:t>specific design and printing practices</w:t>
      </w:r>
    </w:p>
    <w:p w:rsidR="00000000" w:rsidRPr="00DC0947" w:rsidP="00DC0947">
      <w:pPr>
        <w:pStyle w:val="ListBullet"/>
      </w:pPr>
      <w:r w:rsidRPr="00DC0947">
        <w:t>design types, including:</w:t>
      </w:r>
    </w:p>
    <w:p w:rsidR="00000000" w:rsidRPr="00DC0947" w:rsidP="00DC0947">
      <w:pPr>
        <w:pStyle w:val="ListBullet2"/>
      </w:pPr>
      <w:r w:rsidRPr="00DC0947">
        <w:t>banners</w:t>
      </w:r>
    </w:p>
    <w:p w:rsidR="00000000" w:rsidRPr="00DC0947" w:rsidP="00DC0947">
      <w:pPr>
        <w:pStyle w:val="ListBullet2"/>
      </w:pPr>
      <w:r w:rsidRPr="00DC0947">
        <w:t>border designs</w:t>
      </w:r>
    </w:p>
    <w:p w:rsidR="00000000" w:rsidRPr="00DC0947" w:rsidP="00DC0947">
      <w:pPr>
        <w:pStyle w:val="ListBullet2"/>
      </w:pPr>
      <w:r w:rsidRPr="00DC0947">
        <w:t>engineered designs</w:t>
      </w:r>
    </w:p>
    <w:p w:rsidR="00000000" w:rsidRPr="00DC0947" w:rsidP="00DC0947">
      <w:pPr>
        <w:pStyle w:val="ListBullet2"/>
      </w:pPr>
      <w:r w:rsidRPr="00DC0947">
        <w:t>placement prints</w:t>
      </w:r>
    </w:p>
    <w:p w:rsidR="00000000" w:rsidRPr="00DC0947" w:rsidP="00DC0947">
      <w:pPr>
        <w:pStyle w:val="ListBullet2"/>
      </w:pPr>
      <w:r w:rsidRPr="00DC0947">
        <w:t>repeat patterns</w:t>
      </w:r>
    </w:p>
    <w:p w:rsidR="00000000" w:rsidRPr="00DC0947" w:rsidP="00DC0947">
      <w:pPr>
        <w:pStyle w:val="ListBullet"/>
      </w:pPr>
      <w:r w:rsidRPr="00DC0947">
        <w:t>printing processes and practice</w:t>
      </w:r>
      <w:r w:rsidRPr="00DC0947">
        <w:t>s</w:t>
      </w:r>
    </w:p>
    <w:p w:rsidR="00000000" w:rsidRPr="00DC0947" w:rsidP="00DC0947">
      <w:pPr>
        <w:pStyle w:val="ListBullet"/>
      </w:pPr>
      <w:r w:rsidRPr="00DC0947">
        <w:t>different types of screens and meshes, including:</w:t>
      </w:r>
    </w:p>
    <w:p w:rsidR="00000000" w:rsidRPr="00DC0947" w:rsidP="00DC0947">
      <w:pPr>
        <w:pStyle w:val="ListBullet2"/>
      </w:pPr>
      <w:r w:rsidRPr="00DC0947">
        <w:t>mesh types:</w:t>
      </w:r>
    </w:p>
    <w:p w:rsidR="00000000" w:rsidRPr="00DC0947" w:rsidP="00DC0947">
      <w:pPr>
        <w:pStyle w:val="ListBullet3"/>
      </w:pPr>
      <w:r w:rsidRPr="00DC0947">
        <w:t xml:space="preserve">material  </w:t>
      </w:r>
    </w:p>
    <w:p w:rsidR="00000000" w:rsidRPr="00DC0947" w:rsidP="00DC0947">
      <w:pPr>
        <w:pStyle w:val="ListBullet3"/>
      </w:pPr>
      <w:r w:rsidRPr="00DC0947">
        <w:t>nylon</w:t>
      </w:r>
    </w:p>
    <w:p w:rsidR="00000000" w:rsidRPr="00DC0947" w:rsidP="00DC0947">
      <w:pPr>
        <w:pStyle w:val="ListBullet3"/>
      </w:pPr>
      <w:r w:rsidRPr="00DC0947">
        <w:t>polyester</w:t>
      </w:r>
    </w:p>
    <w:p w:rsidR="00000000" w:rsidRPr="00DC0947" w:rsidP="00DC0947">
      <w:pPr>
        <w:pStyle w:val="ListBullet3"/>
      </w:pPr>
      <w:r w:rsidRPr="00DC0947">
        <w:t>metal</w:t>
      </w:r>
    </w:p>
    <w:p w:rsidR="00000000" w:rsidRPr="00DC0947" w:rsidP="00DC0947">
      <w:pPr>
        <w:pStyle w:val="ListBullet2"/>
      </w:pPr>
      <w:r w:rsidRPr="00DC0947">
        <w:t>colour:</w:t>
      </w:r>
    </w:p>
    <w:p w:rsidR="00000000" w:rsidRPr="00DC0947" w:rsidP="00DC0947">
      <w:pPr>
        <w:pStyle w:val="ListBullet3"/>
      </w:pPr>
      <w:r w:rsidRPr="00DC0947">
        <w:t>white</w:t>
      </w:r>
    </w:p>
    <w:p w:rsidR="00000000" w:rsidRPr="00DC0947" w:rsidP="00DC0947">
      <w:pPr>
        <w:pStyle w:val="ListBullet3"/>
      </w:pPr>
      <w:r w:rsidRPr="00DC0947">
        <w:t>yellow</w:t>
      </w:r>
    </w:p>
    <w:p w:rsidR="00000000" w:rsidRPr="00DC0947" w:rsidP="00DC0947">
      <w:pPr>
        <w:pStyle w:val="ListBullet3"/>
      </w:pPr>
      <w:r w:rsidRPr="00DC0947">
        <w:t>red</w:t>
      </w:r>
    </w:p>
    <w:p w:rsidR="00000000" w:rsidRPr="00DC0947" w:rsidP="00DC0947">
      <w:pPr>
        <w:pStyle w:val="ListBullet2"/>
      </w:pPr>
      <w:r w:rsidRPr="00DC0947">
        <w:t>size</w:t>
      </w:r>
    </w:p>
    <w:p w:rsidR="00000000" w:rsidRPr="00DC0947" w:rsidP="00DC0947">
      <w:pPr>
        <w:pStyle w:val="ListBullet2"/>
      </w:pPr>
      <w:r w:rsidRPr="00DC0947">
        <w:t>mono or multi-filament</w:t>
      </w:r>
    </w:p>
    <w:p w:rsidR="00000000" w:rsidRPr="00DC0947" w:rsidP="00DC0947">
      <w:pPr>
        <w:pStyle w:val="ListBullet"/>
      </w:pPr>
      <w:r w:rsidRPr="00DC0947">
        <w:t>screen preparation, including:</w:t>
      </w:r>
    </w:p>
    <w:p w:rsidR="00000000" w:rsidRPr="00DC0947" w:rsidP="00DC0947">
      <w:pPr>
        <w:pStyle w:val="ListBullet2"/>
      </w:pPr>
      <w:r w:rsidRPr="00DC0947">
        <w:t>checking for mesh tension</w:t>
      </w:r>
    </w:p>
    <w:p w:rsidR="00000000" w:rsidRPr="00DC0947" w:rsidP="00DC0947">
      <w:pPr>
        <w:pStyle w:val="ListBullet2"/>
      </w:pPr>
      <w:r w:rsidRPr="00DC0947">
        <w:t>degreasing</w:t>
      </w:r>
    </w:p>
    <w:p w:rsidR="00000000" w:rsidRPr="00DC0947" w:rsidP="00DC0947">
      <w:pPr>
        <w:pStyle w:val="ListBullet2"/>
      </w:pPr>
      <w:r w:rsidRPr="00DC0947">
        <w:t>haze removing</w:t>
      </w:r>
    </w:p>
    <w:p w:rsidR="00000000" w:rsidRPr="00DC0947" w:rsidP="00DC0947">
      <w:pPr>
        <w:pStyle w:val="ListBullet2"/>
      </w:pPr>
      <w:r w:rsidRPr="00DC0947">
        <w:t>registration marks applied</w:t>
      </w:r>
    </w:p>
    <w:p w:rsidR="00000000" w:rsidRPr="00DC0947" w:rsidP="00DC0947">
      <w:pPr>
        <w:pStyle w:val="ListBullet2"/>
      </w:pPr>
      <w:r w:rsidRPr="00DC0947">
        <w:t>coating</w:t>
      </w:r>
    </w:p>
    <w:p w:rsidR="00000000" w:rsidRPr="00DC0947" w:rsidP="00DC0947">
      <w:pPr>
        <w:pStyle w:val="ListBullet2"/>
      </w:pPr>
      <w:r w:rsidRPr="00DC0947">
        <w:t xml:space="preserve">different types of medium </w:t>
      </w:r>
    </w:p>
    <w:p w:rsidR="00000000" w:rsidRPr="00DC0947" w:rsidP="00DC0947">
      <w:pPr>
        <w:pStyle w:val="ListBullet2"/>
      </w:pPr>
      <w:r w:rsidRPr="00DC0947">
        <w:t>ruby lithe</w:t>
      </w:r>
    </w:p>
    <w:p w:rsidR="00000000" w:rsidRPr="00DC0947" w:rsidP="00DC0947">
      <w:pPr>
        <w:pStyle w:val="ListBullet2"/>
      </w:pPr>
      <w:r w:rsidRPr="00DC0947">
        <w:t>designers opaque</w:t>
      </w:r>
    </w:p>
    <w:p w:rsidR="00000000" w:rsidRPr="00DC0947" w:rsidP="00DC0947">
      <w:pPr>
        <w:pStyle w:val="ListBullet2"/>
      </w:pPr>
      <w:r w:rsidRPr="00DC0947">
        <w:t>ink</w:t>
      </w:r>
    </w:p>
    <w:p w:rsidR="00000000" w:rsidRPr="00DC0947" w:rsidP="00DC0947">
      <w:pPr>
        <w:pStyle w:val="ListBullet2"/>
      </w:pPr>
      <w:r w:rsidRPr="00DC0947">
        <w:t>black wax crayon</w:t>
      </w:r>
    </w:p>
    <w:p w:rsidR="00000000" w:rsidRPr="00DC0947" w:rsidP="00DC0947">
      <w:pPr>
        <w:pStyle w:val="ListBullet2"/>
      </w:pPr>
      <w:r w:rsidRPr="00DC0947">
        <w:t>digital prints</w:t>
      </w:r>
    </w:p>
    <w:p w:rsidR="00000000" w:rsidRPr="00DC0947" w:rsidP="00DC0947">
      <w:pPr>
        <w:pStyle w:val="ListBullet2"/>
      </w:pPr>
      <w:r w:rsidRPr="00DC0947">
        <w:t>drafting film</w:t>
      </w:r>
    </w:p>
    <w:p w:rsidR="00000000" w:rsidRPr="00DC0947" w:rsidP="00DC0947">
      <w:pPr>
        <w:pStyle w:val="ListBullet2"/>
      </w:pPr>
      <w:r w:rsidRPr="00DC0947">
        <w:t>pen</w:t>
      </w:r>
    </w:p>
    <w:p w:rsidR="00000000" w:rsidRPr="00DC0947" w:rsidP="00DC0947">
      <w:pPr>
        <w:pStyle w:val="ListBullet"/>
      </w:pPr>
      <w:r w:rsidRPr="00DC0947">
        <w:t>conversion techniques</w:t>
      </w:r>
    </w:p>
    <w:p w:rsidR="00000000" w:rsidRPr="00DC0947" w:rsidP="00DC0947">
      <w:pPr>
        <w:pStyle w:val="ListBullet"/>
      </w:pPr>
      <w:r w:rsidRPr="00DC0947">
        <w:t xml:space="preserve">stencil and printing techniques </w:t>
      </w:r>
    </w:p>
    <w:p w:rsidR="00000000" w:rsidRPr="00DC0947" w:rsidP="00DC0947">
      <w:pPr>
        <w:pStyle w:val="ListBullet"/>
      </w:pPr>
      <w:r w:rsidRPr="00DC0947">
        <w:t>fault-finding procedures, typical fault conditions and how to rectify, including:</w:t>
      </w:r>
    </w:p>
    <w:p w:rsidR="00000000" w:rsidRPr="00DC0947" w:rsidP="00DC0947">
      <w:pPr>
        <w:pStyle w:val="ListBullet2"/>
      </w:pPr>
      <w:r w:rsidRPr="00DC0947">
        <w:t>inaccurate repeat measurements</w:t>
      </w:r>
    </w:p>
    <w:p w:rsidR="00000000" w:rsidRPr="00DC0947" w:rsidP="00DC0947">
      <w:pPr>
        <w:pStyle w:val="ListBullet2"/>
      </w:pPr>
      <w:r w:rsidRPr="00DC0947">
        <w:t xml:space="preserve">incorrect exposure time used  </w:t>
      </w:r>
    </w:p>
    <w:p w:rsidR="00000000" w:rsidRPr="00DC0947" w:rsidP="00DC0947">
      <w:pPr>
        <w:pStyle w:val="ListBullet2"/>
      </w:pPr>
      <w:r w:rsidRPr="00DC0947">
        <w:t>incorrectly stretched screen mesh</w:t>
      </w:r>
    </w:p>
    <w:p w:rsidR="00000000" w:rsidRPr="00DC0947" w:rsidP="00DC0947">
      <w:pPr>
        <w:pStyle w:val="ListBullet2"/>
      </w:pPr>
      <w:r w:rsidRPr="00DC0947">
        <w:t>insufficient print paste used</w:t>
      </w:r>
    </w:p>
    <w:p w:rsidR="00000000" w:rsidRPr="00DC0947" w:rsidP="00DC0947">
      <w:pPr>
        <w:pStyle w:val="ListBullet2"/>
      </w:pPr>
      <w:r w:rsidRPr="00DC0947">
        <w:t xml:space="preserve">off printing </w:t>
      </w:r>
    </w:p>
    <w:p w:rsidR="00000000" w:rsidRPr="00DC0947" w:rsidP="00DC0947">
      <w:pPr>
        <w:pStyle w:val="ListBullet2"/>
      </w:pPr>
      <w:r w:rsidRPr="00DC0947">
        <w:t>poor quality colour separations</w:t>
      </w:r>
    </w:p>
    <w:p w:rsidR="00000000" w:rsidRPr="00DC0947" w:rsidP="00DC0947">
      <w:pPr>
        <w:pStyle w:val="ListBullet2"/>
      </w:pPr>
      <w:r w:rsidRPr="00DC0947">
        <w:t>p</w:t>
      </w:r>
      <w:r w:rsidRPr="00DC0947">
        <w:t>oorly developed image</w:t>
      </w:r>
    </w:p>
    <w:p w:rsidR="00000000" w:rsidRPr="00DC0947" w:rsidP="00DC0947">
      <w:pPr>
        <w:pStyle w:val="ListBullet2"/>
      </w:pPr>
      <w:r w:rsidRPr="00DC0947">
        <w:t>poorly registered artwork/separations</w:t>
      </w:r>
    </w:p>
    <w:p w:rsidR="00000000" w:rsidRPr="00DC0947" w:rsidP="00DC0947">
      <w:pPr>
        <w:pStyle w:val="ListBullet2"/>
      </w:pPr>
      <w:r w:rsidRPr="00DC0947">
        <w:t>stencil opacity insufficient</w:t>
      </w:r>
    </w:p>
    <w:p w:rsidR="00000000" w:rsidRPr="00DC0947" w:rsidP="00DC0947">
      <w:pPr>
        <w:pStyle w:val="ListBullet2"/>
      </w:pPr>
      <w:r w:rsidRPr="00DC0947">
        <w:t xml:space="preserve">uneven screen coating </w:t>
      </w:r>
    </w:p>
    <w:p w:rsidR="00000000" w:rsidRPr="00DC0947" w:rsidP="00DC0947">
      <w:pPr>
        <w:pStyle w:val="ListBullet2"/>
      </w:pPr>
      <w:r w:rsidRPr="00DC0947">
        <w:t>warped screen frames</w:t>
      </w:r>
    </w:p>
    <w:p w:rsidR="00000000" w:rsidRPr="00DC0947" w:rsidP="00DC0947">
      <w:pPr>
        <w:pStyle w:val="ListBullet2"/>
      </w:pPr>
      <w:r w:rsidRPr="00DC0947">
        <w:t>wet coating trough causing pinholes</w:t>
      </w:r>
    </w:p>
    <w:p w:rsidR="0099664A" w:rsidP="00DC0947">
      <w:pPr>
        <w:pStyle w:val="ListBullet"/>
      </w:pPr>
      <w:r w:rsidRPr="00DC0947">
        <w:t>recording and reporting practices stencil and screen-printing operations.</w:t>
      </w:r>
    </w:p>
    <w:p w:rsidR="0099664A" w:rsidP="00DC0947">
      <w:pPr>
        <w:pStyle w:val="ListBullet"/>
      </w:pPr>
    </w:p>
    <w:p w:rsidR="00000000" w:rsidRPr="00DC0947" w:rsidP="00DC0947">
      <w:pPr>
        <w:pStyle w:val="Heading1"/>
      </w:pPr>
      <w:bookmarkStart w:id="4" w:name="O_1255606"/>
      <w:bookmarkEnd w:id="4"/>
      <w:r w:rsidRPr="00DC0947">
        <w:t>Assessment Conditions</w:t>
      </w:r>
    </w:p>
    <w:p w:rsidR="00000000" w:rsidRPr="00DC0947" w:rsidP="0099664A">
      <w:pPr>
        <w:pStyle w:val="BodyText"/>
      </w:pPr>
      <w:r w:rsidRPr="00DC0947">
        <w:t>Skills must have been demonstrated in the workplace or in a simulated environment that reflects workplace conditions and contingencies. The following conditions must be met for this unit:</w:t>
      </w:r>
    </w:p>
    <w:p w:rsidR="00000000" w:rsidRPr="00DC0947" w:rsidP="00DC0947">
      <w:pPr>
        <w:pStyle w:val="ListBullet"/>
      </w:pPr>
      <w:r w:rsidRPr="00DC0947">
        <w:t>use of suitable facilities, equipmen</w:t>
      </w:r>
      <w:r w:rsidRPr="00DC0947">
        <w:t>t and resources, including:</w:t>
      </w:r>
    </w:p>
    <w:p w:rsidR="00000000" w:rsidRPr="00DC0947" w:rsidP="00DC0947">
      <w:pPr>
        <w:pStyle w:val="ListBullet2"/>
      </w:pPr>
      <w:r w:rsidRPr="00DC0947">
        <w:t>design specifications</w:t>
      </w:r>
    </w:p>
    <w:p w:rsidR="00000000" w:rsidRPr="00DC0947" w:rsidP="00DC0947">
      <w:pPr>
        <w:pStyle w:val="ListBullet2"/>
      </w:pPr>
      <w:r w:rsidRPr="00DC0947">
        <w:t>stencils and screen-printing materials, tools and equipment</w:t>
      </w:r>
    </w:p>
    <w:p w:rsidR="00000000" w:rsidRPr="00DC0947" w:rsidP="00DC0947">
      <w:pPr>
        <w:pStyle w:val="ListBullet2"/>
      </w:pPr>
      <w:r w:rsidRPr="00DC0947">
        <w:t>workplace procedures.</w:t>
      </w:r>
    </w:p>
    <w:p w:rsidR="00000000" w:rsidRPr="00DC0947" w:rsidP="0099664A">
      <w:pPr>
        <w:pStyle w:val="BodyText"/>
      </w:pPr>
      <w:r w:rsidRPr="00DC0947">
        <w:t>Assessors must satisfy the NVR/AQTF mandatory competency requirements for assessors.</w:t>
      </w:r>
    </w:p>
    <w:p w:rsidR="00000000" w:rsidRPr="00DC0947" w:rsidP="00DC0947">
      <w:pPr>
        <w:pStyle w:val="Heading1"/>
      </w:pPr>
      <w:bookmarkStart w:id="5" w:name="O_1255609"/>
      <w:bookmarkEnd w:id="5"/>
      <w:r w:rsidRPr="00DC0947">
        <w:t>Links</w:t>
      </w:r>
    </w:p>
    <w:p w:rsidR="00000000" w:rsidRPr="00DC0947" w:rsidP="0099664A">
      <w:pPr>
        <w:pStyle w:val="BodyText"/>
      </w:pPr>
      <w:r w:rsidRPr="00DC0947">
        <w:t>Companion Vol</w:t>
      </w:r>
      <w:r w:rsidRPr="00DC094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9095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C0947" w:rsidP="00DC0947"/>
    <w:sectPr w:rsidSect="00DC09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47" w:rsidRPr="0099664A" w:rsidP="00996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64A" w:rsidP="00DC0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64A" w:rsidP="00DC0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664A" w:rsidP="00DC0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947" w:rsidRPr="0099664A" w:rsidP="00996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64A" w:rsidRPr="002D2AF8" w:rsidP="00DC0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MSTAT4020 Prepare stencils and screens for textile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9664A" w:rsidP="00DC0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367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800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6B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947"/>
  </w:style>
  <w:style w:type="character" w:customStyle="1" w:styleId="Heading1Char">
    <w:name w:val="Heading 1 Char"/>
    <w:basedOn w:val="DefaultParagraphFont"/>
    <w:link w:val="Heading1"/>
    <w:rsid w:val="00DC0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9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09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09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0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947"/>
    <w:rPr>
      <w:b/>
      <w:spacing w:val="0"/>
    </w:rPr>
  </w:style>
  <w:style w:type="paragraph" w:customStyle="1" w:styleId="SuperTitle">
    <w:name w:val="SuperTitle"/>
    <w:basedOn w:val="Title"/>
    <w:rsid w:val="00DC0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947"/>
    <w:rPr>
      <w:i/>
    </w:rPr>
  </w:style>
  <w:style w:type="paragraph" w:styleId="Caption">
    <w:name w:val="caption"/>
    <w:basedOn w:val="BodyText"/>
    <w:next w:val="Normal"/>
    <w:qFormat/>
    <w:rsid w:val="00DC0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947"/>
  </w:style>
  <w:style w:type="paragraph" w:styleId="TableofFigures">
    <w:name w:val="table of figures"/>
    <w:basedOn w:val="Normal"/>
    <w:next w:val="Normal"/>
    <w:semiHidden/>
    <w:rsid w:val="00DC0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9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0947"/>
    <w:rPr>
      <w:rFonts w:ascii="Wingdings" w:hAnsi="Wingdings"/>
    </w:rPr>
  </w:style>
  <w:style w:type="paragraph" w:customStyle="1" w:styleId="TableHeading">
    <w:name w:val="Table Heading"/>
    <w:basedOn w:val="HeadingBase"/>
    <w:rsid w:val="00DC0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947"/>
    <w:rPr>
      <w:color w:val="0033CC"/>
      <w:u w:val="none"/>
    </w:rPr>
  </w:style>
  <w:style w:type="paragraph" w:customStyle="1" w:styleId="BodyTextRight">
    <w:name w:val="Body Text Right"/>
    <w:basedOn w:val="BodyText"/>
    <w:rsid w:val="00DC0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9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947"/>
    <w:rPr>
      <w:sz w:val="32"/>
    </w:rPr>
  </w:style>
  <w:style w:type="paragraph" w:customStyle="1" w:styleId="HeadingProcedure">
    <w:name w:val="Heading Procedure"/>
    <w:basedOn w:val="HeadingBase"/>
    <w:next w:val="Normal"/>
    <w:rsid w:val="00DC0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947"/>
    <w:pPr>
      <w:spacing w:before="60" w:after="60"/>
    </w:pPr>
  </w:style>
  <w:style w:type="paragraph" w:styleId="ListContinue">
    <w:name w:val="List Continue"/>
    <w:basedOn w:val="List"/>
    <w:rsid w:val="00DC0947"/>
    <w:pPr>
      <w:ind w:firstLine="0"/>
    </w:pPr>
  </w:style>
  <w:style w:type="paragraph" w:customStyle="1" w:styleId="ListNote">
    <w:name w:val="List Note"/>
    <w:basedOn w:val="List"/>
    <w:rsid w:val="00DC0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947"/>
    <w:rPr>
      <w:rFonts w:ascii="Courier New" w:hAnsi="Courier New"/>
    </w:rPr>
  </w:style>
  <w:style w:type="paragraph" w:customStyle="1" w:styleId="NoteBullet">
    <w:name w:val="Note Bullet"/>
    <w:basedOn w:val="Note"/>
    <w:rsid w:val="00DC0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9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0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947"/>
    <w:rPr>
      <w:b/>
      <w:smallCaps/>
    </w:rPr>
  </w:style>
  <w:style w:type="paragraph" w:customStyle="1" w:styleId="TableListNumber">
    <w:name w:val="Table List Number"/>
    <w:basedOn w:val="ListNumber"/>
    <w:rsid w:val="00DC0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947"/>
    <w:pPr>
      <w:numPr>
        <w:numId w:val="10"/>
      </w:numPr>
    </w:pPr>
  </w:style>
  <w:style w:type="paragraph" w:customStyle="1" w:styleId="ListAlpha2">
    <w:name w:val="List Alpha 2"/>
    <w:basedOn w:val="List2"/>
    <w:rsid w:val="00DC0947"/>
    <w:pPr>
      <w:numPr>
        <w:numId w:val="9"/>
      </w:numPr>
    </w:pPr>
  </w:style>
  <w:style w:type="paragraph" w:styleId="List2">
    <w:name w:val="List 2"/>
    <w:basedOn w:val="BodyText"/>
    <w:rsid w:val="00DC0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9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09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0947"/>
    <w:pPr>
      <w:numPr>
        <w:numId w:val="5"/>
      </w:numPr>
    </w:pPr>
  </w:style>
  <w:style w:type="paragraph" w:styleId="ListContinue2">
    <w:name w:val="List Continue 2"/>
    <w:basedOn w:val="List2"/>
    <w:rsid w:val="00DC0947"/>
    <w:pPr>
      <w:ind w:firstLine="0"/>
    </w:pPr>
  </w:style>
  <w:style w:type="paragraph" w:styleId="ListContinue3">
    <w:name w:val="List Continue 3"/>
    <w:basedOn w:val="List3"/>
    <w:rsid w:val="00DC0947"/>
    <w:pPr>
      <w:ind w:left="1021" w:firstLine="0"/>
    </w:pPr>
  </w:style>
  <w:style w:type="paragraph" w:styleId="ListContinue4">
    <w:name w:val="List Continue 4"/>
    <w:basedOn w:val="List4"/>
    <w:rsid w:val="00DC0947"/>
    <w:pPr>
      <w:ind w:firstLine="0"/>
    </w:pPr>
  </w:style>
  <w:style w:type="paragraph" w:styleId="ListContinue5">
    <w:name w:val="List Continue 5"/>
    <w:basedOn w:val="List5"/>
    <w:rsid w:val="00DC0947"/>
    <w:pPr>
      <w:ind w:firstLine="0"/>
    </w:pPr>
  </w:style>
  <w:style w:type="paragraph" w:styleId="ListNumber3">
    <w:name w:val="List Number 3"/>
    <w:basedOn w:val="List3"/>
    <w:rsid w:val="00DC0947"/>
    <w:pPr>
      <w:numPr>
        <w:numId w:val="6"/>
      </w:numPr>
    </w:pPr>
  </w:style>
  <w:style w:type="paragraph" w:styleId="ListNumber4">
    <w:name w:val="List Number 4"/>
    <w:basedOn w:val="List4"/>
    <w:rsid w:val="00DC0947"/>
    <w:pPr>
      <w:numPr>
        <w:numId w:val="7"/>
      </w:numPr>
    </w:pPr>
  </w:style>
  <w:style w:type="paragraph" w:styleId="ListNumber5">
    <w:name w:val="List Number 5"/>
    <w:basedOn w:val="List5"/>
    <w:rsid w:val="00DC0947"/>
    <w:pPr>
      <w:numPr>
        <w:numId w:val="8"/>
      </w:numPr>
    </w:pPr>
  </w:style>
  <w:style w:type="paragraph" w:styleId="BlockText">
    <w:name w:val="Block Text"/>
    <w:basedOn w:val="Normal"/>
    <w:rsid w:val="00DC0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947"/>
    <w:rPr>
      <w:sz w:val="16"/>
      <w:vertAlign w:val="superscript"/>
    </w:rPr>
  </w:style>
  <w:style w:type="character" w:customStyle="1" w:styleId="Symbols">
    <w:name w:val="Symbols"/>
    <w:basedOn w:val="DefaultParagraphFont"/>
    <w:rsid w:val="00DC0947"/>
    <w:rPr>
      <w:rFonts w:ascii="Symbol" w:hAnsi="Symbol"/>
    </w:rPr>
  </w:style>
  <w:style w:type="character" w:customStyle="1" w:styleId="MenuOptions">
    <w:name w:val="Menu Options"/>
    <w:basedOn w:val="DefaultParagraphFont"/>
    <w:rsid w:val="00DC0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947"/>
    <w:rPr>
      <w:b/>
    </w:rPr>
  </w:style>
  <w:style w:type="character" w:customStyle="1" w:styleId="Underlined">
    <w:name w:val="Underlined"/>
    <w:basedOn w:val="DefaultParagraphFont"/>
    <w:rsid w:val="00DC0947"/>
    <w:rPr>
      <w:u w:val="single"/>
    </w:rPr>
  </w:style>
  <w:style w:type="paragraph" w:customStyle="1" w:styleId="TableBodyTextRight">
    <w:name w:val="Table Body Text Right"/>
    <w:basedOn w:val="TableBodyText"/>
    <w:rsid w:val="00DC0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947"/>
    <w:rPr>
      <w:sz w:val="18"/>
    </w:rPr>
  </w:style>
  <w:style w:type="paragraph" w:customStyle="1" w:styleId="BodySmallRight">
    <w:name w:val="Body Small Right"/>
    <w:basedOn w:val="BodyTextRight"/>
    <w:rsid w:val="00DC0947"/>
    <w:rPr>
      <w:sz w:val="18"/>
      <w:szCs w:val="18"/>
    </w:rPr>
  </w:style>
  <w:style w:type="paragraph" w:customStyle="1" w:styleId="MarginEdition">
    <w:name w:val="Margin Edition"/>
    <w:basedOn w:val="MarginNote"/>
    <w:rsid w:val="00DC0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947"/>
    <w:rPr>
      <w:sz w:val="2"/>
      <w:szCs w:val="2"/>
    </w:rPr>
  </w:style>
  <w:style w:type="character" w:customStyle="1" w:styleId="Small">
    <w:name w:val="Small"/>
    <w:basedOn w:val="DefaultParagraphFont"/>
    <w:rsid w:val="00DC0947"/>
    <w:rPr>
      <w:sz w:val="16"/>
    </w:rPr>
  </w:style>
  <w:style w:type="paragraph" w:customStyle="1" w:styleId="WideTable">
    <w:name w:val="Wide Table"/>
    <w:basedOn w:val="Normal"/>
    <w:rsid w:val="00DC0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947"/>
  </w:style>
  <w:style w:type="paragraph" w:styleId="Quote">
    <w:name w:val="Quote"/>
    <w:basedOn w:val="Heading1"/>
    <w:link w:val="QuoteChar"/>
    <w:qFormat/>
    <w:rsid w:val="00DC0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947"/>
    <w:pPr>
      <w:pageBreakBefore/>
    </w:pPr>
  </w:style>
  <w:style w:type="paragraph" w:customStyle="1" w:styleId="Border">
    <w:name w:val="Border"/>
    <w:basedOn w:val="Normal"/>
    <w:qFormat/>
    <w:rsid w:val="00DC0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947"/>
    <w:rPr>
      <w:u w:val="single"/>
    </w:rPr>
  </w:style>
  <w:style w:type="character" w:customStyle="1" w:styleId="BoldandItalics">
    <w:name w:val="Bold and Italics"/>
    <w:qFormat/>
    <w:rsid w:val="00DC0947"/>
    <w:rPr>
      <w:b/>
      <w:i/>
      <w:u w:val="none"/>
    </w:rPr>
  </w:style>
  <w:style w:type="paragraph" w:styleId="BalloonText">
    <w:name w:val="Balloon Text"/>
    <w:basedOn w:val="Normal"/>
    <w:link w:val="BalloonTextChar"/>
    <w:rsid w:val="00DC0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947"/>
    <w:pPr>
      <w:spacing w:before="0" w:after="0"/>
    </w:pPr>
  </w:style>
  <w:style w:type="paragraph" w:customStyle="1" w:styleId="BodyTextBold">
    <w:name w:val="Body Text Bold"/>
    <w:basedOn w:val="BodyText"/>
    <w:qFormat/>
    <w:rsid w:val="00DC0947"/>
    <w:rPr>
      <w:b/>
    </w:rPr>
  </w:style>
  <w:style w:type="character" w:styleId="Hyperlink">
    <w:name w:val="Hyperlink"/>
    <w:basedOn w:val="DefaultParagraphFont"/>
    <w:uiPriority w:val="99"/>
    <w:unhideWhenUsed/>
    <w:rsid w:val="00996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2921</Characters>
  <Application>Microsoft Office Word</Application>
  <DocSecurity>0</DocSecurity>
  <Lines>100</Lines>
  <Paragraphs>95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MSTAT4020 Prepare stencils and screens for textile printing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