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969BC" w:rsidP="008969BC">
      <w:pPr>
        <w:pStyle w:val="Title"/>
      </w:pPr>
      <w:r>
        <w:fldChar w:fldCharType="begin"/>
      </w:r>
      <w:r>
        <w:instrText xml:space="preserve"> TITLE   \* MERGEFORMAT </w:instrText>
      </w:r>
      <w:r>
        <w:fldChar w:fldCharType="separate"/>
      </w:r>
      <w:r>
        <w:t>MSS80312 Graduate Diploma of Competitive Systems and Practices</w:t>
      </w:r>
      <w:r>
        <w:fldChar w:fldCharType="end"/>
      </w:r>
    </w:p>
    <w:p w:rsidR="008969BC" w:rsidP="008969BC">
      <w:pPr>
        <w:pStyle w:val="Version"/>
        <w:sectPr w:rsidSect="00E95CFD">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E95CFD" w:rsidP="00E95CFD">
      <w:pPr>
        <w:pStyle w:val="SuperHeading"/>
      </w:pPr>
      <w:r w:rsidRPr="00E95CFD">
        <w:t>MSS80312 Vocational Graduate Diploma of Competitive Systems and Practices</w:t>
      </w:r>
    </w:p>
    <w:p w:rsidR="00000000" w:rsidRPr="00E95CFD" w:rsidP="00E95CFD">
      <w:pPr>
        <w:pStyle w:val="Heading1"/>
      </w:pPr>
      <w:bookmarkStart w:id="1" w:name="O_616814"/>
      <w:bookmarkEnd w:id="1"/>
      <w:r w:rsidRPr="00E95CFD">
        <w:t>Modification History</w:t>
      </w:r>
    </w:p>
    <w:p w:rsidR="00000000" w:rsidRPr="00E95CFD" w:rsidP="00E95CFD">
      <w:pPr>
        <w:pStyle w:val="BodyText"/>
      </w:pPr>
      <w:r w:rsidRPr="00E95CFD">
        <w:t>Release 2 - equivalent.  Correction of data transfer error  - unit MSS407001A reinstated in Group B electives.</w:t>
      </w:r>
    </w:p>
    <w:p w:rsidR="00000000" w:rsidRPr="00E95CFD" w:rsidP="00E95CFD">
      <w:pPr>
        <w:pStyle w:val="AllowPageBreak"/>
      </w:pPr>
    </w:p>
    <w:p w:rsidR="00000000" w:rsidRPr="00E95CFD" w:rsidP="00E95CFD">
      <w:pPr>
        <w:pStyle w:val="Heading1"/>
      </w:pPr>
      <w:bookmarkStart w:id="2" w:name="O_616813"/>
      <w:bookmarkEnd w:id="2"/>
      <w:r w:rsidRPr="00E95CFD">
        <w:t>Description</w:t>
      </w:r>
    </w:p>
    <w:p w:rsidR="00000000" w:rsidRPr="00E95CFD" w:rsidP="00E95CFD">
      <w:pPr>
        <w:pStyle w:val="BodyText"/>
      </w:pPr>
      <w:r w:rsidRPr="00E95CFD">
        <w:t>The MSS80312 Vocational Graduate Diploma of Competitive Systems and Practices provides comprehensive professional development training and recognition for people exercising major leadership and accountability for change management functions in an organisat</w:t>
      </w:r>
      <w:r w:rsidRPr="00E95CFD">
        <w:t xml:space="preserve">ion using lean principles and other competitive systems and practices. </w:t>
      </w:r>
    </w:p>
    <w:p w:rsidR="00000000" w:rsidRPr="00E95CFD" w:rsidP="00E95CFD">
      <w:pPr>
        <w:pStyle w:val="BodyText"/>
      </w:pPr>
      <w:r w:rsidRPr="00E95CFD">
        <w:rPr>
          <w:rStyle w:val="SpecialBold"/>
        </w:rPr>
        <w:t>Job roles/employment outcomes</w:t>
      </w:r>
    </w:p>
    <w:p w:rsidR="00000000" w:rsidRPr="00E95CFD" w:rsidP="00E95CFD">
      <w:pPr>
        <w:pStyle w:val="BodyText"/>
      </w:pPr>
      <w:r w:rsidRPr="00E95CFD">
        <w:t>The MSS80312 Vocational Graduate Diploma of Competitive Systems and Practices provides advanced skills and knowledge as professional development for indiv</w:t>
      </w:r>
      <w:r w:rsidRPr="00E95CFD">
        <w:t xml:space="preserve">iduals who already have previous vocational training at AQF V or higher and/or work experience in competitive systems and practices as a manager or technical specialist role in an organisation.  </w:t>
      </w:r>
    </w:p>
    <w:p w:rsidR="00000000" w:rsidRPr="00E95CFD" w:rsidP="00E95CFD">
      <w:pPr>
        <w:pStyle w:val="BodyText"/>
      </w:pPr>
      <w:r w:rsidRPr="00E95CFD">
        <w:rPr>
          <w:rStyle w:val="SpecialBold"/>
        </w:rPr>
        <w:t>Application</w:t>
      </w:r>
    </w:p>
    <w:p w:rsidR="00000000" w:rsidRPr="00E95CFD" w:rsidP="00E95CFD">
      <w:pPr>
        <w:pStyle w:val="BodyText"/>
      </w:pPr>
      <w:r w:rsidRPr="00E95CFD">
        <w:t xml:space="preserve">This qualification provides advanced skills and </w:t>
      </w:r>
      <w:r w:rsidRPr="00E95CFD">
        <w:t>knowledge in competitive systems and practices with an emphasis on development of the value chain competitive systems and of a supporting culture within an organisation. It builds on previously acquired skills and knowledge and applies to managers and tech</w:t>
      </w:r>
      <w:r w:rsidRPr="00E95CFD">
        <w:t xml:space="preserve">nical experts responsible for implementing competitive systems and practices in an organisation or who are working in part of a value chain linked to an organisation implementing competitive systems and practices. </w:t>
      </w:r>
    </w:p>
    <w:p w:rsidR="008969BC" w:rsidP="00E95CFD">
      <w:pPr>
        <w:pStyle w:val="BodyText"/>
      </w:pPr>
      <w:r w:rsidRPr="00E95CFD">
        <w:t>The qualification provides professional d</w:t>
      </w:r>
      <w:r w:rsidRPr="00E95CFD">
        <w:t xml:space="preserve">evelopment training for individuals who already have training and/or experience in competitive systems and practices and is not suitable where initial training in competitive systems and practices is sought.  </w:t>
      </w:r>
    </w:p>
    <w:p w:rsidR="008969BC" w:rsidP="00E95CFD">
      <w:pPr>
        <w:pStyle w:val="BodyText"/>
      </w:pPr>
    </w:p>
    <w:p w:rsidR="00000000" w:rsidRPr="00E95CFD" w:rsidP="00E95CFD">
      <w:pPr>
        <w:pStyle w:val="Heading1"/>
      </w:pPr>
      <w:bookmarkStart w:id="3" w:name="O_616812"/>
      <w:bookmarkEnd w:id="3"/>
      <w:r w:rsidRPr="00E95CFD">
        <w:t>Pathways Information</w:t>
      </w:r>
    </w:p>
    <w:p w:rsidR="00000000" w:rsidRPr="00E95CFD" w:rsidP="00E95CFD">
      <w:pPr>
        <w:pStyle w:val="BodyText"/>
      </w:pPr>
      <w:r w:rsidRPr="00E95CFD">
        <w:rPr>
          <w:rStyle w:val="SpecialBold"/>
        </w:rPr>
        <w:t>Pathway</w:t>
      </w:r>
      <w:r w:rsidRPr="00E95CFD">
        <w:rPr>
          <w:rStyle w:val="SpecialBold"/>
        </w:rPr>
        <w:t xml:space="preserve">s into the qualification </w:t>
      </w:r>
    </w:p>
    <w:p w:rsidR="00000000" w:rsidRPr="00E95CFD" w:rsidP="00E95CFD">
      <w:pPr>
        <w:pStyle w:val="BodyText"/>
      </w:pPr>
      <w:r w:rsidRPr="00E95CFD">
        <w:t>The MSS80312 Vocational Graduate Diploma of Competitive Systems and Practices has been particularly developed to offer a progression pathway for people who have one or more of the following:</w:t>
      </w:r>
    </w:p>
    <w:p w:rsidR="00000000" w:rsidRPr="00E95CFD" w:rsidP="00E95CFD">
      <w:pPr>
        <w:pStyle w:val="ListBullet"/>
      </w:pPr>
      <w:r w:rsidRPr="00E95CFD">
        <w:t>a Vocational Graduate Certificate qual</w:t>
      </w:r>
      <w:r w:rsidRPr="00E95CFD">
        <w:t>ification in Competitive Systems and Practices</w:t>
      </w:r>
    </w:p>
    <w:p w:rsidR="00000000" w:rsidRPr="00E95CFD" w:rsidP="00E95CFD">
      <w:pPr>
        <w:pStyle w:val="ListBullet"/>
      </w:pPr>
      <w:r w:rsidRPr="00E95CFD">
        <w:t>a Vocational Graduate Certificate qualification in Competitive Manufacturing</w:t>
      </w:r>
    </w:p>
    <w:p w:rsidR="00000000" w:rsidRPr="00E95CFD" w:rsidP="00E95CFD">
      <w:pPr>
        <w:pStyle w:val="ListBullet"/>
      </w:pPr>
      <w:r w:rsidRPr="00E95CFD">
        <w:t xml:space="preserve">a Diploma or Advanced Diploma qualification in Competitive Systems and Practices </w:t>
      </w:r>
    </w:p>
    <w:p w:rsidR="00000000" w:rsidRPr="00E95CFD" w:rsidP="00E95CFD">
      <w:pPr>
        <w:pStyle w:val="ListBullet"/>
      </w:pPr>
      <w:r w:rsidRPr="00E95CFD">
        <w:t>a Diploma or Advanced Diploma qualification in Com</w:t>
      </w:r>
      <w:r w:rsidRPr="00E95CFD">
        <w:t>petitive Manufacturing</w:t>
      </w:r>
    </w:p>
    <w:p w:rsidR="00000000" w:rsidRPr="00E95CFD" w:rsidP="00E95CFD">
      <w:pPr>
        <w:pStyle w:val="ListBullet"/>
      </w:pPr>
      <w:r w:rsidRPr="00E95CFD">
        <w:t xml:space="preserve">a Certificate IV qualification in Competitive Systems and practices or a Certificate IV qualification in Competitive Manufacturing combined with relevant industry experience  </w:t>
      </w:r>
    </w:p>
    <w:p w:rsidR="008969BC" w:rsidP="00E95CFD">
      <w:pPr>
        <w:pStyle w:val="ListBullet"/>
      </w:pPr>
      <w:r w:rsidRPr="00E95CFD">
        <w:t>substantial industry experience at supervisory or managerial level in administration, operations, office administration, logistics or manufacturing processes, and prior exposure and experience with competitive systems and practices.</w:t>
      </w:r>
    </w:p>
    <w:p w:rsidR="008969BC" w:rsidP="00E95CFD">
      <w:pPr>
        <w:pStyle w:val="ListBullet"/>
      </w:pPr>
    </w:p>
    <w:p w:rsidR="00000000" w:rsidRPr="00E95CFD" w:rsidP="00E95CFD">
      <w:pPr>
        <w:pStyle w:val="Heading1"/>
      </w:pPr>
      <w:bookmarkStart w:id="4" w:name="O_616811"/>
      <w:bookmarkEnd w:id="4"/>
      <w:r w:rsidRPr="00E95CFD">
        <w:t>Licen</w:t>
      </w:r>
      <w:r w:rsidRPr="00E95CFD">
        <w:t>sing/Regulatory Information</w:t>
      </w:r>
    </w:p>
    <w:p w:rsidR="008969BC" w:rsidP="00E95CFD">
      <w:pPr>
        <w:pStyle w:val="BodyText"/>
      </w:pPr>
      <w:r w:rsidRPr="00E95CFD">
        <w:t>There are no licensing implications for this qualification.</w:t>
      </w:r>
    </w:p>
    <w:p w:rsidR="008969BC" w:rsidP="00E95CFD">
      <w:pPr>
        <w:pStyle w:val="BodyText"/>
      </w:pPr>
    </w:p>
    <w:p w:rsidR="00000000" w:rsidRPr="00E95CFD" w:rsidP="00E95CFD">
      <w:pPr>
        <w:pStyle w:val="Heading1"/>
      </w:pPr>
      <w:bookmarkStart w:id="5" w:name="O_616810"/>
      <w:bookmarkEnd w:id="5"/>
      <w:r w:rsidRPr="00E95CFD">
        <w:t>Entry Requirements</w:t>
      </w:r>
    </w:p>
    <w:p w:rsidR="00000000" w:rsidRPr="00E95CFD" w:rsidP="00E95CFD">
      <w:pPr>
        <w:pStyle w:val="BodyText"/>
      </w:pPr>
      <w:r w:rsidRPr="00E95CFD">
        <w:t>Entrants to the MSS80312 Vocational Graduate Diploma of Competitive Systems and Practices are required to have one or more of the f</w:t>
      </w:r>
      <w:r w:rsidRPr="00E95CFD">
        <w:t xml:space="preserve">ollowing: </w:t>
      </w:r>
    </w:p>
    <w:p w:rsidR="00000000" w:rsidRPr="00E95CFD" w:rsidP="00E95CFD">
      <w:pPr>
        <w:pStyle w:val="ListBullet"/>
      </w:pPr>
      <w:r w:rsidRPr="00E95CFD">
        <w:t>MSS70312 Vocational Graduate Certificate in Competitive Systems and Practices</w:t>
      </w:r>
    </w:p>
    <w:p w:rsidR="00000000" w:rsidRPr="00E95CFD" w:rsidP="00E95CFD">
      <w:pPr>
        <w:pStyle w:val="ListBullet"/>
      </w:pPr>
      <w:r w:rsidRPr="00E95CFD">
        <w:t>a relevant Advanced Diploma or Diploma qualification</w:t>
      </w:r>
    </w:p>
    <w:p w:rsidR="00000000" w:rsidRPr="00E95CFD" w:rsidP="00E95CFD">
      <w:pPr>
        <w:pStyle w:val="ListBullet"/>
      </w:pPr>
      <w:r w:rsidRPr="00E95CFD">
        <w:t>a relevant Certificate IV qualification together with significant relevant vocational practice at a team leader/t</w:t>
      </w:r>
      <w:r w:rsidRPr="00E95CFD">
        <w:t>echnical specialist role or higher in an organisation</w:t>
      </w:r>
    </w:p>
    <w:p w:rsidR="00000000" w:rsidRPr="00E95CFD" w:rsidP="00E95CFD">
      <w:pPr>
        <w:pStyle w:val="ListBullet"/>
      </w:pPr>
      <w:r w:rsidRPr="00E95CFD">
        <w:t>relevant extensive vocational practice without formal qualifications</w:t>
      </w:r>
    </w:p>
    <w:p w:rsidR="00000000" w:rsidRPr="00E95CFD" w:rsidP="00E95CFD">
      <w:pPr>
        <w:pStyle w:val="ListBullet"/>
      </w:pPr>
      <w:r w:rsidRPr="00E95CFD">
        <w:t>a relevant Bachelor Degree</w:t>
      </w:r>
    </w:p>
    <w:p w:rsidR="00000000" w:rsidRPr="00E95CFD" w:rsidP="00E95CFD">
      <w:pPr>
        <w:pStyle w:val="ListBullet"/>
      </w:pPr>
      <w:r w:rsidRPr="00E95CFD">
        <w:t>another higher education qualification, with relevant vocational practice.</w:t>
      </w:r>
    </w:p>
    <w:p w:rsidR="00000000" w:rsidRPr="00E95CFD" w:rsidP="00E95CFD">
      <w:pPr>
        <w:pStyle w:val="BodyText"/>
      </w:pPr>
      <w:r w:rsidRPr="00E95CFD">
        <w:t>A relevant qualification that w</w:t>
      </w:r>
      <w:r w:rsidRPr="00E95CFD">
        <w:t>ould support entry to the MSS80312 Vocational Graduate Diploma of Competitive Systems and Practices should include aspects of administration, operations, office administration, logistics or manufacturing processes, including features such as productivity m</w:t>
      </w:r>
      <w:r w:rsidRPr="00E95CFD">
        <w:t>easurement, efficiency and effectiveness.</w:t>
      </w:r>
    </w:p>
    <w:p w:rsidR="008969BC" w:rsidP="00E95CFD">
      <w:pPr>
        <w:pStyle w:val="BodyText"/>
      </w:pPr>
      <w:r w:rsidRPr="00E95CFD">
        <w:t>For the purposes of this qualification the term ‘vocational practice’ is defined as experience in an organisation implementing competitive systems and practices with responsibility for implementation for a team, ar</w:t>
      </w:r>
      <w:r w:rsidRPr="00E95CFD">
        <w:t xml:space="preserve">ea, site or part of the value chain of the organisation.  </w:t>
      </w:r>
    </w:p>
    <w:p w:rsidR="008969BC" w:rsidP="00E95CFD">
      <w:pPr>
        <w:pStyle w:val="BodyText"/>
      </w:pPr>
    </w:p>
    <w:p w:rsidR="00000000" w:rsidRPr="00E95CFD" w:rsidP="00E95CFD">
      <w:pPr>
        <w:pStyle w:val="Heading1"/>
      </w:pPr>
      <w:bookmarkStart w:id="6" w:name="O_616809"/>
      <w:bookmarkEnd w:id="6"/>
      <w:r w:rsidRPr="00E95CFD">
        <w:t>Employability Skills Summary</w:t>
      </w:r>
    </w:p>
    <w:tbl>
      <w:tblPr>
        <w:tblW w:w="0" w:type="auto"/>
        <w:tblLayout w:type="fixed"/>
        <w:tblCellMar>
          <w:left w:w="62" w:type="dxa"/>
          <w:right w:w="62" w:type="dxa"/>
        </w:tblCellMar>
        <w:tblLook w:val="0000"/>
      </w:tblPr>
      <w:tblGrid>
        <w:gridCol w:w="2564"/>
        <w:gridCol w:w="6184"/>
      </w:tblGrid>
      <w:tr w:rsidTr="00E95CFD">
        <w:tblPrEx>
          <w:tblW w:w="0" w:type="auto"/>
          <w:tblLayout w:type="fixed"/>
          <w:tblCellMar>
            <w:left w:w="62" w:type="dxa"/>
            <w:right w:w="62" w:type="dxa"/>
          </w:tblCellMar>
          <w:tblLook w:val="0000"/>
        </w:tblPrEx>
        <w:tc>
          <w:tcPr>
            <w:tcW w:w="8748" w:type="dxa"/>
            <w:gridSpan w:val="2"/>
            <w:tcBorders>
              <w:top w:val="nil"/>
              <w:left w:val="nil"/>
              <w:bottom w:val="single" w:sz="4" w:space="0" w:color="auto"/>
              <w:right w:val="nil"/>
            </w:tcBorders>
            <w:tcMar>
              <w:top w:w="0" w:type="dxa"/>
              <w:left w:w="62" w:type="dxa"/>
              <w:bottom w:w="0" w:type="dxa"/>
              <w:right w:w="62" w:type="dxa"/>
            </w:tcMar>
          </w:tcPr>
          <w:p w:rsidR="00000000" w:rsidP="00E95CFD">
            <w:pPr>
              <w:pStyle w:val="BodyText"/>
              <w:rPr>
                <w:lang w:val="en-NZ"/>
              </w:rPr>
            </w:pPr>
            <w:r w:rsidRPr="00E95CFD">
              <w:t>The following table contains a summary of the employability skills as identified by manufacturing industry for this qualification. This table should b</w:t>
            </w:r>
            <w:r w:rsidRPr="00E95CFD">
              <w:t>e interpreted in conjunction with the detailed requirements of each unit of competency packaged in this qualification. The outcomes described here are broad industry requirements that reflect skill requirements for this level.</w:t>
            </w:r>
          </w:p>
        </w:tc>
      </w:tr>
      <w:tr w:rsidTr="00E95CFD">
        <w:tblPrEx>
          <w:tblW w:w="0" w:type="auto"/>
          <w:tblLayout w:type="fixed"/>
          <w:tblCellMar>
            <w:left w:w="62" w:type="dxa"/>
            <w:right w:w="62" w:type="dxa"/>
          </w:tblCellMar>
          <w:tblLook w:val="0000"/>
        </w:tblPrEx>
        <w:tc>
          <w:tcPr>
            <w:tcW w:w="25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95CFD" w:rsidP="00E95CFD">
            <w:pPr>
              <w:pStyle w:val="BodyText"/>
            </w:pPr>
            <w:r w:rsidRPr="00E95CFD">
              <w:rPr>
                <w:rStyle w:val="SpecialBold"/>
              </w:rPr>
              <w:t>Employability skill</w:t>
            </w:r>
          </w:p>
        </w:tc>
        <w:tc>
          <w:tcPr>
            <w:tcW w:w="61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95CFD">
            <w:pPr>
              <w:pStyle w:val="BodyText"/>
              <w:rPr>
                <w:lang w:val="en-NZ"/>
              </w:rPr>
            </w:pPr>
            <w:r w:rsidRPr="00E95CFD">
              <w:rPr>
                <w:rStyle w:val="SpecialBold"/>
              </w:rPr>
              <w:t>Industry/enterprise requirements for this qualification include:</w:t>
            </w:r>
          </w:p>
        </w:tc>
      </w:tr>
      <w:tr w:rsidTr="00E95CFD">
        <w:tblPrEx>
          <w:tblW w:w="0" w:type="auto"/>
          <w:tblLayout w:type="fixed"/>
          <w:tblCellMar>
            <w:left w:w="62" w:type="dxa"/>
            <w:right w:w="62" w:type="dxa"/>
          </w:tblCellMar>
          <w:tblLook w:val="0000"/>
        </w:tblPrEx>
        <w:tc>
          <w:tcPr>
            <w:tcW w:w="25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95CFD">
            <w:pPr>
              <w:pStyle w:val="BodyText"/>
              <w:rPr>
                <w:lang w:val="en-NZ"/>
              </w:rPr>
            </w:pPr>
            <w:r w:rsidRPr="00E95CFD">
              <w:rPr>
                <w:rStyle w:val="SpecialBold"/>
              </w:rPr>
              <w:t>Communication</w:t>
            </w:r>
          </w:p>
        </w:tc>
        <w:tc>
          <w:tcPr>
            <w:tcW w:w="61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95CFD" w:rsidP="00E95CFD">
            <w:pPr>
              <w:pStyle w:val="ListBullet"/>
            </w:pPr>
            <w:r w:rsidRPr="00E95CFD">
              <w:t>Consult with internal and external stakeholders on the implementation of change</w:t>
            </w:r>
          </w:p>
          <w:p w:rsidR="00000000" w:rsidRPr="00E95CFD" w:rsidP="00E95CFD">
            <w:pPr>
              <w:pStyle w:val="ListBullet"/>
            </w:pPr>
            <w:r w:rsidRPr="00E95CFD">
              <w:t>Communicate processes and goals to managers, other employees and members of the value chain</w:t>
            </w:r>
          </w:p>
          <w:p w:rsidR="00000000" w:rsidRPr="00E95CFD" w:rsidP="00E95CFD">
            <w:pPr>
              <w:pStyle w:val="ListBullet"/>
            </w:pPr>
            <w:r w:rsidRPr="00E95CFD">
              <w:t>Use</w:t>
            </w:r>
            <w:r w:rsidRPr="00E95CFD">
              <w:t xml:space="preserve"> interpersonal and language skills to encourage collaboration</w:t>
            </w:r>
          </w:p>
          <w:p w:rsidR="00000000" w:rsidP="00E95CFD">
            <w:pPr>
              <w:pStyle w:val="ListBullet"/>
              <w:rPr>
                <w:lang w:val="en-NZ"/>
              </w:rPr>
            </w:pPr>
            <w:r w:rsidRPr="00E95CFD">
              <w:t>Through discussion with team members, identify new improvement opportunities</w:t>
            </w:r>
          </w:p>
        </w:tc>
      </w:tr>
      <w:tr w:rsidTr="00E95CFD">
        <w:tblPrEx>
          <w:tblW w:w="0" w:type="auto"/>
          <w:tblLayout w:type="fixed"/>
          <w:tblCellMar>
            <w:left w:w="62" w:type="dxa"/>
            <w:right w:w="62" w:type="dxa"/>
          </w:tblCellMar>
          <w:tblLook w:val="0000"/>
        </w:tblPrEx>
        <w:tc>
          <w:tcPr>
            <w:tcW w:w="25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95CFD">
            <w:pPr>
              <w:pStyle w:val="BodyText"/>
              <w:rPr>
                <w:lang w:val="en-NZ"/>
              </w:rPr>
            </w:pPr>
            <w:r w:rsidRPr="00E95CFD">
              <w:rPr>
                <w:rStyle w:val="SpecialBold"/>
              </w:rPr>
              <w:t>Teamwork</w:t>
            </w:r>
          </w:p>
        </w:tc>
        <w:tc>
          <w:tcPr>
            <w:tcW w:w="61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95CFD" w:rsidP="00E95CFD">
            <w:pPr>
              <w:pStyle w:val="ListBullet"/>
            </w:pPr>
            <w:r w:rsidRPr="00E95CFD">
              <w:t>Cultivate collaboration and participation in change processes</w:t>
            </w:r>
          </w:p>
          <w:p w:rsidR="00000000" w:rsidRPr="00E95CFD" w:rsidP="00E95CFD">
            <w:pPr>
              <w:pStyle w:val="ListBullet"/>
            </w:pPr>
            <w:r w:rsidRPr="00E95CFD">
              <w:t>Meet with stakeholders to resolve problems</w:t>
            </w:r>
          </w:p>
          <w:p w:rsidR="00000000" w:rsidP="00E95CFD">
            <w:pPr>
              <w:pStyle w:val="ListBullet"/>
              <w:rPr>
                <w:lang w:val="en-NZ"/>
              </w:rPr>
            </w:pPr>
            <w:r w:rsidRPr="00E95CFD">
              <w:t>Establish support and ownership among stakeholders for future state objectives</w:t>
            </w:r>
          </w:p>
        </w:tc>
      </w:tr>
      <w:tr w:rsidTr="00E95CFD">
        <w:tblPrEx>
          <w:tblW w:w="0" w:type="auto"/>
          <w:tblLayout w:type="fixed"/>
          <w:tblCellMar>
            <w:left w:w="62" w:type="dxa"/>
            <w:right w:w="62" w:type="dxa"/>
          </w:tblCellMar>
          <w:tblLook w:val="0000"/>
        </w:tblPrEx>
        <w:tc>
          <w:tcPr>
            <w:tcW w:w="25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95CFD">
            <w:pPr>
              <w:pStyle w:val="BodyText"/>
              <w:rPr>
                <w:lang w:val="en-NZ"/>
              </w:rPr>
            </w:pPr>
            <w:r w:rsidRPr="00E95CFD">
              <w:rPr>
                <w:rStyle w:val="SpecialBold"/>
              </w:rPr>
              <w:t>Problem solving</w:t>
            </w:r>
          </w:p>
        </w:tc>
        <w:tc>
          <w:tcPr>
            <w:tcW w:w="61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95CFD" w:rsidP="00E95CFD">
            <w:pPr>
              <w:pStyle w:val="ListBullet"/>
            </w:pPr>
            <w:r w:rsidRPr="00E95CFD">
              <w:t>Collect, analyse and interpret data</w:t>
            </w:r>
          </w:p>
          <w:p w:rsidR="00000000" w:rsidRPr="00E95CFD" w:rsidP="00E95CFD">
            <w:pPr>
              <w:pStyle w:val="ListBullet"/>
            </w:pPr>
            <w:r w:rsidRPr="00E95CFD">
              <w:t>Determine root causes of non-conformances</w:t>
            </w:r>
          </w:p>
          <w:p w:rsidR="00000000" w:rsidRPr="00E95CFD" w:rsidP="00E95CFD">
            <w:pPr>
              <w:pStyle w:val="ListBullet"/>
            </w:pPr>
            <w:r w:rsidRPr="00E95CFD">
              <w:t>Evaluate options for improvements to standardised work</w:t>
            </w:r>
          </w:p>
          <w:p w:rsidR="00000000" w:rsidP="00E95CFD">
            <w:pPr>
              <w:pStyle w:val="ListBullet"/>
              <w:rPr>
                <w:lang w:val="en-NZ"/>
              </w:rPr>
            </w:pPr>
            <w:r w:rsidRPr="00E95CFD">
              <w:t>Analyse effects of potenti</w:t>
            </w:r>
            <w:r w:rsidRPr="00E95CFD">
              <w:t>al and actual equipment failures</w:t>
            </w:r>
          </w:p>
        </w:tc>
      </w:tr>
      <w:tr w:rsidTr="00E95CFD">
        <w:tblPrEx>
          <w:tblW w:w="0" w:type="auto"/>
          <w:tblLayout w:type="fixed"/>
          <w:tblCellMar>
            <w:left w:w="62" w:type="dxa"/>
            <w:right w:w="62" w:type="dxa"/>
          </w:tblCellMar>
          <w:tblLook w:val="0000"/>
        </w:tblPrEx>
        <w:tc>
          <w:tcPr>
            <w:tcW w:w="25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95CFD">
            <w:pPr>
              <w:pStyle w:val="BodyText"/>
              <w:rPr>
                <w:lang w:val="en-NZ"/>
              </w:rPr>
            </w:pPr>
            <w:r w:rsidRPr="00E95CFD">
              <w:rPr>
                <w:rStyle w:val="SpecialBold"/>
              </w:rPr>
              <w:t>Initiative and enterprise</w:t>
            </w:r>
          </w:p>
        </w:tc>
        <w:tc>
          <w:tcPr>
            <w:tcW w:w="61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95CFD" w:rsidP="00E95CFD">
            <w:pPr>
              <w:pStyle w:val="ListBullet"/>
            </w:pPr>
            <w:r w:rsidRPr="00E95CFD">
              <w:t xml:space="preserve">Ensure data collection and feedback mechanisms are established for all change implementation processes </w:t>
            </w:r>
          </w:p>
          <w:p w:rsidR="00000000" w:rsidRPr="00E95CFD" w:rsidP="00E95CFD">
            <w:pPr>
              <w:pStyle w:val="ListBullet"/>
            </w:pPr>
            <w:r w:rsidRPr="00E95CFD">
              <w:t>Provide leadership during major non-conformances</w:t>
            </w:r>
          </w:p>
          <w:p w:rsidR="00000000" w:rsidRPr="00E95CFD" w:rsidP="00E95CFD">
            <w:pPr>
              <w:pStyle w:val="ListBullet"/>
            </w:pPr>
            <w:r w:rsidRPr="00E95CFD">
              <w:t xml:space="preserve">Identify and implement process improvements </w:t>
            </w:r>
          </w:p>
          <w:p w:rsidR="00000000" w:rsidRPr="00E95CFD" w:rsidP="00E95CFD">
            <w:pPr>
              <w:pStyle w:val="ListBullet"/>
            </w:pPr>
            <w:r w:rsidRPr="00E95CFD">
              <w:t>Use analytical and decision making skills to prioritise improvement activities</w:t>
            </w:r>
          </w:p>
          <w:p w:rsidR="00000000" w:rsidP="00E95CFD">
            <w:pPr>
              <w:pStyle w:val="ListBullet"/>
              <w:rPr>
                <w:lang w:val="en-NZ"/>
              </w:rPr>
            </w:pPr>
            <w:r w:rsidRPr="00E95CFD">
              <w:t>Adjust and implement production or process schedule changes</w:t>
            </w:r>
          </w:p>
        </w:tc>
      </w:tr>
      <w:tr w:rsidTr="00E95CFD">
        <w:tblPrEx>
          <w:tblW w:w="0" w:type="auto"/>
          <w:tblLayout w:type="fixed"/>
          <w:tblCellMar>
            <w:left w:w="62" w:type="dxa"/>
            <w:right w:w="62" w:type="dxa"/>
          </w:tblCellMar>
          <w:tblLook w:val="0000"/>
        </w:tblPrEx>
        <w:tc>
          <w:tcPr>
            <w:tcW w:w="25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95CFD">
            <w:pPr>
              <w:pStyle w:val="BodyText"/>
              <w:rPr>
                <w:lang w:val="en-NZ"/>
              </w:rPr>
            </w:pPr>
            <w:r w:rsidRPr="00E95CFD">
              <w:rPr>
                <w:rStyle w:val="SpecialBold"/>
              </w:rPr>
              <w:t>Planning and organising</w:t>
            </w:r>
          </w:p>
        </w:tc>
        <w:tc>
          <w:tcPr>
            <w:tcW w:w="61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95CFD" w:rsidP="00E95CFD">
            <w:pPr>
              <w:pStyle w:val="ListBullet"/>
            </w:pPr>
            <w:r w:rsidRPr="00E95CFD">
              <w:t>Identify data requirements to determine curren</w:t>
            </w:r>
            <w:r w:rsidRPr="00E95CFD">
              <w:t>t and future states</w:t>
            </w:r>
          </w:p>
          <w:p w:rsidR="00000000" w:rsidRPr="00E95CFD" w:rsidP="00E95CFD">
            <w:pPr>
              <w:pStyle w:val="ListBullet"/>
            </w:pPr>
            <w:r w:rsidRPr="00E95CFD">
              <w:t>Organise data collection systems</w:t>
            </w:r>
          </w:p>
          <w:p w:rsidR="00000000" w:rsidRPr="00E95CFD" w:rsidP="00E95CFD">
            <w:pPr>
              <w:pStyle w:val="ListBullet"/>
            </w:pPr>
            <w:r w:rsidRPr="00E95CFD">
              <w:t>Establish team responsibilities for implementation of change</w:t>
            </w:r>
          </w:p>
          <w:p w:rsidR="00000000" w:rsidP="00E95CFD">
            <w:pPr>
              <w:pStyle w:val="ListBullet"/>
              <w:rPr>
                <w:lang w:val="en-NZ"/>
              </w:rPr>
            </w:pPr>
            <w:r w:rsidRPr="00E95CFD">
              <w:t>Plan change implementation strategy and identify risk factors</w:t>
            </w:r>
          </w:p>
        </w:tc>
      </w:tr>
      <w:tr w:rsidTr="00E95CFD">
        <w:tblPrEx>
          <w:tblW w:w="0" w:type="auto"/>
          <w:tblLayout w:type="fixed"/>
          <w:tblCellMar>
            <w:left w:w="62" w:type="dxa"/>
            <w:right w:w="62" w:type="dxa"/>
          </w:tblCellMar>
          <w:tblLook w:val="0000"/>
        </w:tblPrEx>
        <w:tc>
          <w:tcPr>
            <w:tcW w:w="25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95CFD">
            <w:pPr>
              <w:pStyle w:val="BodyText"/>
              <w:rPr>
                <w:lang w:val="en-NZ"/>
              </w:rPr>
            </w:pPr>
            <w:r w:rsidRPr="00E95CFD">
              <w:rPr>
                <w:rStyle w:val="SpecialBold"/>
              </w:rPr>
              <w:t>Self-management</w:t>
            </w:r>
          </w:p>
        </w:tc>
        <w:tc>
          <w:tcPr>
            <w:tcW w:w="61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95CFD" w:rsidP="00E95CFD">
            <w:pPr>
              <w:pStyle w:val="ListBullet"/>
            </w:pPr>
            <w:r w:rsidRPr="00E95CFD">
              <w:t>Manage own time and establish own work schedule</w:t>
            </w:r>
          </w:p>
          <w:p w:rsidR="00000000" w:rsidRPr="00E95CFD" w:rsidP="00E95CFD">
            <w:pPr>
              <w:pStyle w:val="ListBullet"/>
            </w:pPr>
            <w:r w:rsidRPr="00E95CFD">
              <w:t>Monitor and ev</w:t>
            </w:r>
            <w:r w:rsidRPr="00E95CFD">
              <w:t>aluate own work quality</w:t>
            </w:r>
          </w:p>
          <w:p w:rsidR="00000000" w:rsidRPr="00E95CFD" w:rsidP="00E95CFD">
            <w:pPr>
              <w:pStyle w:val="ListBullet"/>
            </w:pPr>
            <w:r w:rsidRPr="00E95CFD">
              <w:t>Maintain professional and ethical standards in own work</w:t>
            </w:r>
          </w:p>
          <w:p w:rsidR="00000000" w:rsidP="00E95CFD">
            <w:pPr>
              <w:pStyle w:val="ListBullet"/>
              <w:rPr>
                <w:lang w:val="en-NZ"/>
              </w:rPr>
            </w:pPr>
            <w:r w:rsidRPr="00E95CFD">
              <w:t>Comply with legislative requirements, codes of practice and organisational policies and procedures</w:t>
            </w:r>
          </w:p>
        </w:tc>
      </w:tr>
      <w:tr w:rsidTr="00E95CFD">
        <w:tblPrEx>
          <w:tblW w:w="0" w:type="auto"/>
          <w:tblLayout w:type="fixed"/>
          <w:tblCellMar>
            <w:left w:w="62" w:type="dxa"/>
            <w:right w:w="62" w:type="dxa"/>
          </w:tblCellMar>
          <w:tblLook w:val="0000"/>
        </w:tblPrEx>
        <w:tc>
          <w:tcPr>
            <w:tcW w:w="25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95CFD">
            <w:pPr>
              <w:pStyle w:val="BodyText"/>
              <w:rPr>
                <w:lang w:val="en-NZ"/>
              </w:rPr>
            </w:pPr>
            <w:r w:rsidRPr="00E95CFD">
              <w:rPr>
                <w:rStyle w:val="SpecialBold"/>
              </w:rPr>
              <w:t>Learning</w:t>
            </w:r>
          </w:p>
        </w:tc>
        <w:tc>
          <w:tcPr>
            <w:tcW w:w="61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95CFD" w:rsidP="00E95CFD">
            <w:pPr>
              <w:pStyle w:val="ListBullet"/>
            </w:pPr>
            <w:r w:rsidRPr="00E95CFD">
              <w:t>Identify opportunities for individual and organisational learning</w:t>
            </w:r>
          </w:p>
          <w:p w:rsidR="00000000" w:rsidRPr="00E95CFD" w:rsidP="00E95CFD">
            <w:pPr>
              <w:pStyle w:val="ListBullet"/>
            </w:pPr>
            <w:r w:rsidRPr="00E95CFD">
              <w:t>Use feedback from others to establish improvement processes</w:t>
            </w:r>
          </w:p>
          <w:p w:rsidR="00000000" w:rsidRPr="00E95CFD" w:rsidP="00E95CFD">
            <w:pPr>
              <w:pStyle w:val="ListBullet"/>
            </w:pPr>
            <w:r w:rsidRPr="00E95CFD">
              <w:t>Record learning according to organisational procedures</w:t>
            </w:r>
          </w:p>
          <w:p w:rsidR="00000000" w:rsidP="00E95CFD">
            <w:pPr>
              <w:pStyle w:val="ListBullet"/>
              <w:rPr>
                <w:lang w:val="en-NZ"/>
              </w:rPr>
            </w:pPr>
            <w:r w:rsidRPr="00E95CFD">
              <w:t>Ensure stakeholders are able to access and apply relevant knowledge/learning</w:t>
            </w:r>
          </w:p>
        </w:tc>
      </w:tr>
      <w:tr w:rsidTr="00E95CFD">
        <w:tblPrEx>
          <w:tblW w:w="0" w:type="auto"/>
          <w:tblLayout w:type="fixed"/>
          <w:tblCellMar>
            <w:left w:w="62" w:type="dxa"/>
            <w:right w:w="62" w:type="dxa"/>
          </w:tblCellMar>
          <w:tblLook w:val="0000"/>
        </w:tblPrEx>
        <w:tc>
          <w:tcPr>
            <w:tcW w:w="25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95CFD">
            <w:pPr>
              <w:pStyle w:val="BodyText"/>
              <w:rPr>
                <w:lang w:val="en-NZ"/>
              </w:rPr>
            </w:pPr>
            <w:r w:rsidRPr="00E95CFD">
              <w:rPr>
                <w:rStyle w:val="SpecialBold"/>
              </w:rPr>
              <w:t>Technology</w:t>
            </w:r>
          </w:p>
        </w:tc>
        <w:tc>
          <w:tcPr>
            <w:tcW w:w="61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95CFD" w:rsidP="00E95CFD">
            <w:pPr>
              <w:pStyle w:val="ListBullet"/>
            </w:pPr>
            <w:r w:rsidRPr="00E95CFD">
              <w:t>Analyse systems and technology implications of chan</w:t>
            </w:r>
            <w:r w:rsidRPr="00E95CFD">
              <w:t>ge options</w:t>
            </w:r>
          </w:p>
          <w:p w:rsidR="00000000" w:rsidRPr="00E95CFD" w:rsidP="00E95CFD">
            <w:pPr>
              <w:pStyle w:val="ListBullet"/>
            </w:pPr>
            <w:r w:rsidRPr="00E95CFD">
              <w:t>Implement procedures to monitor and record equipment availability, performance and availability</w:t>
            </w:r>
          </w:p>
          <w:p w:rsidR="00000000" w:rsidRPr="00E95CFD" w:rsidP="00E95CFD">
            <w:pPr>
              <w:pStyle w:val="ListBullet"/>
            </w:pPr>
            <w:r w:rsidRPr="00E95CFD">
              <w:t>Determine systems compatibility with other members of the value chain</w:t>
            </w:r>
          </w:p>
          <w:p w:rsidR="00000000" w:rsidRPr="00E95CFD" w:rsidP="00E95CFD">
            <w:pPr>
              <w:pStyle w:val="ListBullet"/>
            </w:pPr>
            <w:r w:rsidRPr="00E95CFD">
              <w:t xml:space="preserve">Use record keeping equipment and programs </w:t>
            </w:r>
          </w:p>
        </w:tc>
      </w:tr>
    </w:tbl>
    <w:p w:rsidR="008969BC" w:rsidP="00E95CFD">
      <w:pPr>
        <w:pStyle w:val="BodyText"/>
      </w:pPr>
    </w:p>
    <w:p w:rsidR="008969BC" w:rsidP="00E95CFD">
      <w:pPr>
        <w:pStyle w:val="BodyText"/>
      </w:pPr>
    </w:p>
    <w:p w:rsidR="00000000" w:rsidRPr="00E95CFD" w:rsidP="00E95CFD">
      <w:pPr>
        <w:pStyle w:val="Heading1"/>
      </w:pPr>
      <w:bookmarkStart w:id="7" w:name="O_616808"/>
      <w:bookmarkEnd w:id="7"/>
      <w:r w:rsidRPr="00E95CFD">
        <w:t>Packaging Rules</w:t>
      </w:r>
    </w:p>
    <w:tbl>
      <w:tblPr>
        <w:tblW w:w="0" w:type="auto"/>
        <w:tblLayout w:type="fixed"/>
        <w:tblCellMar>
          <w:left w:w="62" w:type="dxa"/>
          <w:right w:w="62" w:type="dxa"/>
        </w:tblCellMar>
        <w:tblLook w:val="0000"/>
      </w:tblPr>
      <w:tblGrid>
        <w:gridCol w:w="2186"/>
        <w:gridCol w:w="4591"/>
        <w:gridCol w:w="2295"/>
      </w:tblGrid>
      <w:tr w:rsidTr="00E95CFD">
        <w:tblPrEx>
          <w:tblW w:w="0" w:type="auto"/>
          <w:tblLayout w:type="fixed"/>
          <w:tblCellMar>
            <w:left w:w="62" w:type="dxa"/>
            <w:right w:w="62" w:type="dxa"/>
          </w:tblCellMar>
          <w:tblLook w:val="0000"/>
        </w:tblPrEx>
        <w:tc>
          <w:tcPr>
            <w:tcW w:w="9072" w:type="dxa"/>
            <w:gridSpan w:val="3"/>
            <w:tcBorders>
              <w:top w:val="nil"/>
              <w:left w:val="nil"/>
              <w:bottom w:val="nil"/>
              <w:right w:val="nil"/>
            </w:tcBorders>
            <w:tcMar>
              <w:top w:w="0" w:type="dxa"/>
              <w:left w:w="62" w:type="dxa"/>
              <w:bottom w:w="0" w:type="dxa"/>
              <w:right w:w="62" w:type="dxa"/>
            </w:tcMar>
          </w:tcPr>
          <w:p w:rsidR="00000000" w:rsidRPr="00E95CFD" w:rsidP="00E95CFD">
            <w:pPr>
              <w:pStyle w:val="BodyText"/>
            </w:pPr>
            <w:r w:rsidRPr="00E95CFD">
              <w:t xml:space="preserve">To be awarded the MSS80312 Vocational Graduate Diploma of Competitive Systems and Practices competency must be achieved in </w:t>
            </w:r>
            <w:r w:rsidRPr="00E95CFD">
              <w:rPr>
                <w:rStyle w:val="SpecialBold"/>
              </w:rPr>
              <w:t>eight (8)</w:t>
            </w:r>
            <w:r w:rsidRPr="00E95CFD">
              <w:t xml:space="preserve"> elective units of competency as specified below:</w:t>
            </w:r>
          </w:p>
          <w:p w:rsidR="00000000" w:rsidRPr="00E95CFD" w:rsidP="00E95CFD">
            <w:pPr>
              <w:pStyle w:val="ListBullet"/>
            </w:pPr>
            <w:r w:rsidRPr="00E95CFD">
              <w:t xml:space="preserve">a minimum of </w:t>
            </w:r>
            <w:r w:rsidRPr="00E95CFD">
              <w:rPr>
                <w:rStyle w:val="SpecialBold"/>
              </w:rPr>
              <w:t>two (2) units</w:t>
            </w:r>
            <w:r w:rsidRPr="00E95CFD">
              <w:t xml:space="preserve"> of competency from Group A</w:t>
            </w:r>
          </w:p>
          <w:p w:rsidR="00000000" w:rsidRPr="00E95CFD" w:rsidP="00E95CFD">
            <w:pPr>
              <w:pStyle w:val="ListBullet"/>
            </w:pPr>
            <w:r w:rsidRPr="00E95CFD">
              <w:rPr>
                <w:rStyle w:val="SpecialBold"/>
              </w:rPr>
              <w:t>three (3)</w:t>
            </w:r>
            <w:r w:rsidRPr="00E95CFD">
              <w:t xml:space="preserve"> additiona</w:t>
            </w:r>
            <w:r w:rsidRPr="00E95CFD">
              <w:t>l units of competency must be selected from either Group A or Group B</w:t>
            </w:r>
          </w:p>
          <w:p w:rsidR="00000000" w:rsidRPr="00E95CFD" w:rsidP="00E95CFD">
            <w:pPr>
              <w:pStyle w:val="ListBullet"/>
            </w:pPr>
            <w:r w:rsidRPr="00E95CFD">
              <w:t xml:space="preserve">the remaining </w:t>
            </w:r>
            <w:r w:rsidRPr="00E95CFD">
              <w:rPr>
                <w:rStyle w:val="SpecialBold"/>
              </w:rPr>
              <w:t>three (3)</w:t>
            </w:r>
            <w:r w:rsidRPr="00E95CFD">
              <w:t xml:space="preserve"> units of competency may be selected from either Group A, Group B or Group C. </w:t>
            </w:r>
          </w:p>
          <w:p w:rsidR="00000000" w:rsidP="00E95CFD">
            <w:pPr>
              <w:pStyle w:val="BodyText"/>
              <w:rPr>
                <w:lang w:val="en-NZ"/>
              </w:rPr>
            </w:pPr>
            <w:r w:rsidRPr="00E95CFD">
              <w:t>Units with prerequisites are marked with an asterisk*. Note that no Group A or Group</w:t>
            </w:r>
            <w:r w:rsidRPr="00E95CFD">
              <w:t xml:space="preserve"> B units have prerequisites. If Group C units with a prerequisite are selected, only the prerequisites included in this qualification can be counted. Any prerequisites not listed must be completed in prior study or additional to the qualification.</w:t>
            </w:r>
          </w:p>
        </w:tc>
      </w:tr>
      <w:tr w:rsidTr="00E95CFD">
        <w:tblPrEx>
          <w:tblW w:w="0" w:type="auto"/>
          <w:tblLayout w:type="fixed"/>
          <w:tblCellMar>
            <w:left w:w="62" w:type="dxa"/>
            <w:right w:w="62" w:type="dxa"/>
          </w:tblCellMar>
          <w:tblLook w:val="0000"/>
        </w:tblPrEx>
        <w:tc>
          <w:tcPr>
            <w:tcW w:w="9072" w:type="dxa"/>
            <w:gridSpan w:val="3"/>
            <w:tcBorders>
              <w:top w:val="nil"/>
              <w:left w:val="nil"/>
              <w:bottom w:val="nil"/>
              <w:right w:val="nil"/>
            </w:tcBorders>
            <w:tcMar>
              <w:top w:w="0" w:type="dxa"/>
              <w:left w:w="62" w:type="dxa"/>
              <w:bottom w:w="0" w:type="dxa"/>
              <w:right w:w="62" w:type="dxa"/>
            </w:tcMar>
          </w:tcPr>
          <w:p w:rsidR="00000000" w:rsidP="00E95CFD">
            <w:pPr>
              <w:pStyle w:val="BodyText"/>
              <w:rPr>
                <w:lang w:val="en-NZ"/>
              </w:rPr>
            </w:pPr>
          </w:p>
        </w:tc>
      </w:tr>
      <w:tr w:rsidTr="00E95CFD">
        <w:tblPrEx>
          <w:tblW w:w="0" w:type="auto"/>
          <w:tblLayout w:type="fixed"/>
          <w:tblCellMar>
            <w:left w:w="62" w:type="dxa"/>
            <w:right w:w="62" w:type="dxa"/>
          </w:tblCellMar>
          <w:tblLook w:val="0000"/>
        </w:tblPrEx>
        <w:tc>
          <w:tcPr>
            <w:tcW w:w="9072" w:type="dxa"/>
            <w:gridSpan w:val="3"/>
            <w:tcBorders>
              <w:top w:val="nil"/>
              <w:left w:val="nil"/>
              <w:bottom w:val="nil"/>
              <w:right w:val="nil"/>
            </w:tcBorders>
            <w:tcMar>
              <w:top w:w="0" w:type="dxa"/>
              <w:left w:w="62" w:type="dxa"/>
              <w:bottom w:w="0" w:type="dxa"/>
              <w:right w:w="62" w:type="dxa"/>
            </w:tcMar>
          </w:tcPr>
          <w:p w:rsidR="00000000" w:rsidP="00E95CFD">
            <w:pPr>
              <w:pStyle w:val="BodyText"/>
              <w:rPr>
                <w:lang w:val="en-NZ"/>
              </w:rPr>
            </w:pPr>
            <w:r w:rsidRPr="00E95CFD">
              <w:rPr>
                <w:rStyle w:val="SpecialBold"/>
              </w:rPr>
              <w:t>Group A</w:t>
            </w:r>
          </w:p>
        </w:tc>
      </w:tr>
      <w:tr w:rsidTr="00E95CFD">
        <w:tblPrEx>
          <w:tblW w:w="0" w:type="auto"/>
          <w:tblLayout w:type="fixed"/>
          <w:tblCellMar>
            <w:left w:w="62" w:type="dxa"/>
            <w:right w:w="62" w:type="dxa"/>
          </w:tblCellMar>
          <w:tblLook w:val="0000"/>
        </w:tblPrEx>
        <w:tc>
          <w:tcPr>
            <w:tcW w:w="9072" w:type="dxa"/>
            <w:gridSpan w:val="3"/>
            <w:tcBorders>
              <w:top w:val="nil"/>
              <w:left w:val="nil"/>
              <w:bottom w:val="nil"/>
              <w:right w:val="nil"/>
            </w:tcBorders>
            <w:tcMar>
              <w:top w:w="0" w:type="dxa"/>
              <w:left w:w="62" w:type="dxa"/>
              <w:bottom w:w="0" w:type="dxa"/>
              <w:right w:w="62" w:type="dxa"/>
            </w:tcMar>
          </w:tcPr>
          <w:p w:rsidR="00000000" w:rsidP="00E95CFD">
            <w:pPr>
              <w:pStyle w:val="BodyText"/>
              <w:rPr>
                <w:lang w:val="en-NZ"/>
              </w:rPr>
            </w:pPr>
          </w:p>
        </w:tc>
      </w:tr>
      <w:tr w:rsidTr="00E95CFD">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95CFD" w:rsidP="00E95CFD">
            <w:pPr>
              <w:pStyle w:val="BodyText"/>
            </w:pPr>
            <w:r w:rsidRPr="00E95CFD">
              <w:rPr>
                <w:rStyle w:val="SpecialBold"/>
              </w:rPr>
              <w:t>Unit code</w:t>
            </w:r>
          </w:p>
        </w:tc>
        <w:tc>
          <w:tcPr>
            <w:tcW w:w="6886"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95CFD">
            <w:pPr>
              <w:pStyle w:val="BodyText"/>
              <w:rPr>
                <w:lang w:val="en-NZ"/>
              </w:rPr>
            </w:pPr>
            <w:r w:rsidRPr="00E95CFD">
              <w:rPr>
                <w:rStyle w:val="SpecialBold"/>
              </w:rPr>
              <w:t>Unit title</w:t>
            </w:r>
          </w:p>
        </w:tc>
      </w:tr>
      <w:tr w:rsidTr="00E95CFD">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95CFD">
            <w:pPr>
              <w:pStyle w:val="BodyText"/>
              <w:rPr>
                <w:lang w:val="en-NZ"/>
              </w:rPr>
            </w:pPr>
            <w:r w:rsidRPr="00E95CFD">
              <w:t>MSS408001A</w:t>
            </w:r>
          </w:p>
        </w:tc>
        <w:tc>
          <w:tcPr>
            <w:tcW w:w="6886"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95CFD">
            <w:pPr>
              <w:pStyle w:val="BodyText"/>
              <w:rPr>
                <w:lang w:val="en-NZ"/>
              </w:rPr>
            </w:pPr>
            <w:r w:rsidRPr="00E95CFD">
              <w:t>Develop the competitive systems and practices approach</w:t>
            </w:r>
          </w:p>
        </w:tc>
      </w:tr>
      <w:tr w:rsidTr="00E95CFD">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95CFD">
            <w:pPr>
              <w:pStyle w:val="BodyText"/>
              <w:rPr>
                <w:lang w:val="en-NZ"/>
              </w:rPr>
            </w:pPr>
            <w:r w:rsidRPr="00E95CFD">
              <w:t xml:space="preserve">MSS408002A </w:t>
            </w:r>
          </w:p>
        </w:tc>
        <w:tc>
          <w:tcPr>
            <w:tcW w:w="6886"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95CFD">
            <w:pPr>
              <w:pStyle w:val="BodyText"/>
              <w:rPr>
                <w:lang w:val="en-NZ"/>
              </w:rPr>
            </w:pPr>
            <w:r w:rsidRPr="00E95CFD">
              <w:t>Audit the use of competitive tools</w:t>
            </w:r>
          </w:p>
        </w:tc>
      </w:tr>
      <w:tr w:rsidTr="00E95CFD">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95CFD">
            <w:pPr>
              <w:pStyle w:val="BodyText"/>
              <w:rPr>
                <w:lang w:val="en-NZ"/>
              </w:rPr>
            </w:pPr>
            <w:r w:rsidRPr="00E95CFD">
              <w:t>MSS408003A</w:t>
            </w:r>
          </w:p>
        </w:tc>
        <w:tc>
          <w:tcPr>
            <w:tcW w:w="6886"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95CFD">
            <w:pPr>
              <w:pStyle w:val="BodyText"/>
              <w:rPr>
                <w:lang w:val="en-NZ"/>
              </w:rPr>
            </w:pPr>
            <w:r w:rsidRPr="00E95CFD">
              <w:t>Develop models of future state operations practice</w:t>
            </w:r>
          </w:p>
        </w:tc>
      </w:tr>
      <w:tr w:rsidTr="00E95CFD">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95CFD">
            <w:pPr>
              <w:pStyle w:val="BodyText"/>
              <w:rPr>
                <w:lang w:val="en-NZ"/>
              </w:rPr>
            </w:pPr>
            <w:r w:rsidRPr="00E95CFD">
              <w:t>MSS408004A</w:t>
            </w:r>
          </w:p>
        </w:tc>
        <w:tc>
          <w:tcPr>
            <w:tcW w:w="6886"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95CFD">
            <w:pPr>
              <w:pStyle w:val="BodyText"/>
              <w:rPr>
                <w:lang w:val="en-NZ"/>
              </w:rPr>
            </w:pPr>
            <w:r w:rsidRPr="00E95CFD">
              <w:t>Develop the value stream</w:t>
            </w:r>
          </w:p>
        </w:tc>
      </w:tr>
      <w:tr w:rsidTr="00E95CFD">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95CFD">
            <w:pPr>
              <w:pStyle w:val="BodyText"/>
              <w:rPr>
                <w:lang w:val="en-NZ"/>
              </w:rPr>
            </w:pPr>
            <w:r w:rsidRPr="00E95CFD">
              <w:t>MSS408005A</w:t>
            </w:r>
          </w:p>
        </w:tc>
        <w:tc>
          <w:tcPr>
            <w:tcW w:w="6886"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95CFD">
            <w:pPr>
              <w:pStyle w:val="BodyText"/>
              <w:rPr>
                <w:lang w:val="en-NZ"/>
              </w:rPr>
            </w:pPr>
            <w:r w:rsidRPr="00E95CFD">
              <w:t>Develop the learning processes of the operations organisation</w:t>
            </w:r>
          </w:p>
        </w:tc>
      </w:tr>
      <w:tr w:rsidTr="00E95CFD">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95CFD">
            <w:pPr>
              <w:pStyle w:val="BodyText"/>
              <w:rPr>
                <w:lang w:val="en-NZ"/>
              </w:rPr>
            </w:pPr>
            <w:r w:rsidRPr="00E95CFD">
              <w:t>MSS408006A</w:t>
            </w:r>
          </w:p>
        </w:tc>
        <w:tc>
          <w:tcPr>
            <w:tcW w:w="6886"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95CFD">
            <w:pPr>
              <w:pStyle w:val="BodyText"/>
              <w:rPr>
                <w:lang w:val="en-NZ"/>
              </w:rPr>
            </w:pPr>
            <w:r w:rsidRPr="00E95CFD">
              <w:t xml:space="preserve">Develop and refine systems for continuous improvement in operations </w:t>
            </w:r>
          </w:p>
        </w:tc>
      </w:tr>
      <w:tr w:rsidTr="00E95CFD">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95CFD">
            <w:pPr>
              <w:pStyle w:val="BodyText"/>
              <w:rPr>
                <w:lang w:val="en-NZ"/>
              </w:rPr>
            </w:pPr>
            <w:r w:rsidRPr="00E95CFD">
              <w:t>MSS408007A</w:t>
            </w:r>
          </w:p>
        </w:tc>
        <w:tc>
          <w:tcPr>
            <w:tcW w:w="6886"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95CFD">
            <w:pPr>
              <w:pStyle w:val="BodyText"/>
              <w:rPr>
                <w:lang w:val="en-NZ"/>
              </w:rPr>
            </w:pPr>
            <w:r w:rsidRPr="00E95CFD">
              <w:t>Develop problem solving capability of an organisation</w:t>
            </w:r>
          </w:p>
        </w:tc>
      </w:tr>
      <w:tr w:rsidTr="00E95CFD">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95CFD">
            <w:pPr>
              <w:pStyle w:val="BodyText"/>
              <w:rPr>
                <w:lang w:val="en-NZ"/>
              </w:rPr>
            </w:pPr>
            <w:r w:rsidRPr="00E95CFD">
              <w:t xml:space="preserve">MSS408008A </w:t>
            </w:r>
          </w:p>
        </w:tc>
        <w:tc>
          <w:tcPr>
            <w:tcW w:w="6886"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95CFD">
            <w:pPr>
              <w:pStyle w:val="BodyText"/>
              <w:rPr>
                <w:lang w:val="en-NZ"/>
              </w:rPr>
            </w:pPr>
            <w:r w:rsidRPr="00E95CFD">
              <w:t>Analyse data for relevance to organisational learning</w:t>
            </w:r>
          </w:p>
        </w:tc>
      </w:tr>
      <w:tr w:rsidTr="00E95CFD">
        <w:tblPrEx>
          <w:tblW w:w="0" w:type="auto"/>
          <w:tblLayout w:type="fixed"/>
          <w:tblCellMar>
            <w:left w:w="62" w:type="dxa"/>
            <w:right w:w="62" w:type="dxa"/>
          </w:tblCellMar>
          <w:tblLook w:val="0000"/>
        </w:tblPrEx>
        <w:tc>
          <w:tcPr>
            <w:tcW w:w="9072" w:type="dxa"/>
            <w:gridSpan w:val="3"/>
            <w:tcBorders>
              <w:top w:val="nil"/>
              <w:left w:val="nil"/>
              <w:bottom w:val="nil"/>
              <w:right w:val="nil"/>
            </w:tcBorders>
            <w:tcMar>
              <w:top w:w="0" w:type="dxa"/>
              <w:left w:w="62" w:type="dxa"/>
              <w:bottom w:w="0" w:type="dxa"/>
              <w:right w:w="62" w:type="dxa"/>
            </w:tcMar>
          </w:tcPr>
          <w:p w:rsidR="00000000" w:rsidP="00E95CFD">
            <w:pPr>
              <w:pStyle w:val="BodyText"/>
              <w:rPr>
                <w:lang w:val="en-NZ"/>
              </w:rPr>
            </w:pPr>
          </w:p>
        </w:tc>
      </w:tr>
      <w:tr w:rsidTr="00E95CFD">
        <w:tblPrEx>
          <w:tblW w:w="0" w:type="auto"/>
          <w:tblLayout w:type="fixed"/>
          <w:tblCellMar>
            <w:left w:w="62" w:type="dxa"/>
            <w:right w:w="62" w:type="dxa"/>
          </w:tblCellMar>
          <w:tblLook w:val="0000"/>
        </w:tblPrEx>
        <w:tc>
          <w:tcPr>
            <w:tcW w:w="9072" w:type="dxa"/>
            <w:gridSpan w:val="3"/>
            <w:tcBorders>
              <w:top w:val="nil"/>
              <w:left w:val="nil"/>
              <w:bottom w:val="nil"/>
              <w:right w:val="nil"/>
            </w:tcBorders>
            <w:tcMar>
              <w:top w:w="0" w:type="dxa"/>
              <w:left w:w="62" w:type="dxa"/>
              <w:bottom w:w="0" w:type="dxa"/>
              <w:right w:w="62" w:type="dxa"/>
            </w:tcMar>
          </w:tcPr>
          <w:p w:rsidR="00000000" w:rsidP="00E95CFD">
            <w:pPr>
              <w:pStyle w:val="BodyText"/>
              <w:rPr>
                <w:lang w:val="en-NZ"/>
              </w:rPr>
            </w:pPr>
            <w:r w:rsidRPr="00E95CFD">
              <w:rPr>
                <w:rStyle w:val="SpecialBold"/>
              </w:rPr>
              <w:t>Group B</w:t>
            </w:r>
          </w:p>
        </w:tc>
      </w:tr>
      <w:tr w:rsidTr="00E95CFD">
        <w:tblPrEx>
          <w:tblW w:w="0" w:type="auto"/>
          <w:tblLayout w:type="fixed"/>
          <w:tblCellMar>
            <w:left w:w="62" w:type="dxa"/>
            <w:right w:w="62" w:type="dxa"/>
          </w:tblCellMar>
          <w:tblLook w:val="0000"/>
        </w:tblPrEx>
        <w:tc>
          <w:tcPr>
            <w:tcW w:w="9072" w:type="dxa"/>
            <w:gridSpan w:val="3"/>
            <w:tcBorders>
              <w:top w:val="nil"/>
              <w:left w:val="nil"/>
              <w:bottom w:val="nil"/>
              <w:right w:val="nil"/>
            </w:tcBorders>
            <w:tcMar>
              <w:top w:w="0" w:type="dxa"/>
              <w:left w:w="62" w:type="dxa"/>
              <w:bottom w:w="0" w:type="dxa"/>
              <w:right w:w="62" w:type="dxa"/>
            </w:tcMar>
          </w:tcPr>
          <w:p w:rsidR="00000000" w:rsidP="00E95CFD">
            <w:pPr>
              <w:pStyle w:val="BodyText"/>
              <w:rPr>
                <w:lang w:val="en-NZ"/>
              </w:rPr>
            </w:pPr>
          </w:p>
        </w:tc>
      </w:tr>
      <w:tr w:rsidTr="00E95CFD">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95CFD" w:rsidP="00E95CFD">
            <w:pPr>
              <w:pStyle w:val="BodyText"/>
            </w:pPr>
            <w:r w:rsidRPr="00E95CFD">
              <w:rPr>
                <w:rStyle w:val="SpecialBold"/>
              </w:rPr>
              <w:t>Unit code</w:t>
            </w:r>
          </w:p>
        </w:tc>
        <w:tc>
          <w:tcPr>
            <w:tcW w:w="6886"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95CFD">
            <w:pPr>
              <w:pStyle w:val="BodyText"/>
              <w:rPr>
                <w:lang w:val="en-NZ"/>
              </w:rPr>
            </w:pPr>
            <w:r w:rsidRPr="00E95CFD">
              <w:rPr>
                <w:rStyle w:val="SpecialBold"/>
              </w:rPr>
              <w:t>Unit title</w:t>
            </w:r>
          </w:p>
        </w:tc>
      </w:tr>
      <w:tr w:rsidTr="00E95CFD">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95CFD">
            <w:pPr>
              <w:pStyle w:val="BodyText"/>
              <w:rPr>
                <w:lang w:val="en-NZ"/>
              </w:rPr>
            </w:pPr>
            <w:r w:rsidRPr="00E95CFD">
              <w:t>MSS407001A</w:t>
            </w:r>
          </w:p>
        </w:tc>
        <w:tc>
          <w:tcPr>
            <w:tcW w:w="6886"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95CFD">
            <w:pPr>
              <w:pStyle w:val="BodyText"/>
              <w:rPr>
                <w:lang w:val="en-NZ"/>
              </w:rPr>
            </w:pPr>
            <w:r w:rsidRPr="00E95CFD">
              <w:t>Prepare for and implement change</w:t>
            </w:r>
          </w:p>
        </w:tc>
      </w:tr>
      <w:tr w:rsidTr="00E95CFD">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95CFD">
            <w:pPr>
              <w:pStyle w:val="BodyText"/>
              <w:rPr>
                <w:lang w:val="en-NZ"/>
              </w:rPr>
            </w:pPr>
            <w:r w:rsidRPr="00E95CFD">
              <w:t>MSS407002A</w:t>
            </w:r>
          </w:p>
        </w:tc>
        <w:tc>
          <w:tcPr>
            <w:tcW w:w="6886"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95CFD">
            <w:pPr>
              <w:pStyle w:val="BodyText"/>
              <w:rPr>
                <w:lang w:val="en-NZ"/>
              </w:rPr>
            </w:pPr>
            <w:r w:rsidRPr="00E95CFD">
              <w:t>Review operations practice tools and techniques</w:t>
            </w:r>
          </w:p>
        </w:tc>
      </w:tr>
      <w:tr w:rsidTr="00E95CFD">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95CFD">
            <w:pPr>
              <w:pStyle w:val="BodyText"/>
              <w:rPr>
                <w:lang w:val="en-NZ"/>
              </w:rPr>
            </w:pPr>
            <w:r w:rsidRPr="00E95CFD">
              <w:t xml:space="preserve">MSS407003A </w:t>
            </w:r>
          </w:p>
        </w:tc>
        <w:tc>
          <w:tcPr>
            <w:tcW w:w="6886"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95CFD">
            <w:pPr>
              <w:pStyle w:val="BodyText"/>
              <w:rPr>
                <w:lang w:val="en-NZ"/>
              </w:rPr>
            </w:pPr>
            <w:r w:rsidRPr="00E95CFD">
              <w:t>Analyse process changes</w:t>
            </w:r>
          </w:p>
        </w:tc>
      </w:tr>
      <w:tr w:rsidTr="00E95CFD">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95CFD">
            <w:pPr>
              <w:pStyle w:val="BodyText"/>
              <w:rPr>
                <w:lang w:val="en-NZ"/>
              </w:rPr>
            </w:pPr>
            <w:r w:rsidRPr="00E95CFD">
              <w:t>MSS407004A</w:t>
            </w:r>
          </w:p>
        </w:tc>
        <w:tc>
          <w:tcPr>
            <w:tcW w:w="6886"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95CFD">
            <w:pPr>
              <w:pStyle w:val="BodyText"/>
              <w:rPr>
                <w:lang w:val="en-NZ"/>
              </w:rPr>
            </w:pPr>
            <w:r w:rsidRPr="00E95CFD">
              <w:t>Facilitate improvements in the internal value stream</w:t>
            </w:r>
          </w:p>
        </w:tc>
      </w:tr>
      <w:tr w:rsidTr="00E95CFD">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95CFD">
            <w:pPr>
              <w:pStyle w:val="BodyText"/>
              <w:rPr>
                <w:lang w:val="en-NZ"/>
              </w:rPr>
            </w:pPr>
            <w:r w:rsidRPr="00E95CFD">
              <w:t xml:space="preserve">MSS407005A </w:t>
            </w:r>
          </w:p>
        </w:tc>
        <w:tc>
          <w:tcPr>
            <w:tcW w:w="6886"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95CFD">
            <w:pPr>
              <w:pStyle w:val="BodyText"/>
              <w:rPr>
                <w:lang w:val="en-NZ"/>
              </w:rPr>
            </w:pPr>
            <w:r w:rsidRPr="00E95CFD">
              <w:t>Undertake a qualitative review of a process change</w:t>
            </w:r>
          </w:p>
        </w:tc>
      </w:tr>
      <w:tr w:rsidTr="00E95CFD">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95CFD">
            <w:pPr>
              <w:pStyle w:val="BodyText"/>
              <w:rPr>
                <w:lang w:val="en-NZ"/>
              </w:rPr>
            </w:pPr>
            <w:r w:rsidRPr="00E95CFD">
              <w:t>MSS407006A</w:t>
            </w:r>
          </w:p>
        </w:tc>
        <w:tc>
          <w:tcPr>
            <w:tcW w:w="6886"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95CFD">
            <w:pPr>
              <w:pStyle w:val="BodyText"/>
              <w:rPr>
                <w:lang w:val="en-NZ"/>
              </w:rPr>
            </w:pPr>
            <w:r w:rsidRPr="00E95CFD">
              <w:t>Build relationships between teams in a operations environment</w:t>
            </w:r>
          </w:p>
        </w:tc>
      </w:tr>
      <w:tr w:rsidTr="00E95CFD">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95CFD">
            <w:pPr>
              <w:pStyle w:val="BodyText"/>
              <w:rPr>
                <w:lang w:val="en-NZ"/>
              </w:rPr>
            </w:pPr>
            <w:r w:rsidRPr="00E95CFD">
              <w:t>MSS407007A</w:t>
            </w:r>
          </w:p>
        </w:tc>
        <w:tc>
          <w:tcPr>
            <w:tcW w:w="6886"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95CFD">
            <w:pPr>
              <w:pStyle w:val="BodyText"/>
              <w:rPr>
                <w:lang w:val="en-NZ"/>
              </w:rPr>
            </w:pPr>
            <w:r w:rsidRPr="00E95CFD">
              <w:t>Respond to a major non-conformance</w:t>
            </w:r>
          </w:p>
        </w:tc>
      </w:tr>
      <w:tr w:rsidTr="00E95CFD">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95CFD">
            <w:pPr>
              <w:pStyle w:val="BodyText"/>
              <w:rPr>
                <w:lang w:val="en-NZ"/>
              </w:rPr>
            </w:pPr>
            <w:r w:rsidRPr="00E95CFD">
              <w:t>MSS407008A</w:t>
            </w:r>
          </w:p>
        </w:tc>
        <w:tc>
          <w:tcPr>
            <w:tcW w:w="6886"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95CFD">
            <w:pPr>
              <w:pStyle w:val="BodyText"/>
              <w:rPr>
                <w:lang w:val="en-NZ"/>
              </w:rPr>
            </w:pPr>
            <w:r w:rsidRPr="00E95CFD">
              <w:t>Ca</w:t>
            </w:r>
            <w:r w:rsidRPr="00E95CFD">
              <w:t>pture learning from daily activities in a organisation</w:t>
            </w:r>
          </w:p>
        </w:tc>
      </w:tr>
      <w:tr w:rsidTr="00E95CFD">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95CFD">
            <w:pPr>
              <w:pStyle w:val="BodyText"/>
              <w:rPr>
                <w:lang w:val="en-NZ"/>
              </w:rPr>
            </w:pPr>
            <w:r w:rsidRPr="00E95CFD">
              <w:t>MSS407009A</w:t>
            </w:r>
          </w:p>
        </w:tc>
        <w:tc>
          <w:tcPr>
            <w:tcW w:w="6886"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95CFD">
            <w:pPr>
              <w:pStyle w:val="BodyText"/>
              <w:rPr>
                <w:lang w:val="en-NZ"/>
              </w:rPr>
            </w:pPr>
            <w:r w:rsidRPr="00E95CFD">
              <w:t>Facilitate improvements in the external value stream</w:t>
            </w:r>
          </w:p>
        </w:tc>
      </w:tr>
      <w:tr w:rsidTr="00E95CFD">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95CFD">
            <w:pPr>
              <w:pStyle w:val="BodyText"/>
              <w:rPr>
                <w:lang w:val="en-NZ"/>
              </w:rPr>
            </w:pPr>
            <w:r w:rsidRPr="00E95CFD">
              <w:t>MSS407010A</w:t>
            </w:r>
          </w:p>
        </w:tc>
        <w:tc>
          <w:tcPr>
            <w:tcW w:w="6886"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95CFD">
            <w:pPr>
              <w:pStyle w:val="BodyText"/>
              <w:rPr>
                <w:lang w:val="en-NZ"/>
              </w:rPr>
            </w:pPr>
            <w:r w:rsidRPr="00E95CFD">
              <w:t xml:space="preserve">Improve visual management in the workplace  </w:t>
            </w:r>
          </w:p>
        </w:tc>
      </w:tr>
      <w:tr w:rsidTr="00E95CFD">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95CFD">
            <w:pPr>
              <w:pStyle w:val="BodyText"/>
              <w:rPr>
                <w:lang w:val="en-NZ"/>
              </w:rPr>
            </w:pPr>
            <w:r w:rsidRPr="00E95CFD">
              <w:t>MSS407011A</w:t>
            </w:r>
          </w:p>
        </w:tc>
        <w:tc>
          <w:tcPr>
            <w:tcW w:w="6886"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95CFD">
            <w:pPr>
              <w:pStyle w:val="BodyText"/>
              <w:rPr>
                <w:lang w:val="en-NZ"/>
              </w:rPr>
            </w:pPr>
            <w:r w:rsidRPr="00E95CFD">
              <w:t xml:space="preserve">Manage benchmarking studies </w:t>
            </w:r>
          </w:p>
        </w:tc>
      </w:tr>
      <w:tr w:rsidTr="00E95CFD">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95CFD">
            <w:pPr>
              <w:pStyle w:val="BodyText"/>
              <w:rPr>
                <w:lang w:val="en-NZ"/>
              </w:rPr>
            </w:pPr>
            <w:r w:rsidRPr="00E95CFD">
              <w:t>MSS407012A</w:t>
            </w:r>
          </w:p>
        </w:tc>
        <w:tc>
          <w:tcPr>
            <w:tcW w:w="6886"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95CFD">
            <w:pPr>
              <w:pStyle w:val="BodyText"/>
              <w:rPr>
                <w:lang w:val="en-NZ"/>
              </w:rPr>
            </w:pPr>
            <w:r w:rsidRPr="00E95CFD">
              <w:t>Lead a problem solving process to determine and solve root cause</w:t>
            </w:r>
          </w:p>
        </w:tc>
      </w:tr>
      <w:tr w:rsidTr="00E95CFD">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95CFD">
            <w:pPr>
              <w:pStyle w:val="BodyText"/>
              <w:rPr>
                <w:lang w:val="en-NZ"/>
              </w:rPr>
            </w:pPr>
            <w:r w:rsidRPr="00E95CFD">
              <w:t xml:space="preserve">MSS407013A </w:t>
            </w:r>
          </w:p>
        </w:tc>
        <w:tc>
          <w:tcPr>
            <w:tcW w:w="6886"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95CFD">
            <w:pPr>
              <w:pStyle w:val="BodyText"/>
              <w:rPr>
                <w:lang w:val="en-NZ"/>
              </w:rPr>
            </w:pPr>
            <w:r w:rsidRPr="00E95CFD">
              <w:t>Review continuous improvement processes</w:t>
            </w:r>
          </w:p>
        </w:tc>
      </w:tr>
      <w:tr w:rsidTr="00E95CFD">
        <w:tblPrEx>
          <w:tblW w:w="0" w:type="auto"/>
          <w:tblLayout w:type="fixed"/>
          <w:tblCellMar>
            <w:left w:w="62" w:type="dxa"/>
            <w:right w:w="62" w:type="dxa"/>
          </w:tblCellMar>
          <w:tblLook w:val="0000"/>
        </w:tblPrEx>
        <w:tc>
          <w:tcPr>
            <w:tcW w:w="9072" w:type="dxa"/>
            <w:gridSpan w:val="3"/>
            <w:tcBorders>
              <w:top w:val="nil"/>
              <w:left w:val="nil"/>
              <w:bottom w:val="nil"/>
              <w:right w:val="nil"/>
            </w:tcBorders>
            <w:tcMar>
              <w:top w:w="0" w:type="dxa"/>
              <w:left w:w="62" w:type="dxa"/>
              <w:bottom w:w="0" w:type="dxa"/>
              <w:right w:w="62" w:type="dxa"/>
            </w:tcMar>
          </w:tcPr>
          <w:p w:rsidR="00000000" w:rsidP="00E95CFD">
            <w:pPr>
              <w:pStyle w:val="BodyText"/>
              <w:rPr>
                <w:lang w:val="en-NZ"/>
              </w:rPr>
            </w:pPr>
          </w:p>
        </w:tc>
      </w:tr>
      <w:tr w:rsidTr="00E95CFD">
        <w:tblPrEx>
          <w:tblW w:w="0" w:type="auto"/>
          <w:tblLayout w:type="fixed"/>
          <w:tblCellMar>
            <w:left w:w="62" w:type="dxa"/>
            <w:right w:w="62" w:type="dxa"/>
          </w:tblCellMar>
          <w:tblLook w:val="0000"/>
        </w:tblPrEx>
        <w:tc>
          <w:tcPr>
            <w:tcW w:w="9072" w:type="dxa"/>
            <w:gridSpan w:val="3"/>
            <w:tcBorders>
              <w:top w:val="nil"/>
              <w:left w:val="nil"/>
              <w:bottom w:val="nil"/>
              <w:right w:val="nil"/>
            </w:tcBorders>
            <w:tcMar>
              <w:top w:w="0" w:type="dxa"/>
              <w:left w:w="62" w:type="dxa"/>
              <w:bottom w:w="0" w:type="dxa"/>
              <w:right w:w="62" w:type="dxa"/>
            </w:tcMar>
          </w:tcPr>
          <w:p w:rsidR="00000000" w:rsidP="00E95CFD">
            <w:pPr>
              <w:pStyle w:val="BodyText"/>
              <w:rPr>
                <w:lang w:val="en-NZ"/>
              </w:rPr>
            </w:pPr>
            <w:r w:rsidRPr="00E95CFD">
              <w:rPr>
                <w:rStyle w:val="SpecialBold"/>
              </w:rPr>
              <w:t>Group C</w:t>
            </w:r>
          </w:p>
        </w:tc>
      </w:tr>
      <w:tr w:rsidTr="00E95CFD">
        <w:tblPrEx>
          <w:tblW w:w="0" w:type="auto"/>
          <w:tblLayout w:type="fixed"/>
          <w:tblCellMar>
            <w:left w:w="62" w:type="dxa"/>
            <w:right w:w="62" w:type="dxa"/>
          </w:tblCellMar>
          <w:tblLook w:val="0000"/>
        </w:tblPrEx>
        <w:tc>
          <w:tcPr>
            <w:tcW w:w="9072" w:type="dxa"/>
            <w:gridSpan w:val="3"/>
            <w:tcBorders>
              <w:top w:val="nil"/>
              <w:left w:val="nil"/>
              <w:bottom w:val="nil"/>
              <w:right w:val="nil"/>
            </w:tcBorders>
            <w:tcMar>
              <w:top w:w="0" w:type="dxa"/>
              <w:left w:w="62" w:type="dxa"/>
              <w:bottom w:w="0" w:type="dxa"/>
              <w:right w:w="62" w:type="dxa"/>
            </w:tcMar>
          </w:tcPr>
          <w:p w:rsidR="00000000" w:rsidP="00E95CFD">
            <w:pPr>
              <w:pStyle w:val="BodyText"/>
              <w:rPr>
                <w:lang w:val="en-NZ"/>
              </w:rPr>
            </w:pPr>
          </w:p>
        </w:tc>
      </w:tr>
      <w:tr w:rsidTr="00E95CFD">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95CFD" w:rsidP="00E95CFD">
            <w:pPr>
              <w:pStyle w:val="BodyText"/>
            </w:pPr>
            <w:r w:rsidRPr="00E95CFD">
              <w:rPr>
                <w:rStyle w:val="SpecialBold"/>
              </w:rPr>
              <w:t>Unit code</w:t>
            </w:r>
          </w:p>
        </w:tc>
        <w:tc>
          <w:tcPr>
            <w:tcW w:w="4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95CFD" w:rsidP="00E95CFD">
            <w:pPr>
              <w:pStyle w:val="BodyText"/>
            </w:pPr>
            <w:r w:rsidRPr="00E95CFD">
              <w:rPr>
                <w:rStyle w:val="SpecialBold"/>
              </w:rPr>
              <w:t>Unit title</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95CFD">
            <w:pPr>
              <w:pStyle w:val="BodyText"/>
              <w:rPr>
                <w:lang w:val="en-NZ"/>
              </w:rPr>
            </w:pPr>
            <w:r w:rsidRPr="00E95CFD">
              <w:rPr>
                <w:rStyle w:val="SpecialBold"/>
              </w:rPr>
              <w:t>Prerequisites</w:t>
            </w:r>
          </w:p>
        </w:tc>
      </w:tr>
      <w:tr w:rsidTr="00E95CFD">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95CFD">
            <w:pPr>
              <w:pStyle w:val="BodyText"/>
              <w:rPr>
                <w:lang w:val="en-NZ"/>
              </w:rPr>
            </w:pPr>
            <w:r w:rsidRPr="00E95CFD">
              <w:t>MSS405002A</w:t>
            </w:r>
          </w:p>
        </w:tc>
        <w:tc>
          <w:tcPr>
            <w:tcW w:w="4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95CFD">
            <w:pPr>
              <w:pStyle w:val="BodyText"/>
              <w:rPr>
                <w:lang w:val="en-NZ"/>
              </w:rPr>
            </w:pPr>
            <w:r w:rsidRPr="00E95CFD">
              <w:t>Analyse and map a value stream</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95CFD">
            <w:pPr>
              <w:pStyle w:val="BodyText"/>
              <w:rPr>
                <w:lang w:val="en-NZ"/>
              </w:rPr>
            </w:pPr>
          </w:p>
        </w:tc>
      </w:tr>
      <w:tr w:rsidTr="00E95CFD">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95CFD">
            <w:pPr>
              <w:pStyle w:val="BodyText"/>
              <w:rPr>
                <w:lang w:val="en-NZ"/>
              </w:rPr>
            </w:pPr>
            <w:r w:rsidRPr="00E95CFD">
              <w:t>MSS405003A</w:t>
            </w:r>
          </w:p>
        </w:tc>
        <w:tc>
          <w:tcPr>
            <w:tcW w:w="4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95CFD">
            <w:pPr>
              <w:pStyle w:val="BodyText"/>
              <w:rPr>
                <w:lang w:val="en-NZ"/>
              </w:rPr>
            </w:pPr>
            <w:r w:rsidRPr="00E95CFD">
              <w:t>Manage a value stream</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95CFD">
            <w:pPr>
              <w:pStyle w:val="BodyText"/>
              <w:rPr>
                <w:lang w:val="en-NZ"/>
              </w:rPr>
            </w:pPr>
          </w:p>
        </w:tc>
      </w:tr>
      <w:tr w:rsidTr="00E95CFD">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95CFD">
            <w:pPr>
              <w:pStyle w:val="BodyText"/>
              <w:rPr>
                <w:lang w:val="en-NZ"/>
              </w:rPr>
            </w:pPr>
            <w:r w:rsidRPr="00E95CFD">
              <w:t>MSS405006A</w:t>
            </w:r>
          </w:p>
        </w:tc>
        <w:tc>
          <w:tcPr>
            <w:tcW w:w="4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95CFD">
            <w:pPr>
              <w:pStyle w:val="BodyText"/>
              <w:rPr>
                <w:lang w:val="en-NZ"/>
              </w:rPr>
            </w:pPr>
            <w:r w:rsidRPr="00E95CFD">
              <w:t>Develop a Balanced Scorecard</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95CFD">
            <w:pPr>
              <w:pStyle w:val="BodyText"/>
              <w:rPr>
                <w:lang w:val="en-NZ"/>
              </w:rPr>
            </w:pPr>
          </w:p>
        </w:tc>
      </w:tr>
      <w:tr w:rsidTr="00E95CFD">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95CFD">
            <w:pPr>
              <w:pStyle w:val="BodyText"/>
              <w:rPr>
                <w:lang w:val="en-NZ"/>
              </w:rPr>
            </w:pPr>
            <w:r w:rsidRPr="00E95CFD">
              <w:t>MSS405007A</w:t>
            </w:r>
          </w:p>
        </w:tc>
        <w:tc>
          <w:tcPr>
            <w:tcW w:w="4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95CFD">
            <w:pPr>
              <w:pStyle w:val="BodyText"/>
              <w:rPr>
                <w:lang w:val="en-NZ"/>
              </w:rPr>
            </w:pPr>
            <w:r w:rsidRPr="00E95CFD">
              <w:t>Introduce competitive systems and practices to a small or medium enterprise</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95CFD">
            <w:pPr>
              <w:pStyle w:val="BodyText"/>
              <w:rPr>
                <w:lang w:val="en-NZ"/>
              </w:rPr>
            </w:pPr>
          </w:p>
        </w:tc>
      </w:tr>
      <w:tr w:rsidTr="00E95CFD">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95CFD">
            <w:pPr>
              <w:pStyle w:val="BodyText"/>
              <w:rPr>
                <w:lang w:val="en-NZ"/>
              </w:rPr>
            </w:pPr>
            <w:r w:rsidRPr="00E95CFD">
              <w:t xml:space="preserve">MSS405020A </w:t>
            </w:r>
          </w:p>
        </w:tc>
        <w:tc>
          <w:tcPr>
            <w:tcW w:w="4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95CFD">
            <w:pPr>
              <w:pStyle w:val="BodyText"/>
              <w:rPr>
                <w:lang w:val="en-NZ"/>
              </w:rPr>
            </w:pPr>
            <w:r w:rsidRPr="00E95CFD">
              <w:t>Develop quick changeover procedures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95CFD">
            <w:pPr>
              <w:pStyle w:val="BodyText"/>
              <w:rPr>
                <w:lang w:val="en-NZ"/>
              </w:rPr>
            </w:pPr>
          </w:p>
        </w:tc>
      </w:tr>
      <w:tr w:rsidTr="00E95CFD">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95CFD">
            <w:pPr>
              <w:pStyle w:val="BodyText"/>
              <w:rPr>
                <w:lang w:val="en-NZ"/>
              </w:rPr>
            </w:pPr>
            <w:r w:rsidRPr="00E95CFD">
              <w:t>MSS405022A</w:t>
            </w:r>
          </w:p>
        </w:tc>
        <w:tc>
          <w:tcPr>
            <w:tcW w:w="4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95CFD">
            <w:pPr>
              <w:pStyle w:val="BodyText"/>
              <w:rPr>
                <w:lang w:val="en-NZ"/>
              </w:rPr>
            </w:pPr>
            <w:r w:rsidRPr="00E95CFD">
              <w:t>Design a process layout</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95CFD">
            <w:pPr>
              <w:pStyle w:val="BodyText"/>
              <w:rPr>
                <w:lang w:val="en-NZ"/>
              </w:rPr>
            </w:pPr>
          </w:p>
        </w:tc>
      </w:tr>
      <w:tr w:rsidTr="00E95CFD">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95CFD">
            <w:pPr>
              <w:pStyle w:val="BodyText"/>
              <w:rPr>
                <w:lang w:val="en-NZ"/>
              </w:rPr>
            </w:pPr>
            <w:r w:rsidRPr="00E95CFD">
              <w:t>MSS405023A</w:t>
            </w:r>
          </w:p>
        </w:tc>
        <w:tc>
          <w:tcPr>
            <w:tcW w:w="4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95CFD">
            <w:pPr>
              <w:pStyle w:val="BodyText"/>
              <w:rPr>
                <w:lang w:val="en-NZ"/>
              </w:rPr>
            </w:pPr>
            <w:r w:rsidRPr="00E95CFD">
              <w:t>Develop a levelled pull sys</w:t>
            </w:r>
            <w:r w:rsidRPr="00E95CFD">
              <w:t>tem for operations and processes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95CFD">
            <w:pPr>
              <w:pStyle w:val="BodyText"/>
              <w:rPr>
                <w:lang w:val="en-NZ"/>
              </w:rPr>
            </w:pPr>
          </w:p>
        </w:tc>
      </w:tr>
      <w:tr w:rsidTr="00E95CFD">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95CFD">
            <w:pPr>
              <w:pStyle w:val="BodyText"/>
              <w:rPr>
                <w:lang w:val="en-NZ"/>
              </w:rPr>
            </w:pPr>
            <w:r w:rsidRPr="00E95CFD">
              <w:t>MSS405024A</w:t>
            </w:r>
          </w:p>
        </w:tc>
        <w:tc>
          <w:tcPr>
            <w:tcW w:w="4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95CFD">
            <w:pPr>
              <w:pStyle w:val="BodyText"/>
              <w:rPr>
                <w:lang w:val="en-NZ"/>
              </w:rPr>
            </w:pPr>
            <w:r w:rsidRPr="00E95CFD">
              <w:t>Apply the theory of constraints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95CFD">
            <w:pPr>
              <w:pStyle w:val="BodyText"/>
              <w:rPr>
                <w:lang w:val="en-NZ"/>
              </w:rPr>
            </w:pPr>
          </w:p>
        </w:tc>
      </w:tr>
      <w:tr w:rsidTr="00E95CFD">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95CFD">
            <w:pPr>
              <w:pStyle w:val="BodyText"/>
              <w:rPr>
                <w:lang w:val="en-NZ"/>
              </w:rPr>
            </w:pPr>
            <w:r w:rsidRPr="00E95CFD">
              <w:t>MSS405030A</w:t>
            </w:r>
          </w:p>
        </w:tc>
        <w:tc>
          <w:tcPr>
            <w:tcW w:w="4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95CFD">
            <w:pPr>
              <w:pStyle w:val="BodyText"/>
              <w:rPr>
                <w:lang w:val="en-NZ"/>
              </w:rPr>
            </w:pPr>
            <w:r w:rsidRPr="00E95CFD">
              <w:t>Optimise cost of product or service</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95CFD">
            <w:pPr>
              <w:pStyle w:val="BodyText"/>
              <w:rPr>
                <w:lang w:val="en-NZ"/>
              </w:rPr>
            </w:pPr>
          </w:p>
        </w:tc>
      </w:tr>
      <w:tr w:rsidTr="00E95CFD">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95CFD">
            <w:pPr>
              <w:pStyle w:val="BodyText"/>
              <w:rPr>
                <w:lang w:val="en-NZ"/>
              </w:rPr>
            </w:pPr>
            <w:r w:rsidRPr="00E95CFD">
              <w:t>MSS405031A</w:t>
            </w:r>
          </w:p>
        </w:tc>
        <w:tc>
          <w:tcPr>
            <w:tcW w:w="4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95CFD">
            <w:pPr>
              <w:pStyle w:val="BodyText"/>
              <w:rPr>
                <w:lang w:val="en-NZ"/>
              </w:rPr>
            </w:pPr>
            <w:r w:rsidRPr="00E95CFD">
              <w:t>Undertake value analysis of a product or process costs in terms of customer requirements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95CFD">
            <w:pPr>
              <w:pStyle w:val="BodyText"/>
              <w:rPr>
                <w:lang w:val="en-NZ"/>
              </w:rPr>
            </w:pPr>
          </w:p>
        </w:tc>
      </w:tr>
      <w:tr w:rsidTr="00E95CFD">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95CFD">
            <w:pPr>
              <w:pStyle w:val="BodyText"/>
              <w:rPr>
                <w:lang w:val="en-NZ"/>
              </w:rPr>
            </w:pPr>
            <w:r w:rsidRPr="00E95CFD">
              <w:t xml:space="preserve">MSS405032A </w:t>
            </w:r>
          </w:p>
        </w:tc>
        <w:tc>
          <w:tcPr>
            <w:tcW w:w="4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95CFD">
            <w:pPr>
              <w:pStyle w:val="BodyText"/>
              <w:rPr>
                <w:lang w:val="en-NZ"/>
              </w:rPr>
            </w:pPr>
            <w:r w:rsidRPr="00E95CFD">
              <w:t>Analyse cost implications of maintenance strategy</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95CFD">
            <w:pPr>
              <w:pStyle w:val="BodyText"/>
              <w:rPr>
                <w:lang w:val="en-NZ"/>
              </w:rPr>
            </w:pPr>
          </w:p>
        </w:tc>
      </w:tr>
      <w:tr w:rsidTr="00E95CFD">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95CFD">
            <w:pPr>
              <w:pStyle w:val="BodyText"/>
              <w:rPr>
                <w:lang w:val="en-NZ"/>
              </w:rPr>
            </w:pPr>
            <w:r w:rsidRPr="00E95CFD">
              <w:t>MSS405033A</w:t>
            </w:r>
          </w:p>
        </w:tc>
        <w:tc>
          <w:tcPr>
            <w:tcW w:w="4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95CFD">
            <w:pPr>
              <w:pStyle w:val="BodyText"/>
              <w:rPr>
                <w:lang w:val="en-NZ"/>
              </w:rPr>
            </w:pPr>
            <w:r w:rsidRPr="00E95CFD">
              <w:t>Optimise office systems to deliver to customer demand</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95CFD">
            <w:pPr>
              <w:pStyle w:val="BodyText"/>
              <w:rPr>
                <w:lang w:val="en-NZ"/>
              </w:rPr>
            </w:pPr>
          </w:p>
        </w:tc>
      </w:tr>
      <w:tr w:rsidTr="00E95CFD">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95CFD">
            <w:pPr>
              <w:pStyle w:val="BodyText"/>
              <w:rPr>
                <w:lang w:val="en-NZ"/>
              </w:rPr>
            </w:pPr>
            <w:r w:rsidRPr="00E95CFD">
              <w:t>MSS405040A</w:t>
            </w:r>
          </w:p>
        </w:tc>
        <w:tc>
          <w:tcPr>
            <w:tcW w:w="4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95CFD">
            <w:pPr>
              <w:pStyle w:val="BodyText"/>
              <w:rPr>
                <w:lang w:val="en-NZ"/>
              </w:rPr>
            </w:pPr>
            <w:r w:rsidRPr="00E95CFD">
              <w:t>Manage 5S system in an organisation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95CFD">
            <w:pPr>
              <w:pStyle w:val="BodyText"/>
              <w:rPr>
                <w:lang w:val="en-NZ"/>
              </w:rPr>
            </w:pPr>
          </w:p>
        </w:tc>
      </w:tr>
      <w:tr w:rsidTr="00E95CFD">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95CFD">
            <w:pPr>
              <w:pStyle w:val="BodyText"/>
              <w:rPr>
                <w:lang w:val="en-NZ"/>
              </w:rPr>
            </w:pPr>
            <w:r w:rsidRPr="00E95CFD">
              <w:t>MSS405050A</w:t>
            </w:r>
          </w:p>
        </w:tc>
        <w:tc>
          <w:tcPr>
            <w:tcW w:w="4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95CFD">
            <w:pPr>
              <w:pStyle w:val="BodyText"/>
              <w:rPr>
                <w:lang w:val="en-NZ"/>
              </w:rPr>
            </w:pPr>
            <w:r w:rsidRPr="00E95CFD">
              <w:t>Determine and improve process capability</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95CFD">
            <w:pPr>
              <w:pStyle w:val="BodyText"/>
              <w:rPr>
                <w:lang w:val="en-NZ"/>
              </w:rPr>
            </w:pPr>
            <w:r w:rsidRPr="00E95CFD">
              <w:t>*</w:t>
            </w:r>
          </w:p>
        </w:tc>
      </w:tr>
      <w:tr w:rsidTr="00E95CFD">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95CFD">
            <w:pPr>
              <w:pStyle w:val="BodyText"/>
              <w:rPr>
                <w:lang w:val="en-NZ"/>
              </w:rPr>
            </w:pPr>
            <w:r w:rsidRPr="00E95CFD">
              <w:t xml:space="preserve">MSS405052A </w:t>
            </w:r>
          </w:p>
        </w:tc>
        <w:tc>
          <w:tcPr>
            <w:tcW w:w="4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95CFD">
            <w:pPr>
              <w:pStyle w:val="BodyText"/>
              <w:rPr>
                <w:lang w:val="en-NZ"/>
              </w:rPr>
            </w:pPr>
            <w:r w:rsidRPr="00E95CFD">
              <w:t>Design an experiment</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95CFD">
            <w:pPr>
              <w:pStyle w:val="BodyText"/>
              <w:rPr>
                <w:lang w:val="en-NZ"/>
              </w:rPr>
            </w:pPr>
            <w:r w:rsidRPr="00E95CFD">
              <w:t>*</w:t>
            </w:r>
          </w:p>
        </w:tc>
      </w:tr>
      <w:tr w:rsidTr="00E95CFD">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95CFD">
            <w:pPr>
              <w:pStyle w:val="BodyText"/>
              <w:rPr>
                <w:lang w:val="en-NZ"/>
              </w:rPr>
            </w:pPr>
            <w:r w:rsidRPr="00E95CFD">
              <w:t>MSS405053A</w:t>
            </w:r>
          </w:p>
        </w:tc>
        <w:tc>
          <w:tcPr>
            <w:tcW w:w="4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95CFD">
            <w:pPr>
              <w:pStyle w:val="BodyText"/>
              <w:rPr>
                <w:lang w:val="en-NZ"/>
              </w:rPr>
            </w:pPr>
            <w:r w:rsidRPr="00E95CFD">
              <w:t>Manage application of six sigma for process control and improvement</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95CFD">
            <w:pPr>
              <w:pStyle w:val="BodyText"/>
              <w:rPr>
                <w:lang w:val="en-NZ"/>
              </w:rPr>
            </w:pPr>
            <w:r w:rsidRPr="00E95CFD">
              <w:t>*</w:t>
            </w:r>
          </w:p>
        </w:tc>
      </w:tr>
      <w:tr w:rsidTr="00E95CFD">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95CFD">
            <w:pPr>
              <w:pStyle w:val="BodyText"/>
              <w:rPr>
                <w:lang w:val="en-NZ"/>
              </w:rPr>
            </w:pPr>
            <w:r w:rsidRPr="00E95CFD">
              <w:t xml:space="preserve">MSS405070A </w:t>
            </w:r>
          </w:p>
        </w:tc>
        <w:tc>
          <w:tcPr>
            <w:tcW w:w="4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95CFD">
            <w:pPr>
              <w:pStyle w:val="BodyText"/>
              <w:rPr>
                <w:lang w:val="en-NZ"/>
              </w:rPr>
            </w:pPr>
            <w:r w:rsidRPr="00E95CFD">
              <w:t>Develop and manage sustainable energy practices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95CFD">
            <w:pPr>
              <w:pStyle w:val="BodyText"/>
              <w:rPr>
                <w:lang w:val="en-NZ"/>
              </w:rPr>
            </w:pPr>
          </w:p>
        </w:tc>
      </w:tr>
      <w:tr w:rsidTr="00E95CFD">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95CFD">
            <w:pPr>
              <w:pStyle w:val="BodyText"/>
              <w:rPr>
                <w:lang w:val="en-NZ"/>
              </w:rPr>
            </w:pPr>
            <w:r w:rsidRPr="00E95CFD">
              <w:t xml:space="preserve">MSS405081A </w:t>
            </w:r>
          </w:p>
        </w:tc>
        <w:tc>
          <w:tcPr>
            <w:tcW w:w="4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95CFD">
            <w:pPr>
              <w:pStyle w:val="BodyText"/>
              <w:rPr>
                <w:lang w:val="en-NZ"/>
              </w:rPr>
            </w:pPr>
            <w:r w:rsidRPr="00E95CFD">
              <w:t>Develop a proactive maintenance strategy</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95CFD">
            <w:pPr>
              <w:pStyle w:val="BodyText"/>
              <w:rPr>
                <w:lang w:val="en-NZ"/>
              </w:rPr>
            </w:pPr>
          </w:p>
        </w:tc>
      </w:tr>
      <w:tr w:rsidTr="00E95CFD">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95CFD">
            <w:pPr>
              <w:pStyle w:val="BodyText"/>
              <w:rPr>
                <w:lang w:val="en-NZ"/>
              </w:rPr>
            </w:pPr>
            <w:r w:rsidRPr="00E95CFD">
              <w:t>MSS405082A</w:t>
            </w:r>
          </w:p>
        </w:tc>
        <w:tc>
          <w:tcPr>
            <w:tcW w:w="4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95CFD">
            <w:pPr>
              <w:pStyle w:val="BodyText"/>
              <w:rPr>
                <w:lang w:val="en-NZ"/>
              </w:rPr>
            </w:pPr>
            <w:r w:rsidRPr="00E95CFD">
              <w:t>Adapt a proactive maintenance strategy to the process operations sector</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95CFD">
            <w:pPr>
              <w:pStyle w:val="BodyText"/>
              <w:rPr>
                <w:lang w:val="en-NZ"/>
              </w:rPr>
            </w:pPr>
            <w:r w:rsidRPr="00E95CFD">
              <w:t>*</w:t>
            </w:r>
          </w:p>
        </w:tc>
      </w:tr>
      <w:tr w:rsidTr="00E95CFD">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95CFD">
            <w:pPr>
              <w:pStyle w:val="BodyText"/>
              <w:rPr>
                <w:lang w:val="en-NZ"/>
              </w:rPr>
            </w:pPr>
            <w:r w:rsidRPr="00E95CFD">
              <w:t>MSS405083A</w:t>
            </w:r>
          </w:p>
        </w:tc>
        <w:tc>
          <w:tcPr>
            <w:tcW w:w="4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95CFD">
            <w:pPr>
              <w:pStyle w:val="BodyText"/>
              <w:rPr>
                <w:lang w:val="en-NZ"/>
              </w:rPr>
            </w:pPr>
            <w:r w:rsidRPr="00E95CFD">
              <w:t>Adapt a proactive maintenance strategy for a seasonal or cyclical business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95CFD">
            <w:pPr>
              <w:pStyle w:val="BodyText"/>
              <w:rPr>
                <w:lang w:val="en-NZ"/>
              </w:rPr>
            </w:pPr>
            <w:r w:rsidRPr="00E95CFD">
              <w:t>*</w:t>
            </w:r>
          </w:p>
        </w:tc>
      </w:tr>
      <w:tr w:rsidTr="00E95CFD">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95CFD">
            <w:pPr>
              <w:pStyle w:val="BodyText"/>
              <w:rPr>
                <w:lang w:val="en-NZ"/>
              </w:rPr>
            </w:pPr>
            <w:r w:rsidRPr="00E95CFD">
              <w:t>MSS017001A</w:t>
            </w:r>
          </w:p>
        </w:tc>
        <w:tc>
          <w:tcPr>
            <w:tcW w:w="4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95CFD">
            <w:pPr>
              <w:pStyle w:val="BodyText"/>
              <w:rPr>
                <w:lang w:val="en-NZ"/>
              </w:rPr>
            </w:pPr>
            <w:r w:rsidRPr="00E95CFD">
              <w:t>Analyse and determine organisational risk areas in sustainability</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95CFD">
            <w:pPr>
              <w:pStyle w:val="BodyText"/>
              <w:rPr>
                <w:lang w:val="en-NZ"/>
              </w:rPr>
            </w:pPr>
          </w:p>
        </w:tc>
      </w:tr>
      <w:tr w:rsidTr="00E95CFD">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95CFD">
            <w:pPr>
              <w:pStyle w:val="BodyText"/>
              <w:rPr>
                <w:lang w:val="en-NZ"/>
              </w:rPr>
            </w:pPr>
            <w:r w:rsidRPr="00E95CFD">
              <w:t>MSS017002A</w:t>
            </w:r>
          </w:p>
        </w:tc>
        <w:tc>
          <w:tcPr>
            <w:tcW w:w="4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95CFD">
            <w:pPr>
              <w:pStyle w:val="BodyText"/>
              <w:rPr>
                <w:lang w:val="en-NZ"/>
              </w:rPr>
            </w:pPr>
            <w:r w:rsidRPr="00E95CFD">
              <w:t>De</w:t>
            </w:r>
            <w:r w:rsidRPr="00E95CFD">
              <w:t>termine process loss through mass balancing</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95CFD">
            <w:pPr>
              <w:pStyle w:val="BodyText"/>
              <w:rPr>
                <w:lang w:val="en-NZ"/>
              </w:rPr>
            </w:pPr>
          </w:p>
        </w:tc>
      </w:tr>
      <w:tr w:rsidTr="00E95CFD">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95CFD">
            <w:pPr>
              <w:pStyle w:val="BodyText"/>
              <w:rPr>
                <w:lang w:val="en-NZ"/>
              </w:rPr>
            </w:pPr>
            <w:r w:rsidRPr="00E95CFD">
              <w:t>MSS017003A</w:t>
            </w:r>
          </w:p>
        </w:tc>
        <w:tc>
          <w:tcPr>
            <w:tcW w:w="4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95CFD">
            <w:pPr>
              <w:pStyle w:val="BodyText"/>
              <w:rPr>
                <w:lang w:val="en-NZ"/>
              </w:rPr>
            </w:pPr>
            <w:r w:rsidRPr="00E95CFD">
              <w:t>Identify and respond to external sustainability factors for an organisation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95CFD">
            <w:pPr>
              <w:pStyle w:val="BodyText"/>
              <w:rPr>
                <w:lang w:val="en-NZ"/>
              </w:rPr>
            </w:pPr>
          </w:p>
        </w:tc>
      </w:tr>
      <w:tr w:rsidTr="00E95CFD">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95CFD">
            <w:pPr>
              <w:pStyle w:val="BodyText"/>
              <w:rPr>
                <w:lang w:val="en-NZ"/>
              </w:rPr>
            </w:pPr>
            <w:r w:rsidRPr="00E95CFD">
              <w:t>MSS017004A</w:t>
            </w:r>
          </w:p>
        </w:tc>
        <w:tc>
          <w:tcPr>
            <w:tcW w:w="4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95CFD">
            <w:pPr>
              <w:pStyle w:val="BodyText"/>
              <w:rPr>
                <w:lang w:val="en-NZ"/>
              </w:rPr>
            </w:pPr>
            <w:r w:rsidRPr="00E95CFD">
              <w:t>Lead sustainable strategy deployment</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95CFD">
            <w:pPr>
              <w:pStyle w:val="BodyText"/>
              <w:rPr>
                <w:lang w:val="en-NZ"/>
              </w:rPr>
            </w:pPr>
          </w:p>
        </w:tc>
      </w:tr>
      <w:tr w:rsidTr="00E95CFD">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95CFD">
            <w:pPr>
              <w:pStyle w:val="BodyText"/>
              <w:rPr>
                <w:lang w:val="en-NZ"/>
              </w:rPr>
            </w:pPr>
            <w:r w:rsidRPr="00E95CFD">
              <w:t>MSS027002A</w:t>
            </w:r>
          </w:p>
        </w:tc>
        <w:tc>
          <w:tcPr>
            <w:tcW w:w="4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95CFD">
            <w:pPr>
              <w:pStyle w:val="BodyText"/>
              <w:rPr>
                <w:lang w:val="en-NZ"/>
              </w:rPr>
            </w:pPr>
            <w:r w:rsidRPr="00E95CFD">
              <w:t>Apply environmental legislation, codes and standards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95CFD">
            <w:pPr>
              <w:pStyle w:val="BodyText"/>
              <w:rPr>
                <w:lang w:val="en-NZ"/>
              </w:rPr>
            </w:pPr>
          </w:p>
        </w:tc>
      </w:tr>
      <w:tr w:rsidTr="00E95CFD">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95CFD">
            <w:pPr>
              <w:pStyle w:val="BodyText"/>
              <w:rPr>
                <w:lang w:val="en-NZ"/>
              </w:rPr>
            </w:pPr>
            <w:r w:rsidRPr="00E95CFD">
              <w:t>MSAENV672B</w:t>
            </w:r>
          </w:p>
        </w:tc>
        <w:tc>
          <w:tcPr>
            <w:tcW w:w="4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95CFD">
            <w:pPr>
              <w:pStyle w:val="BodyText"/>
              <w:rPr>
                <w:lang w:val="en-NZ"/>
              </w:rPr>
            </w:pPr>
            <w:r w:rsidRPr="00E95CFD">
              <w:t>Develop workplace policy and procedures for environmental sustainability</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95CFD">
            <w:pPr>
              <w:pStyle w:val="BodyText"/>
              <w:rPr>
                <w:lang w:val="en-NZ"/>
              </w:rPr>
            </w:pPr>
          </w:p>
        </w:tc>
      </w:tr>
      <w:tr w:rsidTr="00E95CFD">
        <w:tblPrEx>
          <w:tblW w:w="0" w:type="auto"/>
          <w:tblLayout w:type="fixed"/>
          <w:tblCellMar>
            <w:left w:w="62" w:type="dxa"/>
            <w:right w:w="62" w:type="dxa"/>
          </w:tblCellMar>
          <w:tblLook w:val="0000"/>
        </w:tblPrEx>
        <w:tc>
          <w:tcPr>
            <w:tcW w:w="9072" w:type="dxa"/>
            <w:gridSpan w:val="3"/>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95CFD" w:rsidP="00E95CFD">
            <w:pPr>
              <w:pStyle w:val="BodyText"/>
            </w:pPr>
          </w:p>
          <w:p w:rsidR="00000000" w:rsidRPr="00E95CFD" w:rsidP="00E95CFD">
            <w:pPr>
              <w:pStyle w:val="BodyText"/>
            </w:pPr>
            <w:r w:rsidRPr="00E95CFD">
              <w:t xml:space="preserve">A maximum of </w:t>
            </w:r>
            <w:r w:rsidRPr="00E95CFD">
              <w:rPr>
                <w:rStyle w:val="SpecialBold"/>
              </w:rPr>
              <w:t>one (1)</w:t>
            </w:r>
            <w:r w:rsidRPr="00E95CFD">
              <w:t xml:space="preserve"> Group C unit may be selected from other qualifications in this Training Package, other endorsed Training Packages and accredited courses where the u</w:t>
            </w:r>
            <w:r w:rsidRPr="00E95CFD">
              <w:t>nit is available at Diploma level or above. Registered Training Organisations should seek a determination from Manufacturing Skills Australia regarding the suitability of any unit proposed for use in this qualification.</w:t>
            </w:r>
          </w:p>
        </w:tc>
      </w:tr>
    </w:tbl>
    <w:p w:rsidR="008969BC" w:rsidP="00E95CFD">
      <w:pPr>
        <w:pStyle w:val="BodyText"/>
      </w:pPr>
    </w:p>
    <w:p w:rsidR="008969BC" w:rsidP="00E95CFD">
      <w:pPr>
        <w:pStyle w:val="BodyText"/>
      </w:pPr>
    </w:p>
    <w:p w:rsidR="00000000" w:rsidRPr="00E95CFD" w:rsidP="00E95CFD">
      <w:pPr>
        <w:pStyle w:val="Heading1"/>
      </w:pPr>
      <w:bookmarkStart w:id="8" w:name="O_616807"/>
      <w:bookmarkEnd w:id="8"/>
      <w:r w:rsidRPr="00E95CFD">
        <w:t>Custom Content Section</w:t>
      </w:r>
    </w:p>
    <w:p w:rsidR="00000000" w:rsidRPr="00E95CFD" w:rsidP="00E95CFD">
      <w:pPr>
        <w:pStyle w:val="BodyText"/>
      </w:pPr>
      <w:r w:rsidRPr="00E95CFD">
        <w:t>Not applicable.</w:t>
      </w:r>
    </w:p>
    <w:p w:rsidR="00000000" w:rsidRPr="00E95CFD" w:rsidP="00E95CFD"/>
    <w:sectPr w:rsidSect="00E95CFD">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3"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5CF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5CFD" w:rsidRPr="008969BC" w:rsidP="008969B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5CF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69BC" w:rsidP="00E95CF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8969BC" w:rsidP="00E95CFD">
    <w:pPr>
      <w:pStyle w:val="Footer"/>
      <w:framePr w:wrap="around"/>
    </w:pPr>
    <w:r>
      <w:t xml:space="preserve">© Commonwealth of Australia, </w:t>
    </w:r>
    <w:r>
      <w:fldChar w:fldCharType="begin"/>
    </w:r>
    <w:r>
      <w:instrText xml:space="preserve"> DATE  \@ "yyyy"  \* MERGEFORMAT </w:instrText>
    </w:r>
    <w:r>
      <w:fldChar w:fldCharType="separate"/>
    </w:r>
    <w:r>
      <w:rPr>
        <w:noProof/>
      </w:rPr>
      <w:t>2015</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8969BC" w:rsidP="00E95CF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5CF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5CFD" w:rsidRPr="008969BC" w:rsidP="008969BC">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5CF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69BC" w:rsidRPr="002D2AF8" w:rsidP="00E95CFD">
    <w:pPr>
      <w:pStyle w:val="Header"/>
      <w:framePr w:wrap="around"/>
    </w:pPr>
    <w:r>
      <w:fldChar w:fldCharType="begin"/>
    </w:r>
    <w:r>
      <w:instrText xml:space="preserve"> TITLE   \* MERGEFORMAT </w:instrText>
    </w:r>
    <w:r>
      <w:fldChar w:fldCharType="separate"/>
    </w:r>
    <w:r>
      <w:t>MSS80312 Graduate Diploma of Competitive Systems and Practices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7 January 2015</w:t>
    </w:r>
    <w:r>
      <w:fldChar w:fldCharType="end"/>
    </w:r>
  </w:p>
  <w:p w:rsidR="008969BC" w:rsidP="00E95CF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0C90731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6A9AF6C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95CF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95CFD"/>
    <w:pPr>
      <w:spacing w:before="360" w:after="60"/>
      <w:outlineLvl w:val="0"/>
    </w:pPr>
    <w:rPr>
      <w:sz w:val="32"/>
    </w:rPr>
  </w:style>
  <w:style w:type="paragraph" w:styleId="Heading2">
    <w:name w:val="heading 2"/>
    <w:basedOn w:val="HeadingBase"/>
    <w:next w:val="BodyText"/>
    <w:link w:val="Heading2Char"/>
    <w:qFormat/>
    <w:rsid w:val="00E95CFD"/>
    <w:pPr>
      <w:keepLines/>
      <w:spacing w:before="240" w:after="120"/>
      <w:outlineLvl w:val="1"/>
    </w:pPr>
    <w:rPr>
      <w:sz w:val="28"/>
      <w:szCs w:val="40"/>
    </w:rPr>
  </w:style>
  <w:style w:type="paragraph" w:styleId="Heading3">
    <w:name w:val="heading 3"/>
    <w:basedOn w:val="HeadingBase"/>
    <w:next w:val="BodyText"/>
    <w:link w:val="Heading3Char"/>
    <w:qFormat/>
    <w:rsid w:val="00E95CFD"/>
    <w:pPr>
      <w:spacing w:before="180" w:after="120"/>
      <w:outlineLvl w:val="2"/>
    </w:pPr>
    <w:rPr>
      <w:spacing w:val="-10"/>
      <w:kern w:val="32"/>
    </w:rPr>
  </w:style>
  <w:style w:type="paragraph" w:styleId="Heading4">
    <w:name w:val="heading 4"/>
    <w:basedOn w:val="HeadingBase"/>
    <w:next w:val="BodyText"/>
    <w:link w:val="Heading4Char"/>
    <w:qFormat/>
    <w:rsid w:val="00E95CFD"/>
    <w:pPr>
      <w:spacing w:before="160" w:after="120"/>
      <w:outlineLvl w:val="3"/>
    </w:pPr>
    <w:rPr>
      <w:sz w:val="22"/>
    </w:rPr>
  </w:style>
  <w:style w:type="paragraph" w:styleId="Heading5">
    <w:name w:val="heading 5"/>
    <w:basedOn w:val="HeadingBase"/>
    <w:next w:val="Normal"/>
    <w:link w:val="Heading5Char"/>
    <w:qFormat/>
    <w:rsid w:val="00E95CFD"/>
    <w:pPr>
      <w:spacing w:before="80"/>
      <w:outlineLvl w:val="4"/>
    </w:pPr>
    <w:rPr>
      <w:color w:val="918585"/>
      <w:sz w:val="20"/>
    </w:rPr>
  </w:style>
  <w:style w:type="paragraph" w:styleId="Heading6">
    <w:name w:val="heading 6"/>
    <w:basedOn w:val="HeadingBase"/>
    <w:next w:val="Normal"/>
    <w:link w:val="Heading6Char"/>
    <w:qFormat/>
    <w:rsid w:val="00E95CFD"/>
    <w:pPr>
      <w:spacing w:before="60"/>
      <w:outlineLvl w:val="5"/>
    </w:pPr>
    <w:rPr>
      <w:color w:val="918585"/>
      <w:sz w:val="20"/>
    </w:rPr>
  </w:style>
  <w:style w:type="paragraph" w:styleId="Heading7">
    <w:name w:val="heading 7"/>
    <w:basedOn w:val="Normal"/>
    <w:next w:val="Normal"/>
    <w:link w:val="Heading7Char"/>
    <w:qFormat/>
    <w:rsid w:val="00E95CFD"/>
    <w:pPr>
      <w:ind w:left="720"/>
      <w:outlineLvl w:val="6"/>
    </w:pPr>
    <w:rPr>
      <w:i/>
    </w:rPr>
  </w:style>
  <w:style w:type="paragraph" w:styleId="Heading8">
    <w:name w:val="heading 8"/>
    <w:basedOn w:val="Normal"/>
    <w:next w:val="Normal"/>
    <w:link w:val="Heading8Char"/>
    <w:qFormat/>
    <w:rsid w:val="00E95CFD"/>
    <w:pPr>
      <w:ind w:left="720"/>
      <w:outlineLvl w:val="7"/>
    </w:pPr>
    <w:rPr>
      <w:i/>
    </w:rPr>
  </w:style>
  <w:style w:type="paragraph" w:styleId="Heading9">
    <w:name w:val="heading 9"/>
    <w:basedOn w:val="Normal"/>
    <w:next w:val="Normal"/>
    <w:link w:val="Heading9Char"/>
    <w:qFormat/>
    <w:rsid w:val="00E95CFD"/>
    <w:pPr>
      <w:ind w:left="720"/>
      <w:outlineLvl w:val="8"/>
    </w:pPr>
    <w:rPr>
      <w:i/>
    </w:rPr>
  </w:style>
  <w:style w:type="character" w:default="1" w:styleId="DefaultParagraphFont">
    <w:name w:val="Default Paragraph Font"/>
    <w:uiPriority w:val="1"/>
    <w:unhideWhenUsed/>
    <w:rsid w:val="00E95CF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95CFD"/>
  </w:style>
  <w:style w:type="character" w:customStyle="1" w:styleId="Heading1Char">
    <w:name w:val="Heading 1 Char"/>
    <w:basedOn w:val="DefaultParagraphFont"/>
    <w:link w:val="Heading1"/>
    <w:rsid w:val="00E95CFD"/>
    <w:rPr>
      <w:rFonts w:ascii="Times New Roman" w:eastAsia="Times New Roman" w:hAnsi="Times New Roman" w:cs="Times New Roman"/>
      <w:b/>
      <w:sz w:val="32"/>
      <w:szCs w:val="20"/>
      <w:lang w:eastAsia="en-US"/>
    </w:rPr>
  </w:style>
  <w:style w:type="paragraph" w:styleId="BodyText">
    <w:name w:val="Body Text"/>
    <w:basedOn w:val="Normal"/>
    <w:link w:val="BodyTextChar"/>
    <w:rsid w:val="00E95CFD"/>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E95CFD"/>
    <w:rPr>
      <w:rFonts w:ascii="Times New Roman" w:eastAsia="Times New Roman" w:hAnsi="Times New Roman" w:cs="Times New Roman"/>
      <w:sz w:val="24"/>
      <w:lang w:eastAsia="en-US"/>
    </w:rPr>
  </w:style>
  <w:style w:type="paragraph" w:styleId="ListBullet">
    <w:name w:val="List Bullet"/>
    <w:basedOn w:val="List"/>
    <w:rsid w:val="00E95CFD"/>
    <w:pPr>
      <w:numPr>
        <w:numId w:val="12"/>
      </w:numPr>
      <w:tabs>
        <w:tab w:val="clear" w:pos="340"/>
      </w:tabs>
      <w:spacing w:before="40" w:after="40"/>
    </w:pPr>
  </w:style>
  <w:style w:type="character" w:customStyle="1" w:styleId="SpecialBold">
    <w:name w:val="Special Bold"/>
    <w:basedOn w:val="DefaultParagraphFont"/>
    <w:rsid w:val="00E95CFD"/>
    <w:rPr>
      <w:b/>
      <w:spacing w:val="0"/>
    </w:rPr>
  </w:style>
  <w:style w:type="paragraph" w:customStyle="1" w:styleId="SuperHeading">
    <w:name w:val="SuperHeading"/>
    <w:basedOn w:val="Normal"/>
    <w:rsid w:val="00E95CFD"/>
    <w:pPr>
      <w:spacing w:before="240" w:after="120"/>
      <w:outlineLvl w:val="0"/>
    </w:pPr>
    <w:rPr>
      <w:rFonts w:ascii="Times New Roman" w:hAnsi="Times New Roman"/>
      <w:b/>
      <w:sz w:val="32"/>
    </w:rPr>
  </w:style>
  <w:style w:type="paragraph" w:customStyle="1" w:styleId="AllowPageBreak">
    <w:name w:val="AllowPageBreak"/>
    <w:rsid w:val="00E95CF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E95CF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95CF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95CF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95CF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95CF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95CF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95CF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95CFD"/>
    <w:rPr>
      <w:rFonts w:ascii="Courier New" w:eastAsia="Times New Roman" w:hAnsi="Courier New" w:cs="Times New Roman"/>
      <w:i/>
      <w:szCs w:val="20"/>
      <w:lang w:eastAsia="en-US"/>
    </w:rPr>
  </w:style>
  <w:style w:type="paragraph" w:customStyle="1" w:styleId="HeadingBase">
    <w:name w:val="Heading Base"/>
    <w:rsid w:val="00E95CF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95CFD"/>
    <w:pPr>
      <w:tabs>
        <w:tab w:val="right" w:leader="dot" w:pos="9072"/>
      </w:tabs>
      <w:ind w:left="567"/>
    </w:pPr>
    <w:rPr>
      <w:szCs w:val="22"/>
    </w:rPr>
  </w:style>
  <w:style w:type="paragraph" w:customStyle="1" w:styleId="TOCBase">
    <w:name w:val="TOC Base"/>
    <w:rsid w:val="00E95CF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95CFD"/>
    <w:pPr>
      <w:tabs>
        <w:tab w:val="right" w:leader="dot" w:pos="9072"/>
      </w:tabs>
      <w:spacing w:before="40" w:after="40"/>
      <w:ind w:left="284"/>
    </w:pPr>
    <w:rPr>
      <w:rFonts w:ascii="Times New Roman" w:hAnsi="Times New Roman"/>
    </w:rPr>
  </w:style>
  <w:style w:type="paragraph" w:styleId="TOC1">
    <w:name w:val="toc 1"/>
    <w:basedOn w:val="TOCBase"/>
    <w:next w:val="Normal"/>
    <w:rsid w:val="00E95CF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95CF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95CFD"/>
    <w:rPr>
      <w:rFonts w:ascii="Times New Roman" w:eastAsia="Times New Roman" w:hAnsi="Times New Roman" w:cs="Times New Roman"/>
      <w:sz w:val="16"/>
      <w:lang w:eastAsia="en-US"/>
    </w:rPr>
  </w:style>
  <w:style w:type="paragraph" w:styleId="Title">
    <w:name w:val="Title"/>
    <w:basedOn w:val="HeadingBase"/>
    <w:link w:val="TitleChar"/>
    <w:qFormat/>
    <w:rsid w:val="00E95CFD"/>
    <w:pPr>
      <w:spacing w:before="5040"/>
      <w:jc w:val="center"/>
    </w:pPr>
    <w:rPr>
      <w:sz w:val="48"/>
      <w:szCs w:val="72"/>
      <w:lang w:val="en-US"/>
    </w:rPr>
  </w:style>
  <w:style w:type="character" w:customStyle="1" w:styleId="TitleChar">
    <w:name w:val="Title Char"/>
    <w:basedOn w:val="DefaultParagraphFont"/>
    <w:link w:val="Title"/>
    <w:rsid w:val="00E95CF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95CFD"/>
    <w:pPr>
      <w:tabs>
        <w:tab w:val="left" w:pos="3600"/>
        <w:tab w:val="left" w:pos="3958"/>
      </w:tabs>
    </w:pPr>
  </w:style>
  <w:style w:type="paragraph" w:styleId="List">
    <w:name w:val="List"/>
    <w:basedOn w:val="BodyText"/>
    <w:next w:val="BodyText"/>
    <w:rsid w:val="00E95CFD"/>
    <w:pPr>
      <w:tabs>
        <w:tab w:val="left" w:pos="340"/>
      </w:tabs>
      <w:spacing w:before="60" w:after="60"/>
      <w:ind w:left="340" w:hanging="340"/>
    </w:pPr>
  </w:style>
  <w:style w:type="paragraph" w:customStyle="1" w:styleId="Note">
    <w:name w:val="Note"/>
    <w:basedOn w:val="BodyText"/>
    <w:rsid w:val="00E95CF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95CFD"/>
    <w:pPr>
      <w:framePr w:wrap="auto" w:hAnchor="text" w:y="6049"/>
    </w:pPr>
    <w:rPr>
      <w:color w:val="000000"/>
      <w:sz w:val="40"/>
    </w:rPr>
  </w:style>
  <w:style w:type="paragraph" w:customStyle="1" w:styleId="TOCTitle">
    <w:name w:val="TOCTitle"/>
    <w:basedOn w:val="Heading1"/>
    <w:rsid w:val="00E95CFD"/>
    <w:pPr>
      <w:spacing w:after="240"/>
      <w:jc w:val="center"/>
      <w:outlineLvl w:val="9"/>
    </w:pPr>
    <w:rPr>
      <w:caps/>
    </w:rPr>
  </w:style>
  <w:style w:type="paragraph" w:customStyle="1" w:styleId="Version">
    <w:name w:val="Version"/>
    <w:rsid w:val="00E95CFD"/>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E95CFD"/>
    <w:pPr>
      <w:numPr>
        <w:numId w:val="13"/>
      </w:numPr>
      <w:tabs>
        <w:tab w:val="clear" w:pos="680"/>
      </w:tabs>
    </w:pPr>
  </w:style>
  <w:style w:type="paragraph" w:styleId="Index1">
    <w:name w:val="index 1"/>
    <w:basedOn w:val="Normal"/>
    <w:next w:val="Normal"/>
    <w:semiHidden/>
    <w:rsid w:val="00E95CFD"/>
    <w:pPr>
      <w:keepNext w:val="0"/>
      <w:tabs>
        <w:tab w:val="right" w:pos="4176"/>
      </w:tabs>
      <w:ind w:left="198" w:hanging="198"/>
    </w:pPr>
    <w:rPr>
      <w:rFonts w:ascii="Garamond" w:hAnsi="Garamond"/>
    </w:rPr>
  </w:style>
  <w:style w:type="paragraph" w:styleId="IndexHeading">
    <w:name w:val="index heading"/>
    <w:basedOn w:val="Normal"/>
    <w:next w:val="Index1"/>
    <w:semiHidden/>
    <w:rsid w:val="00E95CFD"/>
    <w:pPr>
      <w:spacing w:before="120" w:after="120"/>
    </w:pPr>
    <w:rPr>
      <w:rFonts w:ascii="Arial" w:hAnsi="Arial"/>
      <w:b/>
      <w:color w:val="918585"/>
      <w:sz w:val="24"/>
    </w:rPr>
  </w:style>
  <w:style w:type="paragraph" w:styleId="Header">
    <w:name w:val="header"/>
    <w:basedOn w:val="Normal"/>
    <w:link w:val="HeaderChar"/>
    <w:rsid w:val="00E95CF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95CFD"/>
    <w:rPr>
      <w:rFonts w:ascii="Times New Roman" w:eastAsia="Times New Roman" w:hAnsi="Times New Roman" w:cs="Times New Roman"/>
      <w:sz w:val="16"/>
      <w:szCs w:val="20"/>
      <w:lang w:val="en-GB" w:eastAsia="en-US"/>
    </w:rPr>
  </w:style>
  <w:style w:type="paragraph" w:customStyle="1" w:styleId="Chapter">
    <w:name w:val="Chapter"/>
    <w:basedOn w:val="Normal"/>
    <w:rsid w:val="00E95CFD"/>
    <w:pPr>
      <w:spacing w:before="240"/>
    </w:pPr>
    <w:rPr>
      <w:rFonts w:ascii="Times New Roman" w:hAnsi="Times New Roman"/>
      <w:smallCaps/>
      <w:spacing w:val="80"/>
      <w:sz w:val="28"/>
    </w:rPr>
  </w:style>
  <w:style w:type="paragraph" w:customStyle="1" w:styleId="InChapter">
    <w:name w:val="InChapter"/>
    <w:basedOn w:val="Heading3"/>
    <w:rsid w:val="00E95CFD"/>
    <w:pPr>
      <w:spacing w:after="240"/>
      <w:outlineLvl w:val="9"/>
    </w:pPr>
    <w:rPr>
      <w:noProof/>
    </w:rPr>
  </w:style>
  <w:style w:type="paragraph" w:styleId="Index2">
    <w:name w:val="index 2"/>
    <w:basedOn w:val="Normal"/>
    <w:next w:val="Normal"/>
    <w:semiHidden/>
    <w:rsid w:val="00E95CFD"/>
    <w:pPr>
      <w:tabs>
        <w:tab w:val="right" w:pos="4176"/>
      </w:tabs>
      <w:ind w:left="568" w:hanging="284"/>
    </w:pPr>
    <w:rPr>
      <w:rFonts w:ascii="Garamond" w:hAnsi="Garamond"/>
    </w:rPr>
  </w:style>
  <w:style w:type="paragraph" w:customStyle="1" w:styleId="Byline">
    <w:name w:val="Byline"/>
    <w:rsid w:val="00E95CF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95CFD"/>
    <w:pPr>
      <w:tabs>
        <w:tab w:val="clear" w:pos="3600"/>
        <w:tab w:val="clear" w:pos="3958"/>
      </w:tabs>
      <w:jc w:val="right"/>
    </w:pPr>
  </w:style>
  <w:style w:type="character" w:styleId="Emphasis">
    <w:name w:val="Emphasis"/>
    <w:basedOn w:val="DefaultParagraphFont"/>
    <w:qFormat/>
    <w:rsid w:val="00E95CFD"/>
    <w:rPr>
      <w:i/>
    </w:rPr>
  </w:style>
  <w:style w:type="paragraph" w:styleId="Caption">
    <w:name w:val="caption"/>
    <w:basedOn w:val="BodyText"/>
    <w:next w:val="Normal"/>
    <w:qFormat/>
    <w:rsid w:val="00E95CFD"/>
    <w:pPr>
      <w:framePr w:w="2268" w:hSpace="181" w:vSpace="181" w:wrap="around" w:vAnchor="text" w:hAnchor="page" w:x="1135" w:y="285" w:anchorLock="1"/>
    </w:pPr>
    <w:rPr>
      <w:i/>
    </w:rPr>
  </w:style>
  <w:style w:type="paragraph" w:customStyle="1" w:styleId="MiniTOCTitle">
    <w:name w:val="MiniTOCTitle"/>
    <w:basedOn w:val="Heading4"/>
    <w:rsid w:val="00E95CFD"/>
    <w:pPr>
      <w:spacing w:before="240"/>
      <w:outlineLvl w:val="9"/>
    </w:pPr>
    <w:rPr>
      <w:noProof/>
      <w:sz w:val="24"/>
    </w:rPr>
  </w:style>
  <w:style w:type="paragraph" w:customStyle="1" w:styleId="MiniTOCItem">
    <w:name w:val="MiniTOCItem"/>
    <w:basedOn w:val="ListBullet"/>
    <w:rsid w:val="00E95CFD"/>
    <w:pPr>
      <w:numPr>
        <w:numId w:val="0"/>
      </w:numPr>
      <w:tabs>
        <w:tab w:val="right" w:leader="dot" w:pos="6521"/>
      </w:tabs>
      <w:spacing w:before="0" w:after="0"/>
    </w:pPr>
  </w:style>
  <w:style w:type="paragraph" w:customStyle="1" w:styleId="TOFTitle">
    <w:name w:val="TOFTitle"/>
    <w:basedOn w:val="TOCTitle"/>
    <w:rsid w:val="00E95CFD"/>
  </w:style>
  <w:style w:type="paragraph" w:styleId="TableofFigures">
    <w:name w:val="table of figures"/>
    <w:basedOn w:val="Normal"/>
    <w:next w:val="Normal"/>
    <w:semiHidden/>
    <w:rsid w:val="00E95CFD"/>
    <w:pPr>
      <w:tabs>
        <w:tab w:val="right" w:leader="dot" w:pos="9072"/>
      </w:tabs>
      <w:ind w:left="970" w:hanging="403"/>
    </w:pPr>
    <w:rPr>
      <w:rFonts w:ascii="Times New Roman" w:hAnsi="Times New Roman"/>
      <w:b/>
    </w:rPr>
  </w:style>
  <w:style w:type="paragraph" w:styleId="ListNumber">
    <w:name w:val="List Number"/>
    <w:basedOn w:val="List"/>
    <w:rsid w:val="00E95CFD"/>
    <w:pPr>
      <w:numPr>
        <w:numId w:val="10"/>
      </w:numPr>
    </w:pPr>
  </w:style>
  <w:style w:type="character" w:customStyle="1" w:styleId="WingdingSymbols">
    <w:name w:val="Wingding Symbols"/>
    <w:rsid w:val="00E95CFD"/>
    <w:rPr>
      <w:rFonts w:ascii="Wingdings" w:hAnsi="Wingdings"/>
    </w:rPr>
  </w:style>
  <w:style w:type="paragraph" w:customStyle="1" w:styleId="TableHeading">
    <w:name w:val="Table Heading"/>
    <w:basedOn w:val="HeadingBase"/>
    <w:rsid w:val="00E95CFD"/>
    <w:pPr>
      <w:keepLines/>
      <w:pBdr>
        <w:bottom w:val="single" w:sz="6" w:space="1" w:color="918585"/>
      </w:pBdr>
      <w:spacing w:before="240"/>
    </w:pPr>
  </w:style>
  <w:style w:type="character" w:customStyle="1" w:styleId="HotSpot">
    <w:name w:val="HotSpot"/>
    <w:rsid w:val="00E95CFD"/>
    <w:rPr>
      <w:color w:val="0033CC"/>
      <w:u w:val="none"/>
    </w:rPr>
  </w:style>
  <w:style w:type="paragraph" w:customStyle="1" w:styleId="BodyTextRight">
    <w:name w:val="Body Text Right"/>
    <w:basedOn w:val="BodyText"/>
    <w:rsid w:val="00E95CFD"/>
    <w:pPr>
      <w:spacing w:before="0" w:after="0"/>
      <w:jc w:val="right"/>
    </w:pPr>
  </w:style>
  <w:style w:type="paragraph" w:styleId="Index3">
    <w:name w:val="index 3"/>
    <w:basedOn w:val="ListNumber2"/>
    <w:next w:val="Normal"/>
    <w:semiHidden/>
    <w:rsid w:val="00E95CFD"/>
    <w:pPr>
      <w:numPr>
        <w:numId w:val="0"/>
      </w:numPr>
      <w:tabs>
        <w:tab w:val="right" w:leader="dot" w:pos="4176"/>
      </w:tabs>
    </w:pPr>
  </w:style>
  <w:style w:type="paragraph" w:styleId="ListNumber2">
    <w:name w:val="List Number 2"/>
    <w:basedOn w:val="List2"/>
    <w:rsid w:val="00E95CFD"/>
    <w:pPr>
      <w:numPr>
        <w:numId w:val="9"/>
      </w:numPr>
      <w:tabs>
        <w:tab w:val="clear" w:pos="1060"/>
      </w:tabs>
    </w:pPr>
  </w:style>
  <w:style w:type="paragraph" w:customStyle="1" w:styleId="MarginNote">
    <w:name w:val="Margin Note"/>
    <w:basedOn w:val="BodyText"/>
    <w:rsid w:val="00E95CF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95CF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95CF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95CFD"/>
    <w:rPr>
      <w:sz w:val="32"/>
    </w:rPr>
  </w:style>
  <w:style w:type="paragraph" w:customStyle="1" w:styleId="HeadingProcedure">
    <w:name w:val="Heading Procedure"/>
    <w:basedOn w:val="HeadingBase"/>
    <w:next w:val="Normal"/>
    <w:rsid w:val="00E95CFD"/>
    <w:pPr>
      <w:tabs>
        <w:tab w:val="left" w:pos="0"/>
      </w:tabs>
      <w:spacing w:before="120" w:after="60"/>
    </w:pPr>
    <w:rPr>
      <w:i/>
      <w:color w:val="918585"/>
      <w:sz w:val="22"/>
    </w:rPr>
  </w:style>
  <w:style w:type="paragraph" w:customStyle="1" w:styleId="TableBodyText">
    <w:name w:val="Table Body Text"/>
    <w:basedOn w:val="BodyText"/>
    <w:rsid w:val="00E95CFD"/>
    <w:pPr>
      <w:spacing w:before="60" w:after="60"/>
    </w:pPr>
  </w:style>
  <w:style w:type="paragraph" w:styleId="ListContinue">
    <w:name w:val="List Continue"/>
    <w:basedOn w:val="List"/>
    <w:rsid w:val="00E95CFD"/>
    <w:pPr>
      <w:ind w:firstLine="0"/>
    </w:pPr>
  </w:style>
  <w:style w:type="paragraph" w:customStyle="1" w:styleId="ListNote">
    <w:name w:val="List Note"/>
    <w:basedOn w:val="List"/>
    <w:rsid w:val="00E95CFD"/>
    <w:pPr>
      <w:pBdr>
        <w:top w:val="single" w:sz="6" w:space="2" w:color="918585"/>
        <w:bottom w:val="single" w:sz="6" w:space="2" w:color="918585"/>
      </w:pBdr>
      <w:tabs>
        <w:tab w:val="left" w:pos="1021"/>
      </w:tabs>
      <w:ind w:firstLine="0"/>
    </w:pPr>
  </w:style>
  <w:style w:type="paragraph" w:customStyle="1" w:styleId="Warning">
    <w:name w:val="Warning"/>
    <w:basedOn w:val="BodyText"/>
    <w:rsid w:val="00E95CFD"/>
    <w:pPr>
      <w:shd w:val="clear" w:color="auto" w:fill="D9D9D9"/>
      <w:tabs>
        <w:tab w:val="left" w:pos="992"/>
      </w:tabs>
      <w:ind w:left="119" w:right="119"/>
    </w:pPr>
    <w:rPr>
      <w:sz w:val="20"/>
    </w:rPr>
  </w:style>
  <w:style w:type="paragraph" w:customStyle="1" w:styleId="MarginIcons">
    <w:name w:val="Margin Icons"/>
    <w:basedOn w:val="BodyText"/>
    <w:rsid w:val="00E95CF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95CFD"/>
    <w:rPr>
      <w:rFonts w:ascii="Courier New" w:hAnsi="Courier New"/>
    </w:rPr>
  </w:style>
  <w:style w:type="paragraph" w:customStyle="1" w:styleId="NoteBullet">
    <w:name w:val="Note Bullet"/>
    <w:basedOn w:val="Note"/>
    <w:rsid w:val="00E95CFD"/>
    <w:pPr>
      <w:tabs>
        <w:tab w:val="clear" w:pos="680"/>
      </w:tabs>
      <w:spacing w:before="60" w:after="60"/>
    </w:pPr>
  </w:style>
  <w:style w:type="paragraph" w:customStyle="1" w:styleId="SubHeading2">
    <w:name w:val="SubHeading2"/>
    <w:basedOn w:val="HeadingBase"/>
    <w:rsid w:val="00E95CFD"/>
    <w:pPr>
      <w:spacing w:before="240" w:after="60"/>
    </w:pPr>
    <w:rPr>
      <w:sz w:val="20"/>
    </w:rPr>
  </w:style>
  <w:style w:type="paragraph" w:customStyle="1" w:styleId="SubHeading1">
    <w:name w:val="SubHeading1"/>
    <w:basedOn w:val="HeadingBase"/>
    <w:rsid w:val="00E95CFD"/>
    <w:pPr>
      <w:spacing w:before="240" w:after="60"/>
    </w:pPr>
    <w:rPr>
      <w:color w:val="918585"/>
      <w:sz w:val="22"/>
    </w:rPr>
  </w:style>
  <w:style w:type="paragraph" w:customStyle="1" w:styleId="SideHeading">
    <w:name w:val="Side Heading"/>
    <w:basedOn w:val="HeadingBase"/>
    <w:rsid w:val="00E95CF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95CFD"/>
    <w:pPr>
      <w:tabs>
        <w:tab w:val="num" w:pos="360"/>
      </w:tabs>
    </w:pPr>
  </w:style>
  <w:style w:type="paragraph" w:styleId="PlainText">
    <w:name w:val="Plain Text"/>
    <w:basedOn w:val="Normal"/>
    <w:link w:val="PlainTextChar"/>
    <w:rsid w:val="00E95CFD"/>
    <w:rPr>
      <w:sz w:val="20"/>
    </w:rPr>
  </w:style>
  <w:style w:type="character" w:customStyle="1" w:styleId="PlainTextChar">
    <w:name w:val="Plain Text Char"/>
    <w:basedOn w:val="DefaultParagraphFont"/>
    <w:link w:val="PlainText"/>
    <w:rsid w:val="00E95CFD"/>
    <w:rPr>
      <w:rFonts w:ascii="Courier New" w:eastAsia="Times New Roman" w:hAnsi="Courier New" w:cs="Times New Roman"/>
      <w:sz w:val="20"/>
      <w:szCs w:val="20"/>
      <w:lang w:eastAsia="en-US"/>
    </w:rPr>
  </w:style>
  <w:style w:type="character" w:customStyle="1" w:styleId="MenuOption">
    <w:name w:val="Menu Option"/>
    <w:basedOn w:val="DefaultParagraphFont"/>
    <w:rsid w:val="00E95CFD"/>
    <w:rPr>
      <w:b/>
      <w:smallCaps/>
    </w:rPr>
  </w:style>
  <w:style w:type="paragraph" w:customStyle="1" w:styleId="TableListNumber">
    <w:name w:val="Table List Number"/>
    <w:basedOn w:val="ListNumber"/>
    <w:rsid w:val="00E95CFD"/>
    <w:pPr>
      <w:numPr>
        <w:numId w:val="0"/>
      </w:numPr>
    </w:pPr>
  </w:style>
  <w:style w:type="paragraph" w:styleId="TOC4">
    <w:name w:val="toc 4"/>
    <w:basedOn w:val="TOCBase"/>
    <w:next w:val="Normal"/>
    <w:semiHidden/>
    <w:rsid w:val="00E95CFD"/>
    <w:pPr>
      <w:tabs>
        <w:tab w:val="right" w:leader="dot" w:pos="9071"/>
      </w:tabs>
      <w:ind w:left="1701"/>
    </w:pPr>
  </w:style>
  <w:style w:type="paragraph" w:customStyle="1" w:styleId="ListAlpha">
    <w:name w:val="List Alpha"/>
    <w:basedOn w:val="List"/>
    <w:rsid w:val="00E95CFD"/>
    <w:pPr>
      <w:numPr>
        <w:numId w:val="8"/>
      </w:numPr>
    </w:pPr>
  </w:style>
  <w:style w:type="paragraph" w:customStyle="1" w:styleId="ListAlpha2">
    <w:name w:val="List Alpha 2"/>
    <w:basedOn w:val="List2"/>
    <w:rsid w:val="00E95CFD"/>
    <w:pPr>
      <w:numPr>
        <w:numId w:val="7"/>
      </w:numPr>
    </w:pPr>
  </w:style>
  <w:style w:type="paragraph" w:styleId="List2">
    <w:name w:val="List 2"/>
    <w:basedOn w:val="BodyText"/>
    <w:rsid w:val="00E95CFD"/>
    <w:pPr>
      <w:tabs>
        <w:tab w:val="left" w:pos="680"/>
      </w:tabs>
      <w:spacing w:before="60" w:after="60"/>
      <w:ind w:left="680" w:hanging="340"/>
    </w:pPr>
  </w:style>
  <w:style w:type="paragraph" w:styleId="List3">
    <w:name w:val="List 3"/>
    <w:basedOn w:val="BodyText"/>
    <w:rsid w:val="00E95CFD"/>
    <w:pPr>
      <w:tabs>
        <w:tab w:val="left" w:pos="1021"/>
      </w:tabs>
      <w:spacing w:before="60" w:after="60"/>
      <w:ind w:left="1020" w:hanging="340"/>
    </w:pPr>
  </w:style>
  <w:style w:type="paragraph" w:styleId="List4">
    <w:name w:val="List 4"/>
    <w:basedOn w:val="BodyText"/>
    <w:rsid w:val="00E95CFD"/>
    <w:pPr>
      <w:tabs>
        <w:tab w:val="left" w:pos="1361"/>
      </w:tabs>
      <w:spacing w:before="60" w:after="60"/>
      <w:ind w:left="1361" w:hanging="340"/>
    </w:pPr>
  </w:style>
  <w:style w:type="paragraph" w:styleId="List5">
    <w:name w:val="List 5"/>
    <w:basedOn w:val="BodyText"/>
    <w:rsid w:val="00E95CFD"/>
    <w:pPr>
      <w:tabs>
        <w:tab w:val="left" w:pos="1701"/>
      </w:tabs>
      <w:spacing w:before="60" w:after="60"/>
      <w:ind w:left="1701" w:hanging="340"/>
    </w:pPr>
  </w:style>
  <w:style w:type="paragraph" w:styleId="ListBullet3">
    <w:name w:val="List Bullet 3"/>
    <w:basedOn w:val="List3"/>
    <w:rsid w:val="00E95CFD"/>
    <w:pPr>
      <w:numPr>
        <w:numId w:val="14"/>
      </w:numPr>
      <w:tabs>
        <w:tab w:val="clear" w:pos="1021"/>
      </w:tabs>
      <w:ind w:left="1037" w:hanging="357"/>
    </w:pPr>
  </w:style>
  <w:style w:type="paragraph" w:styleId="ListBullet4">
    <w:name w:val="List Bullet 4"/>
    <w:basedOn w:val="List4"/>
    <w:rsid w:val="00E95CFD"/>
    <w:pPr>
      <w:numPr>
        <w:numId w:val="2"/>
      </w:numPr>
      <w:tabs>
        <w:tab w:val="clear" w:pos="1361"/>
      </w:tabs>
    </w:pPr>
  </w:style>
  <w:style w:type="paragraph" w:styleId="ListBullet5">
    <w:name w:val="List Bullet 5"/>
    <w:basedOn w:val="List5"/>
    <w:rsid w:val="00E95CFD"/>
    <w:pPr>
      <w:numPr>
        <w:numId w:val="3"/>
      </w:numPr>
    </w:pPr>
  </w:style>
  <w:style w:type="paragraph" w:styleId="ListContinue2">
    <w:name w:val="List Continue 2"/>
    <w:basedOn w:val="List2"/>
    <w:rsid w:val="00E95CFD"/>
    <w:pPr>
      <w:ind w:firstLine="0"/>
    </w:pPr>
  </w:style>
  <w:style w:type="paragraph" w:styleId="ListContinue3">
    <w:name w:val="List Continue 3"/>
    <w:basedOn w:val="List3"/>
    <w:rsid w:val="00E95CFD"/>
    <w:pPr>
      <w:ind w:left="1021" w:firstLine="0"/>
    </w:pPr>
  </w:style>
  <w:style w:type="paragraph" w:styleId="ListContinue4">
    <w:name w:val="List Continue 4"/>
    <w:basedOn w:val="List4"/>
    <w:rsid w:val="00E95CFD"/>
    <w:pPr>
      <w:ind w:firstLine="0"/>
    </w:pPr>
  </w:style>
  <w:style w:type="paragraph" w:styleId="ListContinue5">
    <w:name w:val="List Continue 5"/>
    <w:basedOn w:val="List5"/>
    <w:rsid w:val="00E95CFD"/>
    <w:pPr>
      <w:ind w:firstLine="0"/>
    </w:pPr>
  </w:style>
  <w:style w:type="paragraph" w:styleId="ListNumber3">
    <w:name w:val="List Number 3"/>
    <w:basedOn w:val="List3"/>
    <w:rsid w:val="00E95CFD"/>
    <w:pPr>
      <w:numPr>
        <w:numId w:val="4"/>
      </w:numPr>
    </w:pPr>
  </w:style>
  <w:style w:type="paragraph" w:styleId="ListNumber4">
    <w:name w:val="List Number 4"/>
    <w:basedOn w:val="List4"/>
    <w:rsid w:val="00E95CFD"/>
    <w:pPr>
      <w:numPr>
        <w:numId w:val="5"/>
      </w:numPr>
    </w:pPr>
  </w:style>
  <w:style w:type="paragraph" w:styleId="ListNumber5">
    <w:name w:val="List Number 5"/>
    <w:basedOn w:val="List5"/>
    <w:rsid w:val="00E95CFD"/>
    <w:pPr>
      <w:numPr>
        <w:numId w:val="6"/>
      </w:numPr>
    </w:pPr>
  </w:style>
  <w:style w:type="paragraph" w:styleId="BlockText">
    <w:name w:val="Block Text"/>
    <w:basedOn w:val="Normal"/>
    <w:rsid w:val="00E95CFD"/>
    <w:pPr>
      <w:spacing w:after="120"/>
      <w:ind w:left="1440" w:right="1440"/>
    </w:pPr>
  </w:style>
  <w:style w:type="character" w:customStyle="1" w:styleId="Subscript">
    <w:name w:val="Subscript"/>
    <w:basedOn w:val="DefaultParagraphFont"/>
    <w:rsid w:val="00E95CFD"/>
    <w:rPr>
      <w:sz w:val="16"/>
      <w:vertAlign w:val="subscript"/>
    </w:rPr>
  </w:style>
  <w:style w:type="character" w:customStyle="1" w:styleId="Superscript">
    <w:name w:val="Superscript"/>
    <w:basedOn w:val="DefaultParagraphFont"/>
    <w:rsid w:val="00E95CFD"/>
    <w:rPr>
      <w:sz w:val="16"/>
      <w:vertAlign w:val="superscript"/>
    </w:rPr>
  </w:style>
  <w:style w:type="character" w:customStyle="1" w:styleId="Symbols">
    <w:name w:val="Symbols"/>
    <w:basedOn w:val="DefaultParagraphFont"/>
    <w:rsid w:val="00E95CFD"/>
    <w:rPr>
      <w:rFonts w:ascii="Symbol" w:hAnsi="Symbol"/>
    </w:rPr>
  </w:style>
  <w:style w:type="character" w:customStyle="1" w:styleId="MenuOptions">
    <w:name w:val="Menu Options"/>
    <w:basedOn w:val="DefaultParagraphFont"/>
    <w:rsid w:val="00E95CFD"/>
    <w:rPr>
      <w:rFonts w:ascii="Arial Narrow" w:hAnsi="Arial Narrow"/>
      <w:smallCaps/>
    </w:rPr>
  </w:style>
  <w:style w:type="character" w:customStyle="1" w:styleId="Buttons">
    <w:name w:val="Buttons"/>
    <w:basedOn w:val="DefaultParagraphFont"/>
    <w:rsid w:val="00E95CFD"/>
    <w:rPr>
      <w:b/>
    </w:rPr>
  </w:style>
  <w:style w:type="character" w:customStyle="1" w:styleId="Underlined">
    <w:name w:val="Underlined"/>
    <w:basedOn w:val="DefaultParagraphFont"/>
    <w:rsid w:val="00E95CFD"/>
    <w:rPr>
      <w:u w:val="single"/>
    </w:rPr>
  </w:style>
  <w:style w:type="paragraph" w:customStyle="1" w:styleId="TableBodyTextRight">
    <w:name w:val="Table Body Text Right"/>
    <w:basedOn w:val="TableBodyText"/>
    <w:rsid w:val="00E95CFD"/>
    <w:pPr>
      <w:widowControl w:val="0"/>
      <w:autoSpaceDE w:val="0"/>
      <w:autoSpaceDN w:val="0"/>
      <w:adjustRightInd w:val="0"/>
      <w:jc w:val="right"/>
    </w:pPr>
    <w:rPr>
      <w:rFonts w:cs="Arial"/>
      <w:szCs w:val="18"/>
    </w:rPr>
  </w:style>
  <w:style w:type="paragraph" w:customStyle="1" w:styleId="CopyrightText">
    <w:name w:val="Copyright Text"/>
    <w:basedOn w:val="BodyText"/>
    <w:rsid w:val="00E95CFD"/>
    <w:rPr>
      <w:sz w:val="18"/>
    </w:rPr>
  </w:style>
  <w:style w:type="paragraph" w:customStyle="1" w:styleId="BodySmallRight">
    <w:name w:val="Body Small Right"/>
    <w:basedOn w:val="BodyTextRight"/>
    <w:rsid w:val="00E95CFD"/>
    <w:rPr>
      <w:sz w:val="18"/>
      <w:szCs w:val="18"/>
    </w:rPr>
  </w:style>
  <w:style w:type="paragraph" w:customStyle="1" w:styleId="MarginEdition">
    <w:name w:val="Margin Edition"/>
    <w:basedOn w:val="MarginNote"/>
    <w:rsid w:val="00E95CFD"/>
    <w:pPr>
      <w:spacing w:before="0" w:after="0"/>
    </w:pPr>
    <w:rPr>
      <w:rFonts w:ascii="Times New Roman" w:hAnsi="Times New Roman"/>
      <w:color w:val="999999"/>
    </w:rPr>
  </w:style>
  <w:style w:type="paragraph" w:customStyle="1" w:styleId="Spacer">
    <w:name w:val="Spacer"/>
    <w:basedOn w:val="Normal"/>
    <w:rsid w:val="00E95CFD"/>
    <w:rPr>
      <w:sz w:val="2"/>
      <w:szCs w:val="2"/>
    </w:rPr>
  </w:style>
  <w:style w:type="character" w:customStyle="1" w:styleId="Small">
    <w:name w:val="Small"/>
    <w:basedOn w:val="DefaultParagraphFont"/>
    <w:rsid w:val="00E95CFD"/>
    <w:rPr>
      <w:sz w:val="16"/>
    </w:rPr>
  </w:style>
  <w:style w:type="paragraph" w:customStyle="1" w:styleId="WideTable">
    <w:name w:val="Wide Table"/>
    <w:basedOn w:val="Normal"/>
    <w:rsid w:val="00E95CFD"/>
    <w:pPr>
      <w:ind w:left="-1418"/>
    </w:pPr>
    <w:rPr>
      <w:sz w:val="2"/>
      <w:szCs w:val="2"/>
    </w:rPr>
  </w:style>
  <w:style w:type="character" w:styleId="PageNumber">
    <w:name w:val="page number"/>
    <w:basedOn w:val="DefaultParagraphFont"/>
    <w:rsid w:val="00E95CFD"/>
  </w:style>
  <w:style w:type="paragraph" w:styleId="Quote">
    <w:name w:val="Quote"/>
    <w:basedOn w:val="Heading1"/>
    <w:link w:val="QuoteChar"/>
    <w:qFormat/>
    <w:rsid w:val="00E95CFD"/>
    <w:rPr>
      <w:b w:val="0"/>
      <w:sz w:val="72"/>
      <w:szCs w:val="72"/>
      <w:lang w:val="en-NZ"/>
    </w:rPr>
  </w:style>
  <w:style w:type="character" w:customStyle="1" w:styleId="QuoteChar">
    <w:name w:val="Quote Char"/>
    <w:basedOn w:val="DefaultParagraphFont"/>
    <w:link w:val="Quote"/>
    <w:rsid w:val="00E95CF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95CFD"/>
    <w:pPr>
      <w:pageBreakBefore/>
    </w:pPr>
  </w:style>
  <w:style w:type="paragraph" w:customStyle="1" w:styleId="Border">
    <w:name w:val="Border"/>
    <w:basedOn w:val="Normal"/>
    <w:qFormat/>
    <w:rsid w:val="00E95CF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95CFD"/>
    <w:rPr>
      <w:b/>
      <w:bCs/>
      <w:i/>
      <w:iCs/>
      <w:color w:val="auto"/>
    </w:rPr>
  </w:style>
  <w:style w:type="paragraph" w:styleId="IntenseQuote">
    <w:name w:val="Intense Quote"/>
    <w:basedOn w:val="Normal"/>
    <w:next w:val="Normal"/>
    <w:link w:val="IntenseQuoteChar"/>
    <w:uiPriority w:val="30"/>
    <w:qFormat/>
    <w:rsid w:val="00E95CF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95CF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95CFD"/>
    <w:rPr>
      <w:smallCaps/>
      <w:color w:val="auto"/>
      <w:u w:val="single"/>
    </w:rPr>
  </w:style>
  <w:style w:type="character" w:styleId="IntenseReference">
    <w:name w:val="Intense Reference"/>
    <w:basedOn w:val="DefaultParagraphFont"/>
    <w:uiPriority w:val="32"/>
    <w:qFormat/>
    <w:rsid w:val="00E95CFD"/>
    <w:rPr>
      <w:b/>
      <w:bCs/>
      <w:smallCaps/>
      <w:color w:val="auto"/>
      <w:spacing w:val="5"/>
      <w:u w:val="single"/>
    </w:rPr>
  </w:style>
  <w:style w:type="paragraph" w:customStyle="1" w:styleId="2ColumnHeading">
    <w:name w:val="2Column Heading"/>
    <w:basedOn w:val="BodyText"/>
    <w:qFormat/>
    <w:rsid w:val="00E95CFD"/>
    <w:pPr>
      <w:spacing w:after="60"/>
      <w:ind w:left="-2268"/>
    </w:pPr>
    <w:rPr>
      <w:b/>
    </w:rPr>
  </w:style>
  <w:style w:type="paragraph" w:customStyle="1" w:styleId="Heading1TOC">
    <w:name w:val="Heading1 TOC"/>
    <w:basedOn w:val="Normal"/>
    <w:qFormat/>
    <w:rsid w:val="00E95CFD"/>
    <w:pPr>
      <w:spacing w:before="240" w:after="120"/>
    </w:pPr>
    <w:rPr>
      <w:rFonts w:ascii="Times New Roman" w:hAnsi="Times New Roman"/>
      <w:b/>
      <w:sz w:val="32"/>
    </w:rPr>
  </w:style>
  <w:style w:type="paragraph" w:customStyle="1" w:styleId="Heading2TOC">
    <w:name w:val="Heading2 TOC"/>
    <w:basedOn w:val="Normal"/>
    <w:qFormat/>
    <w:rsid w:val="00E95CFD"/>
    <w:pPr>
      <w:spacing w:before="240" w:after="60"/>
    </w:pPr>
    <w:rPr>
      <w:rFonts w:ascii="Times New Roman" w:hAnsi="Times New Roman"/>
      <w:b/>
      <w:sz w:val="28"/>
    </w:rPr>
  </w:style>
  <w:style w:type="character" w:customStyle="1" w:styleId="Underline">
    <w:name w:val="Underline"/>
    <w:basedOn w:val="DefaultParagraphFont"/>
    <w:qFormat/>
    <w:rsid w:val="00E95CFD"/>
    <w:rPr>
      <w:u w:val="single"/>
    </w:rPr>
  </w:style>
  <w:style w:type="character" w:customStyle="1" w:styleId="BoldandItalics">
    <w:name w:val="Bold and Italics"/>
    <w:qFormat/>
    <w:rsid w:val="00E95CFD"/>
    <w:rPr>
      <w:b/>
      <w:i/>
      <w:u w:val="none"/>
    </w:rPr>
  </w:style>
  <w:style w:type="paragraph" w:styleId="BalloonText">
    <w:name w:val="Balloon Text"/>
    <w:basedOn w:val="Normal"/>
    <w:link w:val="BalloonTextChar"/>
    <w:rsid w:val="00E95CFD"/>
    <w:rPr>
      <w:rFonts w:ascii="Tahoma" w:hAnsi="Tahoma" w:cs="Tahoma"/>
      <w:sz w:val="16"/>
      <w:szCs w:val="16"/>
    </w:rPr>
  </w:style>
  <w:style w:type="character" w:customStyle="1" w:styleId="BalloonTextChar">
    <w:name w:val="Balloon Text Char"/>
    <w:basedOn w:val="DefaultParagraphFont"/>
    <w:link w:val="BalloonText"/>
    <w:rsid w:val="00E95CF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95CFD"/>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E95CF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95CFD"/>
    <w:rPr>
      <w:b/>
      <w:color w:val="660033"/>
      <w:spacing w:val="0"/>
    </w:rPr>
  </w:style>
  <w:style w:type="paragraph" w:customStyle="1" w:styleId="Nameditemlist">
    <w:name w:val="Named item list"/>
    <w:basedOn w:val="BodyText"/>
    <w:qFormat/>
    <w:rsid w:val="00E95CFD"/>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6</Pages>
  <Words>1445</Words>
  <Characters>9416</Characters>
  <Application>Microsoft Office Word</Application>
  <DocSecurity>0</DocSecurity>
  <Lines>313</Lines>
  <Paragraphs>195</Paragraphs>
  <ScaleCrop>false</ScaleCrop>
  <Company>Author-it Software Corporation Ltd.</Company>
  <LinksUpToDate>false</LinksUpToDate>
  <CharactersWithSpaces>10746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MSS80312 Graduate Diploma of Competitive Systems and Practices</dc:title>
  <dc:subject>Approved</dc:subject>
  <dc:creator>Manufacturing Skills Australia</dc:creator>
  <cp:keywords>Release: 2</cp:keywords>
  <dc:description>Review Date: 12 April 2008</dc:description>
  <cp:lastModifiedBy>TPCMS</cp:lastModifiedBy>
  <cp:revision>3</cp:revision>
  <dcterms:created xsi:type="dcterms:W3CDTF">2015-01-07T07:18:00Z</dcterms:created>
  <dcterms:modified xsi:type="dcterms:W3CDTF">2015-01-07T07:19:00Z</dcterms:modified>
</cp:coreProperties>
</file>