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2BDA" w:rsidP="00782BDA">
      <w:pPr>
        <w:pStyle w:val="Title"/>
      </w:pPr>
      <w:r>
        <w:fldChar w:fldCharType="begin"/>
      </w:r>
      <w:r>
        <w:instrText xml:space="preserve"> TITLE   \* MERGEFORMAT </w:instrText>
      </w:r>
      <w:r>
        <w:fldChar w:fldCharType="separate"/>
      </w:r>
      <w:r>
        <w:t>MSS408002A Audit the use of competitive tools</w:t>
      </w:r>
      <w:r>
        <w:fldChar w:fldCharType="end"/>
      </w:r>
    </w:p>
    <w:p w:rsidR="00782BDA" w:rsidP="00782BDA">
      <w:pPr>
        <w:pStyle w:val="Version"/>
        <w:sectPr w:rsidSect="007E44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44F7" w:rsidP="007E44F7">
      <w:pPr>
        <w:pStyle w:val="SuperHeading"/>
      </w:pPr>
      <w:r w:rsidRPr="007E44F7">
        <w:t>MSS408002A Audit the use of competitive tools</w:t>
      </w:r>
    </w:p>
    <w:p w:rsidR="00000000" w:rsidRPr="007E44F7" w:rsidP="007E44F7">
      <w:pPr>
        <w:pStyle w:val="Heading1"/>
      </w:pPr>
      <w:bookmarkStart w:id="1" w:name="O_468104"/>
      <w:bookmarkEnd w:id="1"/>
      <w:r w:rsidRPr="007E44F7">
        <w:t>Modification History</w:t>
      </w:r>
    </w:p>
    <w:p w:rsidR="00000000" w:rsidRPr="007E44F7" w:rsidP="007E44F7">
      <w:pPr>
        <w:pStyle w:val="BodyText"/>
      </w:pPr>
      <w:r w:rsidRPr="007E44F7">
        <w:t>New unit, superseding MSACMG802A Audit the use of competitive tools - Not equivalent</w:t>
      </w:r>
    </w:p>
    <w:p w:rsidR="00000000" w:rsidRPr="007E44F7" w:rsidP="007E44F7">
      <w:pPr>
        <w:pStyle w:val="AllowPageBreak"/>
      </w:pPr>
    </w:p>
    <w:p w:rsidR="00000000" w:rsidRPr="007E44F7" w:rsidP="007E44F7">
      <w:pPr>
        <w:pStyle w:val="Heading1"/>
      </w:pPr>
      <w:bookmarkStart w:id="2" w:name="O_468105"/>
      <w:bookmarkEnd w:id="2"/>
      <w:r w:rsidRPr="007E44F7">
        <w:t>Unit Descriptor</w:t>
      </w:r>
    </w:p>
    <w:p w:rsidR="00782BDA" w:rsidP="007E44F7">
      <w:pPr>
        <w:pStyle w:val="BodyText"/>
      </w:pPr>
      <w:r w:rsidRPr="007E44F7">
        <w:t>This unit of competency covers the skills and knowl</w:t>
      </w:r>
      <w:r w:rsidRPr="007E44F7">
        <w:t>edge required to audit the use of competitive systems and practices tools, modify a tool or its application and change the mix of tools used as appropriate. It also covers changing the emphasis and culture away from the use of competitive systems and pract</w:t>
      </w:r>
      <w:r w:rsidRPr="007E44F7">
        <w:t>ices tools as the main focus to taking a whole of enterprise approach with the tools being seen as supporting measures to strategic goals. The unit has a more strategic focus than MSS407002A Review operations practice tools and techniques.</w:t>
      </w:r>
    </w:p>
    <w:p w:rsidR="00782BDA" w:rsidP="007E44F7">
      <w:pPr>
        <w:pStyle w:val="BodyText"/>
      </w:pPr>
    </w:p>
    <w:p w:rsidR="00000000" w:rsidRPr="007E44F7" w:rsidP="007E44F7">
      <w:pPr>
        <w:pStyle w:val="Heading1"/>
      </w:pPr>
      <w:bookmarkStart w:id="3" w:name="O_468106"/>
      <w:bookmarkEnd w:id="3"/>
      <w:r w:rsidRPr="007E44F7">
        <w:t>Application of the Unit</w:t>
      </w:r>
    </w:p>
    <w:p w:rsidR="00000000" w:rsidRPr="007E44F7" w:rsidP="007E44F7">
      <w:pPr>
        <w:pStyle w:val="BodyText"/>
      </w:pPr>
      <w:r w:rsidRPr="007E44F7">
        <w:t>This unit is intended for managers and people with a similar sphere of influence and scope of authority and responsibility. It is focused on auditing the practice of competitive systems and practices and implementing changes ident</w:t>
      </w:r>
      <w:r w:rsidRPr="007E44F7">
        <w:t>ified through the audit. For a more global unit covering developing the strategic approach adopted by the organisation refer to</w:t>
      </w:r>
      <w:r w:rsidRPr="007E44F7">
        <w:rPr>
          <w:rStyle w:val="Emphasis"/>
        </w:rPr>
        <w:t xml:space="preserve"> MSS408001A Develop the competitive systems and practices approach</w:t>
      </w:r>
      <w:r w:rsidRPr="007E44F7">
        <w:t xml:space="preserve">. </w:t>
      </w:r>
    </w:p>
    <w:p w:rsidR="00000000" w:rsidRPr="007E44F7" w:rsidP="007E44F7">
      <w:pPr>
        <w:pStyle w:val="BodyText"/>
      </w:pPr>
      <w:r w:rsidRPr="007E44F7">
        <w:t>The unit includes monitoring workplace practice and the appl</w:t>
      </w:r>
      <w:r w:rsidRPr="007E44F7">
        <w:t xml:space="preserve">ication of selected tools and taking action to ensure progress is continuing towards the desired future state. </w:t>
      </w:r>
    </w:p>
    <w:p w:rsidR="00000000" w:rsidRPr="007E44F7" w:rsidP="007E44F7">
      <w:pPr>
        <w:pStyle w:val="BodyText"/>
      </w:pPr>
      <w:r w:rsidRPr="007E44F7">
        <w:t>The unit applies to individuals who are familiar with competitive systems and practices and with a broad range of competitive tools with depth i</w:t>
      </w:r>
      <w:r w:rsidRPr="007E44F7">
        <w:t>n a moderate range of tools. Where this is not the case the following units which deal more with the selection and introduction of the correct tools for the organisation may be completed:</w:t>
      </w:r>
    </w:p>
    <w:p w:rsidR="00000000" w:rsidRPr="007E44F7" w:rsidP="007E44F7">
      <w:pPr>
        <w:pStyle w:val="ListBullet"/>
      </w:pPr>
      <w:r w:rsidRPr="007E44F7">
        <w:rPr>
          <w:rStyle w:val="Emphasis"/>
        </w:rPr>
        <w:t>MSS405001A Develop competitive  systems and practices for an organisation</w:t>
      </w:r>
    </w:p>
    <w:p w:rsidR="00000000" w:rsidRPr="007E44F7" w:rsidP="007E44F7">
      <w:pPr>
        <w:pStyle w:val="ListBullet"/>
      </w:pPr>
      <w:r w:rsidRPr="007E44F7">
        <w:rPr>
          <w:rStyle w:val="Emphasis"/>
        </w:rPr>
        <w:t>MSS405007A Introduce competitive systems and practices to a small or medium enterprise.</w:t>
      </w:r>
    </w:p>
    <w:p w:rsidR="00782BDA" w:rsidP="007E44F7">
      <w:pPr>
        <w:pStyle w:val="BodyText"/>
      </w:pPr>
      <w:r w:rsidRPr="007E44F7">
        <w:t>This unit may also be applied to service organisations applying competitive systems and practi</w:t>
      </w:r>
      <w:r w:rsidRPr="007E44F7">
        <w:t xml:space="preserve">ces principles. </w:t>
      </w:r>
    </w:p>
    <w:p w:rsidR="00782BDA" w:rsidP="007E44F7">
      <w:pPr>
        <w:pStyle w:val="BodyText"/>
      </w:pPr>
    </w:p>
    <w:p w:rsidR="00000000" w:rsidRPr="007E44F7" w:rsidP="007E44F7">
      <w:pPr>
        <w:pStyle w:val="Heading1"/>
      </w:pPr>
      <w:bookmarkStart w:id="4" w:name="O_468107"/>
      <w:bookmarkEnd w:id="4"/>
      <w:r w:rsidRPr="007E44F7">
        <w:t>Licensing/Regulatory Information</w:t>
      </w:r>
    </w:p>
    <w:p w:rsidR="00000000" w:rsidRPr="007E44F7" w:rsidP="007E44F7">
      <w:pPr>
        <w:pStyle w:val="BodyText"/>
      </w:pPr>
      <w:r w:rsidRPr="007E44F7">
        <w:t>Not applicable.</w:t>
      </w:r>
    </w:p>
    <w:p w:rsidR="00000000" w:rsidRPr="007E44F7" w:rsidP="007E44F7">
      <w:pPr>
        <w:pStyle w:val="AllowPageBreak"/>
      </w:pPr>
    </w:p>
    <w:p w:rsidR="00000000" w:rsidRPr="007E44F7" w:rsidP="007E44F7">
      <w:pPr>
        <w:pStyle w:val="Heading1"/>
      </w:pPr>
      <w:bookmarkStart w:id="5" w:name="O_468108"/>
      <w:bookmarkEnd w:id="5"/>
      <w:r w:rsidRPr="007E44F7">
        <w:t>Pre-Requisites</w:t>
      </w:r>
    </w:p>
    <w:p w:rsidR="00000000" w:rsidRPr="007E44F7" w:rsidP="007E44F7">
      <w:pPr>
        <w:pStyle w:val="BodyText"/>
      </w:pPr>
      <w:r w:rsidRPr="007E44F7">
        <w:t>Not applicable.</w:t>
      </w:r>
    </w:p>
    <w:p w:rsidR="00000000" w:rsidRPr="007E44F7" w:rsidP="007E44F7">
      <w:pPr>
        <w:pStyle w:val="AllowPageBreak"/>
      </w:pPr>
    </w:p>
    <w:p w:rsidR="00000000" w:rsidRPr="007E44F7" w:rsidP="007E44F7">
      <w:pPr>
        <w:pStyle w:val="Heading1"/>
      </w:pPr>
      <w:bookmarkStart w:id="6" w:name="O_468109"/>
      <w:bookmarkEnd w:id="6"/>
      <w:r w:rsidRPr="007E44F7">
        <w:t>Employability Skills Information</w:t>
      </w:r>
    </w:p>
    <w:p w:rsidR="00000000" w:rsidRPr="007E44F7" w:rsidP="007E44F7">
      <w:pPr>
        <w:pStyle w:val="BodyText"/>
      </w:pPr>
      <w:r w:rsidRPr="007E44F7">
        <w:t>This unit contains employability skills.</w:t>
      </w:r>
    </w:p>
    <w:p w:rsidR="00000000" w:rsidRPr="007E44F7" w:rsidP="007E44F7">
      <w:pPr>
        <w:pStyle w:val="AllowPageBreak"/>
      </w:pPr>
    </w:p>
    <w:p w:rsidR="00000000" w:rsidRPr="007E44F7" w:rsidP="007E44F7">
      <w:pPr>
        <w:pStyle w:val="Heading1"/>
      </w:pPr>
      <w:bookmarkStart w:id="7" w:name="O_468110"/>
      <w:bookmarkEnd w:id="7"/>
      <w:r w:rsidRPr="007E44F7">
        <w:t>Elements and Performance Criteria Pre-Content</w:t>
      </w:r>
    </w:p>
    <w:tbl>
      <w:tblPr>
        <w:tblW w:w="0" w:type="auto"/>
        <w:tblLayout w:type="fixed"/>
        <w:tblCellMar>
          <w:left w:w="62" w:type="dxa"/>
          <w:right w:w="62" w:type="dxa"/>
        </w:tblCellMar>
        <w:tblLook w:val="0000"/>
      </w:tblPr>
      <w:tblGrid>
        <w:gridCol w:w="2640"/>
        <w:gridCol w:w="6380"/>
      </w:tblGrid>
      <w:tr w:rsidTr="007E44F7">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7E44F7">
            <w:pPr>
              <w:pStyle w:val="BodyText"/>
              <w:rPr>
                <w:lang w:val="en-NZ"/>
              </w:rPr>
            </w:pPr>
            <w:r w:rsidRPr="007E44F7">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7E44F7" w:rsidP="007E44F7">
            <w:pPr>
              <w:pStyle w:val="BodyText"/>
            </w:pPr>
            <w:r w:rsidRPr="007E44F7">
              <w:t>Performance criteria describe the performance needed to demonstrate achievement of the element. Where bold italicised text is used, further info</w:t>
            </w:r>
            <w:r w:rsidRPr="007E44F7">
              <w:t>rmation is detailed in the required skills and knowledge section and the range statement. Assessment of performance is to be consistent with the evidence guide.</w:t>
            </w:r>
          </w:p>
        </w:tc>
      </w:tr>
    </w:tbl>
    <w:p w:rsidR="00000000" w:rsidRPr="007E44F7" w:rsidP="007E44F7">
      <w:pPr>
        <w:pStyle w:val="BodyText"/>
      </w:pPr>
    </w:p>
    <w:p w:rsidR="00000000" w:rsidRPr="007E44F7" w:rsidP="007E44F7">
      <w:pPr>
        <w:pStyle w:val="AllowPageBreak"/>
      </w:pPr>
    </w:p>
    <w:p w:rsidR="00000000" w:rsidRPr="007E44F7" w:rsidP="007E44F7">
      <w:pPr>
        <w:pStyle w:val="Heading1"/>
      </w:pPr>
      <w:bookmarkStart w:id="8" w:name="O_468111"/>
      <w:bookmarkEnd w:id="8"/>
      <w:r w:rsidRPr="007E44F7">
        <w:t>Elements and Performance Criteria</w:t>
      </w:r>
    </w:p>
    <w:p w:rsidR="00000000" w:rsidRPr="007E44F7" w:rsidP="007E44F7">
      <w:pPr>
        <w:pStyle w:val="BodyText"/>
      </w:pPr>
    </w:p>
    <w:tbl>
      <w:tblPr>
        <w:tblW w:w="0" w:type="auto"/>
        <w:tblLayout w:type="fixed"/>
        <w:tblCellMar>
          <w:left w:w="62" w:type="dxa"/>
          <w:right w:w="62" w:type="dxa"/>
        </w:tblCellMar>
        <w:tblLook w:val="0000"/>
      </w:tblPr>
      <w:tblGrid>
        <w:gridCol w:w="678"/>
        <w:gridCol w:w="1962"/>
        <w:gridCol w:w="770"/>
        <w:gridCol w:w="5610"/>
      </w:tblGrid>
      <w:tr w:rsidTr="007E44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E44F7">
            <w:pPr>
              <w:pStyle w:val="BodyText"/>
              <w:rPr>
                <w:lang w:val="en-NZ"/>
              </w:rPr>
            </w:pPr>
            <w:r w:rsidRPr="007E44F7">
              <w:t>1</w:t>
            </w:r>
          </w:p>
        </w:tc>
        <w:tc>
          <w:tcPr>
            <w:tcW w:w="1962" w:type="dxa"/>
            <w:vMerge w:val="restart"/>
            <w:tcBorders>
              <w:top w:val="nil"/>
              <w:left w:val="nil"/>
              <w:bottom w:val="nil"/>
              <w:right w:val="nil"/>
            </w:tcBorders>
            <w:tcMar>
              <w:top w:w="0" w:type="dxa"/>
              <w:left w:w="62" w:type="dxa"/>
              <w:bottom w:w="0" w:type="dxa"/>
              <w:right w:w="62" w:type="dxa"/>
            </w:tcMar>
          </w:tcPr>
          <w:p w:rsidR="00000000" w:rsidP="007E44F7">
            <w:pPr>
              <w:pStyle w:val="BodyText"/>
              <w:rPr>
                <w:lang w:val="en-NZ"/>
              </w:rPr>
            </w:pPr>
            <w:r w:rsidRPr="007E44F7">
              <w:t>Establish systems to monitor progress towards becoming competitive</w:t>
            </w:r>
          </w:p>
        </w:tc>
        <w:tc>
          <w:tcPr>
            <w:tcW w:w="770" w:type="dxa"/>
            <w:tcBorders>
              <w:top w:val="nil"/>
              <w:left w:val="nil"/>
              <w:bottom w:val="nil"/>
              <w:right w:val="nil"/>
            </w:tcBorders>
            <w:tcMar>
              <w:top w:w="0" w:type="dxa"/>
              <w:left w:w="62" w:type="dxa"/>
              <w:bottom w:w="0" w:type="dxa"/>
              <w:right w:w="62" w:type="dxa"/>
            </w:tcMar>
          </w:tcPr>
          <w:p w:rsidR="00000000" w:rsidP="007E44F7">
            <w:pPr>
              <w:pStyle w:val="BodyText"/>
              <w:rPr>
                <w:lang w:val="en-NZ"/>
              </w:rPr>
            </w:pPr>
            <w:r w:rsidRPr="007E44F7">
              <w:t>1.1</w:t>
            </w:r>
          </w:p>
        </w:tc>
        <w:tc>
          <w:tcPr>
            <w:tcW w:w="5610" w:type="dxa"/>
            <w:tcBorders>
              <w:top w:val="nil"/>
              <w:left w:val="nil"/>
              <w:bottom w:val="nil"/>
              <w:right w:val="nil"/>
            </w:tcBorders>
            <w:tcMar>
              <w:top w:w="0" w:type="dxa"/>
              <w:left w:w="62" w:type="dxa"/>
              <w:bottom w:w="0" w:type="dxa"/>
              <w:right w:w="62" w:type="dxa"/>
            </w:tcMar>
          </w:tcPr>
          <w:p w:rsidR="00000000" w:rsidP="007E44F7">
            <w:pPr>
              <w:pStyle w:val="BodyText"/>
              <w:rPr>
                <w:lang w:val="en-NZ"/>
              </w:rPr>
            </w:pPr>
            <w:r w:rsidRPr="007E44F7">
              <w:t xml:space="preserve">Determine agreed indicators of progress towards desired future state </w:t>
            </w:r>
          </w:p>
        </w:tc>
      </w:tr>
      <w:tr w:rsidTr="007E44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4F7">
            <w:pPr>
              <w:pStyle w:val="BodyText"/>
              <w:rPr>
                <w:lang w:val="en-NZ"/>
              </w:rPr>
            </w:pPr>
            <w:r w:rsidRPr="007E44F7">
              <w:t>1.2</w:t>
            </w:r>
          </w:p>
        </w:tc>
        <w:tc>
          <w:tcPr>
            <w:tcW w:w="5610" w:type="dxa"/>
            <w:tcBorders>
              <w:top w:val="nil"/>
              <w:left w:val="nil"/>
              <w:bottom w:val="nil"/>
              <w:right w:val="nil"/>
            </w:tcBorders>
            <w:tcMar>
              <w:top w:w="0" w:type="dxa"/>
              <w:left w:w="62" w:type="dxa"/>
              <w:bottom w:w="0" w:type="dxa"/>
              <w:right w:w="62" w:type="dxa"/>
            </w:tcMar>
          </w:tcPr>
          <w:p w:rsidR="00000000" w:rsidP="007E44F7">
            <w:pPr>
              <w:pStyle w:val="BodyText"/>
              <w:rPr>
                <w:lang w:val="en-NZ"/>
              </w:rPr>
            </w:pPr>
            <w:r w:rsidRPr="007E44F7">
              <w:t>Establish contribution to future state indicators by internal and external value stream contributors</w:t>
            </w:r>
          </w:p>
        </w:tc>
      </w:tr>
      <w:tr w:rsidTr="007E44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4F7">
            <w:pPr>
              <w:pStyle w:val="BodyText"/>
              <w:rPr>
                <w:lang w:val="en-NZ"/>
              </w:rPr>
            </w:pPr>
            <w:r w:rsidRPr="007E44F7">
              <w:t>1.3</w:t>
            </w:r>
          </w:p>
        </w:tc>
        <w:tc>
          <w:tcPr>
            <w:tcW w:w="5610" w:type="dxa"/>
            <w:tcBorders>
              <w:top w:val="nil"/>
              <w:left w:val="nil"/>
              <w:bottom w:val="nil"/>
              <w:right w:val="nil"/>
            </w:tcBorders>
            <w:tcMar>
              <w:top w:w="0" w:type="dxa"/>
              <w:left w:w="62" w:type="dxa"/>
              <w:bottom w:w="0" w:type="dxa"/>
              <w:right w:w="62" w:type="dxa"/>
            </w:tcMar>
          </w:tcPr>
          <w:p w:rsidR="00000000" w:rsidP="007E44F7">
            <w:pPr>
              <w:pStyle w:val="BodyText"/>
              <w:rPr>
                <w:lang w:val="en-NZ"/>
              </w:rPr>
            </w:pPr>
            <w:r w:rsidRPr="007E44F7">
              <w:t>Capture information showing progress towards desired future state</w:t>
            </w:r>
          </w:p>
        </w:tc>
      </w:tr>
      <w:tr w:rsidTr="007E44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4F7">
            <w:pPr>
              <w:pStyle w:val="BodyText"/>
              <w:rPr>
                <w:lang w:val="en-NZ"/>
              </w:rPr>
            </w:pPr>
            <w:r w:rsidRPr="007E44F7">
              <w:t>1.4</w:t>
            </w:r>
          </w:p>
        </w:tc>
        <w:tc>
          <w:tcPr>
            <w:tcW w:w="5610" w:type="dxa"/>
            <w:tcBorders>
              <w:top w:val="nil"/>
              <w:left w:val="nil"/>
              <w:bottom w:val="nil"/>
              <w:right w:val="nil"/>
            </w:tcBorders>
            <w:tcMar>
              <w:top w:w="0" w:type="dxa"/>
              <w:left w:w="62" w:type="dxa"/>
              <w:bottom w:w="0" w:type="dxa"/>
              <w:right w:w="62" w:type="dxa"/>
            </w:tcMar>
          </w:tcPr>
          <w:p w:rsidR="00000000" w:rsidP="007E44F7">
            <w:pPr>
              <w:pStyle w:val="BodyText"/>
              <w:rPr>
                <w:lang w:val="en-NZ"/>
              </w:rPr>
            </w:pPr>
            <w:r w:rsidRPr="007E44F7">
              <w:t>Analyse information to determine continued progress towards desired future state</w:t>
            </w:r>
          </w:p>
        </w:tc>
      </w:tr>
      <w:tr w:rsidTr="007E44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4F7">
            <w:pPr>
              <w:pStyle w:val="BodyText"/>
              <w:rPr>
                <w:lang w:val="en-NZ"/>
              </w:rPr>
            </w:pPr>
            <w:r w:rsidRPr="007E44F7">
              <w:t>1.5</w:t>
            </w:r>
          </w:p>
        </w:tc>
        <w:tc>
          <w:tcPr>
            <w:tcW w:w="5610" w:type="dxa"/>
            <w:tcBorders>
              <w:top w:val="nil"/>
              <w:left w:val="nil"/>
              <w:bottom w:val="nil"/>
              <w:right w:val="nil"/>
            </w:tcBorders>
            <w:tcMar>
              <w:top w:w="0" w:type="dxa"/>
              <w:left w:w="62" w:type="dxa"/>
              <w:bottom w:w="0" w:type="dxa"/>
              <w:right w:w="62" w:type="dxa"/>
            </w:tcMar>
          </w:tcPr>
          <w:p w:rsidR="00000000" w:rsidRPr="007E44F7" w:rsidP="007E44F7">
            <w:pPr>
              <w:pStyle w:val="BodyText"/>
            </w:pPr>
            <w:r w:rsidRPr="007E44F7">
              <w:t>Ensure there are systems which allow monitoring to proceed routinely</w:t>
            </w:r>
          </w:p>
        </w:tc>
      </w:tr>
    </w:tbl>
    <w:p w:rsidR="00000000" w:rsidRPr="007E44F7" w:rsidP="007E44F7">
      <w:pPr>
        <w:pStyle w:val="BodyText"/>
      </w:pPr>
    </w:p>
    <w:tbl>
      <w:tblPr>
        <w:tblW w:w="0" w:type="auto"/>
        <w:tblLayout w:type="fixed"/>
        <w:tblCellMar>
          <w:left w:w="62" w:type="dxa"/>
          <w:right w:w="62" w:type="dxa"/>
        </w:tblCellMar>
        <w:tblLook w:val="0000"/>
      </w:tblPr>
      <w:tblGrid>
        <w:gridCol w:w="678"/>
        <w:gridCol w:w="1962"/>
        <w:gridCol w:w="770"/>
        <w:gridCol w:w="5610"/>
      </w:tblGrid>
      <w:tr w:rsidTr="007E44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E44F7">
            <w:pPr>
              <w:pStyle w:val="BodyText"/>
              <w:rPr>
                <w:lang w:val="en-NZ"/>
              </w:rPr>
            </w:pPr>
            <w:r w:rsidRPr="007E44F7">
              <w:t>2</w:t>
            </w:r>
          </w:p>
        </w:tc>
        <w:tc>
          <w:tcPr>
            <w:tcW w:w="1962" w:type="dxa"/>
            <w:vMerge w:val="restart"/>
            <w:tcBorders>
              <w:top w:val="nil"/>
              <w:left w:val="nil"/>
              <w:bottom w:val="nil"/>
              <w:right w:val="nil"/>
            </w:tcBorders>
            <w:tcMar>
              <w:top w:w="0" w:type="dxa"/>
              <w:left w:w="62" w:type="dxa"/>
              <w:bottom w:w="0" w:type="dxa"/>
              <w:right w:w="62" w:type="dxa"/>
            </w:tcMar>
          </w:tcPr>
          <w:p w:rsidR="00000000" w:rsidP="007E44F7">
            <w:pPr>
              <w:pStyle w:val="BodyText"/>
              <w:rPr>
                <w:lang w:val="en-NZ"/>
              </w:rPr>
            </w:pPr>
            <w:r w:rsidRPr="007E44F7">
              <w:t>Identify areas of oper</w:t>
            </w:r>
            <w:r w:rsidRPr="007E44F7">
              <w:t>ations practice to improve in consultation with work teams and other employees</w:t>
            </w:r>
          </w:p>
        </w:tc>
        <w:tc>
          <w:tcPr>
            <w:tcW w:w="770" w:type="dxa"/>
            <w:tcBorders>
              <w:top w:val="nil"/>
              <w:left w:val="nil"/>
              <w:bottom w:val="nil"/>
              <w:right w:val="nil"/>
            </w:tcBorders>
            <w:tcMar>
              <w:top w:w="0" w:type="dxa"/>
              <w:left w:w="62" w:type="dxa"/>
              <w:bottom w:w="0" w:type="dxa"/>
              <w:right w:w="62" w:type="dxa"/>
            </w:tcMar>
          </w:tcPr>
          <w:p w:rsidR="00000000" w:rsidP="007E44F7">
            <w:pPr>
              <w:pStyle w:val="BodyText"/>
              <w:rPr>
                <w:lang w:val="en-NZ"/>
              </w:rPr>
            </w:pPr>
            <w:r w:rsidRPr="007E44F7">
              <w:t>2.1</w:t>
            </w:r>
          </w:p>
        </w:tc>
        <w:tc>
          <w:tcPr>
            <w:tcW w:w="5610" w:type="dxa"/>
            <w:tcBorders>
              <w:top w:val="nil"/>
              <w:left w:val="nil"/>
              <w:bottom w:val="nil"/>
              <w:right w:val="nil"/>
            </w:tcBorders>
            <w:tcMar>
              <w:top w:w="0" w:type="dxa"/>
              <w:left w:w="62" w:type="dxa"/>
              <w:bottom w:w="0" w:type="dxa"/>
              <w:right w:w="62" w:type="dxa"/>
            </w:tcMar>
          </w:tcPr>
          <w:p w:rsidR="00000000" w:rsidP="007E44F7">
            <w:pPr>
              <w:pStyle w:val="BodyText"/>
              <w:rPr>
                <w:lang w:val="en-NZ"/>
              </w:rPr>
            </w:pPr>
            <w:r w:rsidRPr="007E44F7">
              <w:t>Identify work teams, areas and value stream members which could be making better progress towards desired future state</w:t>
            </w:r>
          </w:p>
        </w:tc>
      </w:tr>
      <w:tr w:rsidTr="007E44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4F7">
            <w:pPr>
              <w:pStyle w:val="BodyText"/>
              <w:rPr>
                <w:lang w:val="en-NZ"/>
              </w:rPr>
            </w:pPr>
            <w:r w:rsidRPr="007E44F7">
              <w:t>2.2</w:t>
            </w:r>
          </w:p>
        </w:tc>
        <w:tc>
          <w:tcPr>
            <w:tcW w:w="5610" w:type="dxa"/>
            <w:tcBorders>
              <w:top w:val="nil"/>
              <w:left w:val="nil"/>
              <w:bottom w:val="nil"/>
              <w:right w:val="nil"/>
            </w:tcBorders>
            <w:tcMar>
              <w:top w:w="0" w:type="dxa"/>
              <w:left w:w="62" w:type="dxa"/>
              <w:bottom w:w="0" w:type="dxa"/>
              <w:right w:w="62" w:type="dxa"/>
            </w:tcMar>
          </w:tcPr>
          <w:p w:rsidR="00000000" w:rsidP="007E44F7">
            <w:pPr>
              <w:pStyle w:val="BodyText"/>
              <w:rPr>
                <w:lang w:val="en-NZ"/>
              </w:rPr>
            </w:pPr>
            <w:r w:rsidRPr="007E44F7">
              <w:t xml:space="preserve">Examine competitive tools being used and their contribution towards progress </w:t>
            </w:r>
          </w:p>
        </w:tc>
      </w:tr>
      <w:tr w:rsidTr="007E44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4F7">
            <w:pPr>
              <w:pStyle w:val="BodyText"/>
              <w:rPr>
                <w:lang w:val="en-NZ"/>
              </w:rPr>
            </w:pPr>
            <w:r w:rsidRPr="007E44F7">
              <w:t>2.3</w:t>
            </w:r>
          </w:p>
        </w:tc>
        <w:tc>
          <w:tcPr>
            <w:tcW w:w="5610" w:type="dxa"/>
            <w:tcBorders>
              <w:top w:val="nil"/>
              <w:left w:val="nil"/>
              <w:bottom w:val="nil"/>
              <w:right w:val="nil"/>
            </w:tcBorders>
            <w:tcMar>
              <w:top w:w="0" w:type="dxa"/>
              <w:left w:w="62" w:type="dxa"/>
              <w:bottom w:w="0" w:type="dxa"/>
              <w:right w:w="62" w:type="dxa"/>
            </w:tcMar>
          </w:tcPr>
          <w:p w:rsidR="00000000" w:rsidP="007E44F7">
            <w:pPr>
              <w:pStyle w:val="BodyText"/>
              <w:rPr>
                <w:lang w:val="en-NZ"/>
              </w:rPr>
            </w:pPr>
            <w:r w:rsidRPr="007E44F7">
              <w:t>Examine other work practices and their contribution towards progress</w:t>
            </w:r>
          </w:p>
        </w:tc>
      </w:tr>
      <w:tr w:rsidTr="007E44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4F7">
            <w:pPr>
              <w:pStyle w:val="BodyText"/>
              <w:rPr>
                <w:lang w:val="en-NZ"/>
              </w:rPr>
            </w:pPr>
            <w:r w:rsidRPr="007E44F7">
              <w:t>2.4</w:t>
            </w:r>
          </w:p>
        </w:tc>
        <w:tc>
          <w:tcPr>
            <w:tcW w:w="5610" w:type="dxa"/>
            <w:tcBorders>
              <w:top w:val="nil"/>
              <w:left w:val="nil"/>
              <w:bottom w:val="nil"/>
              <w:right w:val="nil"/>
            </w:tcBorders>
            <w:tcMar>
              <w:top w:w="0" w:type="dxa"/>
              <w:left w:w="62" w:type="dxa"/>
              <w:bottom w:w="0" w:type="dxa"/>
              <w:right w:w="62" w:type="dxa"/>
            </w:tcMar>
          </w:tcPr>
          <w:p w:rsidR="00000000" w:rsidP="007E44F7">
            <w:pPr>
              <w:pStyle w:val="BodyText"/>
              <w:rPr>
                <w:lang w:val="en-NZ"/>
              </w:rPr>
            </w:pPr>
            <w:r w:rsidRPr="007E44F7">
              <w:t>Manage required stakeholder consultations</w:t>
            </w:r>
          </w:p>
        </w:tc>
      </w:tr>
      <w:tr w:rsidTr="007E44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4F7">
            <w:pPr>
              <w:pStyle w:val="BodyText"/>
              <w:rPr>
                <w:lang w:val="en-NZ"/>
              </w:rPr>
            </w:pPr>
            <w:r w:rsidRPr="007E44F7">
              <w:t>2.5</w:t>
            </w:r>
          </w:p>
        </w:tc>
        <w:tc>
          <w:tcPr>
            <w:tcW w:w="5610" w:type="dxa"/>
            <w:tcBorders>
              <w:top w:val="nil"/>
              <w:left w:val="nil"/>
              <w:bottom w:val="nil"/>
              <w:right w:val="nil"/>
            </w:tcBorders>
            <w:tcMar>
              <w:top w:w="0" w:type="dxa"/>
              <w:left w:w="62" w:type="dxa"/>
              <w:bottom w:w="0" w:type="dxa"/>
              <w:right w:w="62" w:type="dxa"/>
            </w:tcMar>
          </w:tcPr>
          <w:p w:rsidR="00000000" w:rsidP="007E44F7">
            <w:pPr>
              <w:pStyle w:val="BodyText"/>
              <w:rPr>
                <w:lang w:val="en-NZ"/>
              </w:rPr>
            </w:pPr>
            <w:r w:rsidRPr="007E44F7">
              <w:t>Agree on the cause or causes of progress which is not to plan</w:t>
            </w:r>
          </w:p>
        </w:tc>
      </w:tr>
      <w:tr w:rsidTr="007E44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4F7">
            <w:pPr>
              <w:pStyle w:val="BodyText"/>
              <w:rPr>
                <w:lang w:val="en-NZ"/>
              </w:rPr>
            </w:pPr>
            <w:r w:rsidRPr="007E44F7">
              <w:t>2.6</w:t>
            </w:r>
          </w:p>
        </w:tc>
        <w:tc>
          <w:tcPr>
            <w:tcW w:w="5610" w:type="dxa"/>
            <w:tcBorders>
              <w:top w:val="nil"/>
              <w:left w:val="nil"/>
              <w:bottom w:val="nil"/>
              <w:right w:val="nil"/>
            </w:tcBorders>
            <w:tcMar>
              <w:top w:w="0" w:type="dxa"/>
              <w:left w:w="62" w:type="dxa"/>
              <w:bottom w:w="0" w:type="dxa"/>
              <w:right w:w="62" w:type="dxa"/>
            </w:tcMar>
          </w:tcPr>
          <w:p w:rsidR="00000000" w:rsidP="007E44F7">
            <w:pPr>
              <w:pStyle w:val="BodyText"/>
              <w:rPr>
                <w:lang w:val="en-NZ"/>
              </w:rPr>
            </w:pPr>
            <w:r w:rsidRPr="007E44F7">
              <w:t>Determine appropriate competitive tools use to improve progress</w:t>
            </w:r>
          </w:p>
        </w:tc>
      </w:tr>
      <w:tr w:rsidTr="007E44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4F7">
            <w:pPr>
              <w:pStyle w:val="BodyText"/>
              <w:rPr>
                <w:lang w:val="en-NZ"/>
              </w:rPr>
            </w:pPr>
            <w:r w:rsidRPr="007E44F7">
              <w:t>2.7</w:t>
            </w:r>
          </w:p>
        </w:tc>
        <w:tc>
          <w:tcPr>
            <w:tcW w:w="5610" w:type="dxa"/>
            <w:tcBorders>
              <w:top w:val="nil"/>
              <w:left w:val="nil"/>
              <w:bottom w:val="nil"/>
              <w:right w:val="nil"/>
            </w:tcBorders>
            <w:tcMar>
              <w:top w:w="0" w:type="dxa"/>
              <w:left w:w="62" w:type="dxa"/>
              <w:bottom w:w="0" w:type="dxa"/>
              <w:right w:w="62" w:type="dxa"/>
            </w:tcMar>
          </w:tcPr>
          <w:p w:rsidR="00000000" w:rsidRPr="007E44F7" w:rsidP="007E44F7">
            <w:pPr>
              <w:pStyle w:val="BodyText"/>
            </w:pPr>
            <w:r w:rsidRPr="007E44F7">
              <w:t>Develop an implementation plan</w:t>
            </w:r>
          </w:p>
        </w:tc>
      </w:tr>
    </w:tbl>
    <w:p w:rsidR="00000000" w:rsidRPr="007E44F7" w:rsidP="007E44F7">
      <w:pPr>
        <w:pStyle w:val="BodyText"/>
      </w:pPr>
    </w:p>
    <w:tbl>
      <w:tblPr>
        <w:tblW w:w="0" w:type="auto"/>
        <w:tblLayout w:type="fixed"/>
        <w:tblCellMar>
          <w:left w:w="62" w:type="dxa"/>
          <w:right w:w="62" w:type="dxa"/>
        </w:tblCellMar>
        <w:tblLook w:val="0000"/>
      </w:tblPr>
      <w:tblGrid>
        <w:gridCol w:w="678"/>
        <w:gridCol w:w="1962"/>
        <w:gridCol w:w="770"/>
        <w:gridCol w:w="5610"/>
      </w:tblGrid>
      <w:tr w:rsidTr="007E44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E44F7">
            <w:pPr>
              <w:pStyle w:val="BodyText"/>
              <w:rPr>
                <w:lang w:val="en-NZ"/>
              </w:rPr>
            </w:pPr>
            <w:r w:rsidRPr="007E44F7">
              <w:t>3</w:t>
            </w:r>
          </w:p>
        </w:tc>
        <w:tc>
          <w:tcPr>
            <w:tcW w:w="1962" w:type="dxa"/>
            <w:vMerge w:val="restart"/>
            <w:tcBorders>
              <w:top w:val="nil"/>
              <w:left w:val="nil"/>
              <w:bottom w:val="nil"/>
              <w:right w:val="nil"/>
            </w:tcBorders>
            <w:tcMar>
              <w:top w:w="0" w:type="dxa"/>
              <w:left w:w="62" w:type="dxa"/>
              <w:bottom w:w="0" w:type="dxa"/>
              <w:right w:w="62" w:type="dxa"/>
            </w:tcMar>
          </w:tcPr>
          <w:p w:rsidR="00000000" w:rsidP="007E44F7">
            <w:pPr>
              <w:pStyle w:val="BodyText"/>
              <w:rPr>
                <w:lang w:val="en-NZ"/>
              </w:rPr>
            </w:pPr>
            <w:r w:rsidRPr="007E44F7">
              <w:t>Facilitate the improvement to operations practice across the organisation</w:t>
            </w:r>
          </w:p>
        </w:tc>
        <w:tc>
          <w:tcPr>
            <w:tcW w:w="770" w:type="dxa"/>
            <w:tcBorders>
              <w:top w:val="nil"/>
              <w:left w:val="nil"/>
              <w:bottom w:val="nil"/>
              <w:right w:val="nil"/>
            </w:tcBorders>
            <w:tcMar>
              <w:top w:w="0" w:type="dxa"/>
              <w:left w:w="62" w:type="dxa"/>
              <w:bottom w:w="0" w:type="dxa"/>
              <w:right w:w="62" w:type="dxa"/>
            </w:tcMar>
          </w:tcPr>
          <w:p w:rsidR="00000000" w:rsidP="007E44F7">
            <w:pPr>
              <w:pStyle w:val="BodyText"/>
              <w:rPr>
                <w:lang w:val="en-NZ"/>
              </w:rPr>
            </w:pPr>
            <w:r w:rsidRPr="007E44F7">
              <w:t>3.1</w:t>
            </w:r>
          </w:p>
        </w:tc>
        <w:tc>
          <w:tcPr>
            <w:tcW w:w="5610" w:type="dxa"/>
            <w:tcBorders>
              <w:top w:val="nil"/>
              <w:left w:val="nil"/>
              <w:bottom w:val="nil"/>
              <w:right w:val="nil"/>
            </w:tcBorders>
            <w:tcMar>
              <w:top w:w="0" w:type="dxa"/>
              <w:left w:w="62" w:type="dxa"/>
              <w:bottom w:w="0" w:type="dxa"/>
              <w:right w:w="62" w:type="dxa"/>
            </w:tcMar>
          </w:tcPr>
          <w:p w:rsidR="00000000" w:rsidP="007E44F7">
            <w:pPr>
              <w:pStyle w:val="BodyText"/>
              <w:rPr>
                <w:lang w:val="en-NZ"/>
              </w:rPr>
            </w:pPr>
            <w:r w:rsidRPr="007E44F7">
              <w:t>Obt</w:t>
            </w:r>
            <w:r w:rsidRPr="007E44F7">
              <w:t>ain support and necessary approvals from process/system owners</w:t>
            </w:r>
          </w:p>
        </w:tc>
      </w:tr>
      <w:tr w:rsidTr="007E44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4F7">
            <w:pPr>
              <w:pStyle w:val="BodyText"/>
              <w:rPr>
                <w:lang w:val="en-NZ"/>
              </w:rPr>
            </w:pPr>
            <w:r w:rsidRPr="007E44F7">
              <w:t>3.2</w:t>
            </w:r>
          </w:p>
        </w:tc>
        <w:tc>
          <w:tcPr>
            <w:tcW w:w="5610" w:type="dxa"/>
            <w:tcBorders>
              <w:top w:val="nil"/>
              <w:left w:val="nil"/>
              <w:bottom w:val="nil"/>
              <w:right w:val="nil"/>
            </w:tcBorders>
            <w:tcMar>
              <w:top w:w="0" w:type="dxa"/>
              <w:left w:w="62" w:type="dxa"/>
              <w:bottom w:w="0" w:type="dxa"/>
              <w:right w:w="62" w:type="dxa"/>
            </w:tcMar>
          </w:tcPr>
          <w:p w:rsidR="00000000" w:rsidP="007E44F7">
            <w:pPr>
              <w:pStyle w:val="BodyText"/>
              <w:rPr>
                <w:lang w:val="en-NZ"/>
              </w:rPr>
            </w:pPr>
            <w:r w:rsidRPr="007E44F7">
              <w:t>Arrange for the introduction of new tools or modifications to existing tool practice as required</w:t>
            </w:r>
          </w:p>
        </w:tc>
      </w:tr>
      <w:tr w:rsidTr="007E44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4F7">
            <w:pPr>
              <w:pStyle w:val="BodyText"/>
              <w:rPr>
                <w:lang w:val="en-NZ"/>
              </w:rPr>
            </w:pPr>
            <w:r w:rsidRPr="007E44F7">
              <w:t>3.3</w:t>
            </w:r>
          </w:p>
        </w:tc>
        <w:tc>
          <w:tcPr>
            <w:tcW w:w="5610" w:type="dxa"/>
            <w:tcBorders>
              <w:top w:val="nil"/>
              <w:left w:val="nil"/>
              <w:bottom w:val="nil"/>
              <w:right w:val="nil"/>
            </w:tcBorders>
            <w:tcMar>
              <w:top w:w="0" w:type="dxa"/>
              <w:left w:w="62" w:type="dxa"/>
              <w:bottom w:w="0" w:type="dxa"/>
              <w:right w:w="62" w:type="dxa"/>
            </w:tcMar>
          </w:tcPr>
          <w:p w:rsidR="00000000" w:rsidP="007E44F7">
            <w:pPr>
              <w:pStyle w:val="BodyText"/>
              <w:rPr>
                <w:lang w:val="en-NZ"/>
              </w:rPr>
            </w:pPr>
            <w:r w:rsidRPr="007E44F7">
              <w:t>Arrange for skills and other infrastructure development, as required</w:t>
            </w:r>
          </w:p>
        </w:tc>
      </w:tr>
      <w:tr w:rsidTr="007E44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4F7">
            <w:pPr>
              <w:pStyle w:val="BodyText"/>
              <w:rPr>
                <w:lang w:val="en-NZ"/>
              </w:rPr>
            </w:pPr>
            <w:r w:rsidRPr="007E44F7">
              <w:t>3.4</w:t>
            </w:r>
          </w:p>
        </w:tc>
        <w:tc>
          <w:tcPr>
            <w:tcW w:w="5610" w:type="dxa"/>
            <w:tcBorders>
              <w:top w:val="nil"/>
              <w:left w:val="nil"/>
              <w:bottom w:val="nil"/>
              <w:right w:val="nil"/>
            </w:tcBorders>
            <w:tcMar>
              <w:top w:w="0" w:type="dxa"/>
              <w:left w:w="62" w:type="dxa"/>
              <w:bottom w:w="0" w:type="dxa"/>
              <w:right w:w="62" w:type="dxa"/>
            </w:tcMar>
          </w:tcPr>
          <w:p w:rsidR="00000000" w:rsidP="007E44F7">
            <w:pPr>
              <w:pStyle w:val="BodyText"/>
              <w:rPr>
                <w:lang w:val="en-NZ"/>
              </w:rPr>
            </w:pPr>
            <w:r w:rsidRPr="007E44F7">
              <w:t>Consult with stakeholders including value stream members about the impact of these changes</w:t>
            </w:r>
          </w:p>
        </w:tc>
      </w:tr>
      <w:tr w:rsidTr="007E44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4F7">
            <w:pPr>
              <w:pStyle w:val="BodyText"/>
              <w:rPr>
                <w:lang w:val="en-NZ"/>
              </w:rPr>
            </w:pPr>
            <w:r w:rsidRPr="007E44F7">
              <w:t>3.5</w:t>
            </w:r>
          </w:p>
        </w:tc>
        <w:tc>
          <w:tcPr>
            <w:tcW w:w="5610" w:type="dxa"/>
            <w:tcBorders>
              <w:top w:val="nil"/>
              <w:left w:val="nil"/>
              <w:bottom w:val="nil"/>
              <w:right w:val="nil"/>
            </w:tcBorders>
            <w:tcMar>
              <w:top w:w="0" w:type="dxa"/>
              <w:left w:w="62" w:type="dxa"/>
              <w:bottom w:w="0" w:type="dxa"/>
              <w:right w:w="62" w:type="dxa"/>
            </w:tcMar>
          </w:tcPr>
          <w:p w:rsidR="00000000" w:rsidRPr="007E44F7" w:rsidP="007E44F7">
            <w:pPr>
              <w:pStyle w:val="BodyText"/>
            </w:pPr>
            <w:r w:rsidRPr="007E44F7">
              <w:t>Manage implementation of proposed changes to tools use</w:t>
            </w:r>
          </w:p>
        </w:tc>
      </w:tr>
    </w:tbl>
    <w:p w:rsidR="00782BDA" w:rsidP="007E44F7">
      <w:pPr>
        <w:pStyle w:val="BodyText"/>
      </w:pPr>
    </w:p>
    <w:p w:rsidR="00782BDA" w:rsidP="007E44F7">
      <w:pPr>
        <w:pStyle w:val="BodyText"/>
      </w:pPr>
    </w:p>
    <w:p w:rsidR="00000000" w:rsidRPr="007E44F7" w:rsidP="007E44F7">
      <w:pPr>
        <w:pStyle w:val="Heading1"/>
      </w:pPr>
      <w:bookmarkStart w:id="9" w:name="O_468112"/>
      <w:bookmarkEnd w:id="9"/>
      <w:r w:rsidRPr="007E44F7">
        <w:t>Required Skills and Knowledge</w:t>
      </w:r>
    </w:p>
    <w:tbl>
      <w:tblPr>
        <w:tblW w:w="9462" w:type="dxa"/>
        <w:tblLayout w:type="fixed"/>
        <w:tblCellMar>
          <w:left w:w="62" w:type="dxa"/>
          <w:right w:w="62" w:type="dxa"/>
        </w:tblCellMar>
        <w:tblLook w:val="0000"/>
      </w:tblPr>
      <w:tblGrid>
        <w:gridCol w:w="9462"/>
      </w:tblGrid>
      <w:tr w:rsidTr="007E44F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E44F7">
            <w:pPr>
              <w:pStyle w:val="BodyText"/>
              <w:rPr>
                <w:lang w:val="en-NZ"/>
              </w:rPr>
            </w:pPr>
            <w:r w:rsidRPr="007E44F7">
              <w:t>This section describes the skills and knowledge required for this unit.</w:t>
            </w:r>
          </w:p>
        </w:tc>
      </w:tr>
      <w:tr w:rsidTr="007E44F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E44F7">
            <w:pPr>
              <w:pStyle w:val="BodyText"/>
              <w:rPr>
                <w:lang w:val="en-NZ"/>
              </w:rPr>
            </w:pPr>
            <w:r w:rsidRPr="007E44F7">
              <w:rPr>
                <w:rStyle w:val="SpecialBold"/>
              </w:rPr>
              <w:t>Required skills</w:t>
            </w:r>
          </w:p>
        </w:tc>
      </w:tr>
      <w:tr w:rsidTr="007E44F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E44F7" w:rsidP="007E44F7">
            <w:pPr>
              <w:pStyle w:val="BodyText"/>
            </w:pPr>
            <w:r w:rsidRPr="007E44F7">
              <w:t>Required skills include:</w:t>
            </w:r>
          </w:p>
          <w:p w:rsidR="00000000" w:rsidRPr="007E44F7" w:rsidP="007E44F7">
            <w:pPr>
              <w:pStyle w:val="ListBullet"/>
            </w:pPr>
            <w:r w:rsidRPr="007E44F7">
              <w:t xml:space="preserve"> undertaking self-directed problem solving and decision making on issues of a</w:t>
            </w:r>
            <w:r w:rsidRPr="007E44F7">
              <w:rPr>
                <w:rStyle w:val="SpecialBold"/>
              </w:rPr>
              <w:t xml:space="preserve"> </w:t>
            </w:r>
            <w:r w:rsidRPr="007E44F7">
              <w:t>broad and/or highly specialised nature and in highly varied an</w:t>
            </w:r>
            <w:r w:rsidRPr="007E44F7">
              <w:t>d/or highly specialised contexts</w:t>
            </w:r>
          </w:p>
          <w:p w:rsidR="00000000" w:rsidRPr="007E44F7" w:rsidP="007E44F7">
            <w:pPr>
              <w:pStyle w:val="ListBullet"/>
            </w:pPr>
            <w:r w:rsidRPr="007E44F7">
              <w:t>communicating at all levels in the organisation and value stream and to audiences of different levels of literacy and numeracy</w:t>
            </w:r>
          </w:p>
          <w:p w:rsidR="00000000" w:rsidRPr="007E44F7" w:rsidP="007E44F7">
            <w:pPr>
              <w:pStyle w:val="ListBullet"/>
            </w:pPr>
            <w:r w:rsidRPr="007E44F7">
              <w:t xml:space="preserve">analysing current state/situation of the organisation and value stream </w:t>
            </w:r>
          </w:p>
          <w:p w:rsidR="00000000" w:rsidRPr="007E44F7" w:rsidP="007E44F7">
            <w:pPr>
              <w:pStyle w:val="ListBullet"/>
            </w:pPr>
            <w:r w:rsidRPr="007E44F7">
              <w:t>overseeing the setting of key performance indicators (KPIs) for future state</w:t>
            </w:r>
          </w:p>
          <w:p w:rsidR="00000000" w:rsidRPr="007E44F7" w:rsidP="007E44F7">
            <w:pPr>
              <w:pStyle w:val="ListBullet"/>
            </w:pPr>
            <w:r w:rsidRPr="007E44F7">
              <w:t>interpreting data and qualitative information gained from benchmarking</w:t>
            </w:r>
          </w:p>
          <w:p w:rsidR="00000000" w:rsidRPr="007E44F7" w:rsidP="007E44F7">
            <w:pPr>
              <w:pStyle w:val="ListBullet"/>
            </w:pPr>
            <w:r w:rsidRPr="007E44F7">
              <w:t>analysing individually and collectively the implementation of competitive systems and practices tools in the</w:t>
            </w:r>
            <w:r w:rsidRPr="007E44F7">
              <w:t xml:space="preserve"> organisation and determining strategies for improved implementation</w:t>
            </w:r>
          </w:p>
          <w:p w:rsidR="00000000" w:rsidRPr="007E44F7" w:rsidP="007E44F7">
            <w:pPr>
              <w:pStyle w:val="ListBullet"/>
            </w:pPr>
            <w:r w:rsidRPr="007E44F7">
              <w:t>relating implementation and use of tools to customer benefit</w:t>
            </w:r>
          </w:p>
          <w:p w:rsidR="00000000" w:rsidRPr="007E44F7" w:rsidP="007E44F7">
            <w:pPr>
              <w:pStyle w:val="ListBullet"/>
            </w:pPr>
            <w:r w:rsidRPr="007E44F7">
              <w:t>solving highly varied and highly specialised problems related to competitive systems and practices implementation to root caus</w:t>
            </w:r>
            <w:r w:rsidRPr="007E44F7">
              <w:t>e</w:t>
            </w:r>
          </w:p>
          <w:p w:rsidR="00000000" w:rsidRPr="007E44F7" w:rsidP="007E44F7">
            <w:pPr>
              <w:pStyle w:val="ListBullet"/>
            </w:pPr>
            <w:r w:rsidRPr="007E44F7">
              <w:t>negotiating with stakeholders, where required, to obtain information required for improvements, including management, unions, value stream members, employees and members of the community</w:t>
            </w:r>
          </w:p>
          <w:p w:rsidR="00000000" w:rsidP="007E44F7">
            <w:pPr>
              <w:pStyle w:val="ListBullet"/>
              <w:rPr>
                <w:lang w:val="en-NZ"/>
              </w:rPr>
            </w:pPr>
            <w:r w:rsidRPr="007E44F7">
              <w:t>analysing operational processes in the organisation and value strea</w:t>
            </w:r>
            <w:r w:rsidRPr="007E44F7">
              <w:t xml:space="preserve">m and relating to competitive systems and practices tools </w:t>
            </w:r>
          </w:p>
        </w:tc>
      </w:tr>
      <w:tr w:rsidTr="007E44F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E44F7">
            <w:pPr>
              <w:pStyle w:val="BodyText"/>
              <w:rPr>
                <w:lang w:val="en-NZ"/>
              </w:rPr>
            </w:pPr>
          </w:p>
        </w:tc>
      </w:tr>
      <w:tr w:rsidTr="007E44F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E44F7">
            <w:pPr>
              <w:pStyle w:val="BodyText"/>
              <w:rPr>
                <w:lang w:val="en-NZ"/>
              </w:rPr>
            </w:pPr>
            <w:r w:rsidRPr="007E44F7">
              <w:rPr>
                <w:rStyle w:val="SpecialBold"/>
              </w:rPr>
              <w:t>Required knowledge</w:t>
            </w:r>
          </w:p>
        </w:tc>
      </w:tr>
      <w:tr w:rsidTr="007E44F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E44F7" w:rsidP="007E44F7">
            <w:pPr>
              <w:pStyle w:val="BodyText"/>
            </w:pPr>
            <w:r w:rsidRPr="007E44F7">
              <w:t>Required knowledge includes:</w:t>
            </w:r>
          </w:p>
          <w:p w:rsidR="00000000" w:rsidRPr="007E44F7" w:rsidP="007E44F7">
            <w:pPr>
              <w:pStyle w:val="ListBullet"/>
            </w:pPr>
            <w:r w:rsidRPr="007E44F7">
              <w:t>competitive systems and practices at both a strategic and tools level, including advantages and limitations of:</w:t>
            </w:r>
          </w:p>
          <w:p w:rsidR="00000000" w:rsidRPr="007E44F7" w:rsidP="007E44F7">
            <w:pPr>
              <w:pStyle w:val="ListBullet2"/>
            </w:pPr>
            <w:r w:rsidRPr="007E44F7">
              <w:t>value stream mapping</w:t>
            </w:r>
          </w:p>
          <w:p w:rsidR="00000000" w:rsidRPr="007E44F7" w:rsidP="007E44F7">
            <w:pPr>
              <w:pStyle w:val="ListBullet2"/>
            </w:pPr>
            <w:r w:rsidRPr="007E44F7">
              <w:t>5S</w:t>
            </w:r>
          </w:p>
          <w:p w:rsidR="00000000" w:rsidRPr="007E44F7" w:rsidP="007E44F7">
            <w:pPr>
              <w:pStyle w:val="ListBullet2"/>
            </w:pPr>
            <w:r w:rsidRPr="007E44F7">
              <w:t>Just in Time (JIT)</w:t>
            </w:r>
          </w:p>
          <w:p w:rsidR="00000000" w:rsidRPr="007E44F7" w:rsidP="007E44F7">
            <w:pPr>
              <w:pStyle w:val="ListBullet2"/>
            </w:pPr>
            <w:r w:rsidRPr="007E44F7">
              <w:t xml:space="preserve">mistake proofing </w:t>
            </w:r>
          </w:p>
          <w:p w:rsidR="00000000" w:rsidRPr="007E44F7" w:rsidP="007E44F7">
            <w:pPr>
              <w:pStyle w:val="ListBullet2"/>
            </w:pPr>
            <w:r w:rsidRPr="007E44F7">
              <w:t>process mapping</w:t>
            </w:r>
          </w:p>
          <w:p w:rsidR="00000000" w:rsidRPr="007E44F7" w:rsidP="007E44F7">
            <w:pPr>
              <w:pStyle w:val="ListBullet2"/>
            </w:pPr>
            <w:r w:rsidRPr="007E44F7">
              <w:t>establishing customer pull</w:t>
            </w:r>
          </w:p>
          <w:p w:rsidR="00000000" w:rsidRPr="007E44F7" w:rsidP="007E44F7">
            <w:pPr>
              <w:pStyle w:val="ListBullet2"/>
            </w:pPr>
            <w:r w:rsidRPr="007E44F7">
              <w:t>breakthrough improvement and continuous improvement (kaizen and kaizen blitz)</w:t>
            </w:r>
          </w:p>
          <w:p w:rsidR="00000000" w:rsidRPr="007E44F7" w:rsidP="007E44F7">
            <w:pPr>
              <w:pStyle w:val="ListBullet2"/>
            </w:pPr>
            <w:r w:rsidRPr="007E44F7">
              <w:t>setting of KPIs/metrics</w:t>
            </w:r>
          </w:p>
          <w:p w:rsidR="00000000" w:rsidRPr="007E44F7" w:rsidP="007E44F7">
            <w:pPr>
              <w:pStyle w:val="ListBullet2"/>
            </w:pPr>
            <w:r w:rsidRPr="007E44F7">
              <w:t>identification and elimination of waste (muda)</w:t>
            </w:r>
          </w:p>
          <w:p w:rsidR="00000000" w:rsidRPr="007E44F7" w:rsidP="007E44F7">
            <w:pPr>
              <w:pStyle w:val="ListBullet"/>
            </w:pPr>
            <w:r w:rsidRPr="007E44F7">
              <w:t>six sigma and lean six sig</w:t>
            </w:r>
            <w:r w:rsidRPr="007E44F7">
              <w:t>ma</w:t>
            </w:r>
          </w:p>
          <w:p w:rsidR="00000000" w:rsidRPr="007E44F7" w:rsidP="007E44F7">
            <w:pPr>
              <w:pStyle w:val="ListBullet"/>
            </w:pPr>
            <w:r w:rsidRPr="007E44F7">
              <w:t>best practice in implementation of competitive systems and practices tools</w:t>
            </w:r>
          </w:p>
          <w:p w:rsidR="00000000" w:rsidRPr="007E44F7" w:rsidP="007E44F7">
            <w:pPr>
              <w:pStyle w:val="ListBullet"/>
            </w:pPr>
            <w:r w:rsidRPr="007E44F7">
              <w:t>customer benefit as used in competitive systems and practices</w:t>
            </w:r>
          </w:p>
          <w:p w:rsidR="00000000" w:rsidRPr="007E44F7" w:rsidP="007E44F7">
            <w:pPr>
              <w:pStyle w:val="ListBullet"/>
            </w:pPr>
            <w:r w:rsidRPr="007E44F7">
              <w:t>ways of determining competency gaps that may act as restrictions in achieving best practice in operations</w:t>
            </w:r>
          </w:p>
          <w:p w:rsidR="00000000" w:rsidRPr="007E44F7" w:rsidP="007E44F7">
            <w:pPr>
              <w:pStyle w:val="ListBullet"/>
            </w:pPr>
            <w:r w:rsidRPr="007E44F7">
              <w:t>define, measure, analyse, improve and control (DMAIC) process applied to competitive systems and practices tool use</w:t>
            </w:r>
          </w:p>
          <w:p w:rsidR="00000000" w:rsidRPr="007E44F7" w:rsidP="007E44F7">
            <w:pPr>
              <w:pStyle w:val="ListBullet"/>
            </w:pPr>
            <w:r w:rsidRPr="007E44F7">
              <w:t>organisation desired future state in both quantitative and qualitative terms</w:t>
            </w:r>
          </w:p>
          <w:p w:rsidR="00000000" w:rsidRPr="007E44F7" w:rsidP="007E44F7">
            <w:pPr>
              <w:pStyle w:val="ListBullet"/>
            </w:pPr>
            <w:r w:rsidRPr="007E44F7">
              <w:t>how to measure progress towards desired future state</w:t>
            </w:r>
          </w:p>
          <w:p w:rsidR="00000000" w:rsidRPr="007E44F7" w:rsidP="007E44F7">
            <w:pPr>
              <w:pStyle w:val="ListBullet"/>
            </w:pPr>
            <w:r w:rsidRPr="007E44F7">
              <w:t>formal pro</w:t>
            </w:r>
            <w:r w:rsidRPr="007E44F7">
              <w:t>blem solving tools, including root cause analysis (RCA)</w:t>
            </w:r>
          </w:p>
        </w:tc>
      </w:tr>
    </w:tbl>
    <w:p w:rsidR="00782BDA" w:rsidP="007E44F7">
      <w:pPr>
        <w:pStyle w:val="BodyText"/>
      </w:pPr>
    </w:p>
    <w:p w:rsidR="00782BDA" w:rsidP="007E44F7">
      <w:pPr>
        <w:pStyle w:val="BodyText"/>
      </w:pPr>
    </w:p>
    <w:p w:rsidR="00000000" w:rsidRPr="007E44F7" w:rsidP="007E44F7">
      <w:pPr>
        <w:pStyle w:val="Heading1"/>
      </w:pPr>
      <w:bookmarkStart w:id="10" w:name="O_468113"/>
      <w:bookmarkEnd w:id="10"/>
      <w:r w:rsidRPr="007E44F7">
        <w:t>Evidence Guide</w:t>
      </w:r>
    </w:p>
    <w:tbl>
      <w:tblPr>
        <w:tblW w:w="9462" w:type="dxa"/>
        <w:tblLayout w:type="fixed"/>
        <w:tblCellMar>
          <w:left w:w="62" w:type="dxa"/>
          <w:right w:w="62" w:type="dxa"/>
        </w:tblCellMar>
        <w:tblLook w:val="0000"/>
      </w:tblPr>
      <w:tblGrid>
        <w:gridCol w:w="3800"/>
        <w:gridCol w:w="5662"/>
      </w:tblGrid>
      <w:tr w:rsidTr="007E44F7">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7E44F7">
            <w:pPr>
              <w:pStyle w:val="BodyText"/>
              <w:rPr>
                <w:lang w:val="en-NZ"/>
              </w:rPr>
            </w:pPr>
            <w:r w:rsidRPr="007E44F7">
              <w:t>The evidence guide provides advice on assessment and must be read in conjunction with the performance criteria, required skills and knowledge, range statement and th</w:t>
            </w:r>
            <w:r w:rsidRPr="007E44F7">
              <w:t>e Assessment Guidelines for the Training Package.</w:t>
            </w:r>
          </w:p>
        </w:tc>
      </w:tr>
      <w:tr w:rsidTr="007E44F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4F7">
            <w:pPr>
              <w:pStyle w:val="BodyText"/>
              <w:rPr>
                <w:lang w:val="en-NZ"/>
              </w:rPr>
            </w:pPr>
            <w:r w:rsidRPr="007E44F7">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4F7" w:rsidP="007E44F7">
            <w:pPr>
              <w:pStyle w:val="BodyText"/>
            </w:pPr>
            <w:r w:rsidRPr="007E44F7">
              <w:t>A person who demonstrates competency in this unit must be able to provide evidence of the ability to:</w:t>
            </w:r>
          </w:p>
          <w:p w:rsidR="00000000" w:rsidRPr="007E44F7" w:rsidP="007E44F7">
            <w:pPr>
              <w:pStyle w:val="ListBullet"/>
            </w:pPr>
            <w:r w:rsidRPr="007E44F7">
              <w:t>critically examine existing operations and determine correlations to implementation of competitive systems and practices tools</w:t>
            </w:r>
          </w:p>
          <w:p w:rsidR="00000000" w:rsidRPr="007E44F7" w:rsidP="007E44F7">
            <w:pPr>
              <w:pStyle w:val="ListBullet"/>
            </w:pPr>
            <w:r w:rsidRPr="007E44F7">
              <w:t>supervise introduction of new tools or modification of the use of existing tools</w:t>
            </w:r>
          </w:p>
          <w:p w:rsidR="00000000" w:rsidP="007E44F7">
            <w:pPr>
              <w:pStyle w:val="ListBullet"/>
              <w:rPr>
                <w:lang w:val="en-NZ"/>
              </w:rPr>
            </w:pPr>
            <w:r w:rsidRPr="007E44F7">
              <w:t>integrate tools with the overall operations stra</w:t>
            </w:r>
            <w:r w:rsidRPr="007E44F7">
              <w:t>tegy and future state.</w:t>
            </w:r>
          </w:p>
        </w:tc>
      </w:tr>
      <w:tr w:rsidTr="007E44F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4F7">
            <w:pPr>
              <w:pStyle w:val="BodyText"/>
              <w:rPr>
                <w:lang w:val="en-NZ"/>
              </w:rPr>
            </w:pPr>
            <w:r w:rsidRPr="007E44F7">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4F7" w:rsidP="007E44F7">
            <w:pPr>
              <w:pStyle w:val="BodyText"/>
            </w:pPr>
            <w:r w:rsidRPr="007E44F7">
              <w:t xml:space="preserve">Assessment of performance must be undertaken in a workplace using or implementing one or more competitive systems and practices. </w:t>
            </w:r>
          </w:p>
          <w:p w:rsidR="00000000" w:rsidRPr="007E44F7" w:rsidP="007E44F7">
            <w:pPr>
              <w:pStyle w:val="BodyText"/>
            </w:pPr>
            <w:r w:rsidRPr="007E44F7">
              <w:t>Access may be required to:</w:t>
            </w:r>
          </w:p>
          <w:p w:rsidR="00000000" w:rsidRPr="007E44F7" w:rsidP="007E44F7">
            <w:pPr>
              <w:pStyle w:val="ListBullet"/>
            </w:pPr>
            <w:r w:rsidRPr="007E44F7">
              <w:t>workplace procedures and plans relevant to work area</w:t>
            </w:r>
          </w:p>
          <w:p w:rsidR="00000000" w:rsidRPr="007E44F7" w:rsidP="007E44F7">
            <w:pPr>
              <w:pStyle w:val="ListBullet"/>
            </w:pPr>
            <w:r w:rsidRPr="007E44F7">
              <w:t>specifications and documentation relating to planned, currently being implemented, or implemented changes to work processes and procedures relevant to the assessee</w:t>
            </w:r>
          </w:p>
          <w:p w:rsidR="00000000" w:rsidRPr="007E44F7" w:rsidP="007E44F7">
            <w:pPr>
              <w:pStyle w:val="ListBullet"/>
            </w:pPr>
            <w:r w:rsidRPr="007E44F7">
              <w:t>documentation and information in relati</w:t>
            </w:r>
            <w:r w:rsidRPr="007E44F7">
              <w:t>on to production, waste, overheads and hazard control/management</w:t>
            </w:r>
          </w:p>
          <w:p w:rsidR="00000000" w:rsidRPr="007E44F7" w:rsidP="007E44F7">
            <w:pPr>
              <w:pStyle w:val="ListBullet"/>
            </w:pPr>
            <w:r w:rsidRPr="007E44F7">
              <w:t>reports from supervisors/managers</w:t>
            </w:r>
          </w:p>
          <w:p w:rsidR="00000000" w:rsidP="007E44F7">
            <w:pPr>
              <w:pStyle w:val="ListBullet"/>
              <w:rPr>
                <w:lang w:val="en-NZ"/>
              </w:rPr>
            </w:pPr>
            <w:r w:rsidRPr="007E44F7">
              <w:t>case studies and scenarios to assess responses to contingencies.</w:t>
            </w:r>
          </w:p>
        </w:tc>
      </w:tr>
      <w:tr w:rsidTr="007E44F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4F7">
            <w:pPr>
              <w:pStyle w:val="BodyText"/>
              <w:rPr>
                <w:lang w:val="en-NZ"/>
              </w:rPr>
            </w:pPr>
            <w:r w:rsidRPr="007E44F7">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4F7" w:rsidP="007E44F7">
            <w:pPr>
              <w:pStyle w:val="BodyText"/>
            </w:pPr>
            <w:r w:rsidRPr="007E44F7">
              <w:t>A holistic approach should be taken to the assessment.</w:t>
            </w:r>
          </w:p>
          <w:p w:rsidR="00000000" w:rsidRPr="007E44F7" w:rsidP="007E44F7">
            <w:pPr>
              <w:pStyle w:val="BodyText"/>
            </w:pPr>
            <w:r w:rsidRPr="007E44F7">
              <w:t>Competence in t</w:t>
            </w:r>
            <w:r w:rsidRPr="007E44F7">
              <w:t>his unit may be assessed by using a combination of the following to generate evidence:</w:t>
            </w:r>
          </w:p>
          <w:p w:rsidR="00000000" w:rsidRPr="007E44F7" w:rsidP="007E44F7">
            <w:pPr>
              <w:pStyle w:val="ListBullet"/>
            </w:pPr>
            <w:r w:rsidRPr="007E44F7">
              <w:t>demonstration in the workplace</w:t>
            </w:r>
          </w:p>
          <w:p w:rsidR="00000000" w:rsidRPr="007E44F7" w:rsidP="007E44F7">
            <w:pPr>
              <w:pStyle w:val="ListBullet"/>
            </w:pPr>
            <w:r w:rsidRPr="007E44F7">
              <w:t>workplace projects</w:t>
            </w:r>
          </w:p>
          <w:p w:rsidR="00000000" w:rsidRPr="007E44F7" w:rsidP="007E44F7">
            <w:pPr>
              <w:pStyle w:val="ListBullet"/>
            </w:pPr>
            <w:r w:rsidRPr="007E44F7">
              <w:t>suitable simulation</w:t>
            </w:r>
          </w:p>
          <w:p w:rsidR="00000000" w:rsidRPr="007E44F7" w:rsidP="007E44F7">
            <w:pPr>
              <w:pStyle w:val="ListBullet"/>
            </w:pPr>
            <w:r w:rsidRPr="007E44F7">
              <w:t>case studies/scenarios (particularly for assessment of contingencies, improvement scenarios, and s</w:t>
            </w:r>
            <w:r w:rsidRPr="007E44F7">
              <w:t>o on)</w:t>
            </w:r>
          </w:p>
          <w:p w:rsidR="00000000" w:rsidRPr="007E44F7" w:rsidP="007E44F7">
            <w:pPr>
              <w:pStyle w:val="ListBullet"/>
            </w:pPr>
            <w:r w:rsidRPr="007E44F7">
              <w:t xml:space="preserve">targeted questioning </w:t>
            </w:r>
          </w:p>
          <w:p w:rsidR="00000000" w:rsidRPr="007E44F7" w:rsidP="007E44F7">
            <w:pPr>
              <w:pStyle w:val="ListBullet"/>
            </w:pPr>
            <w:r w:rsidRPr="007E44F7">
              <w:t>reports from supervisors, peers and colleagues (third-party reports)</w:t>
            </w:r>
          </w:p>
          <w:p w:rsidR="00000000" w:rsidRPr="007E44F7" w:rsidP="007E44F7">
            <w:pPr>
              <w:pStyle w:val="ListBullet"/>
            </w:pPr>
            <w:r w:rsidRPr="007E44F7">
              <w:t>portfolio of evidence.</w:t>
            </w:r>
          </w:p>
          <w:p w:rsidR="00000000" w:rsidRPr="007E44F7" w:rsidP="007E44F7">
            <w:pPr>
              <w:pStyle w:val="BodyText"/>
            </w:pPr>
            <w:r w:rsidRPr="007E44F7">
              <w:t>In all cases it is expected that practical assessment will be combined with targeted questioning to assess underpinning knowledge.</w:t>
            </w:r>
          </w:p>
          <w:p w:rsidR="00000000" w:rsidP="007E44F7">
            <w:pPr>
              <w:pStyle w:val="BodyText"/>
              <w:rPr>
                <w:lang w:val="en-NZ"/>
              </w:rPr>
            </w:pPr>
            <w:r w:rsidRPr="007E44F7">
              <w:t>Where applicable, reasonable adjustment must be made to work environments and training situations to accommodate ethnicity, age, gender, demographics and disability.</w:t>
            </w:r>
          </w:p>
        </w:tc>
      </w:tr>
      <w:tr w:rsidTr="007E44F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4F7">
            <w:pPr>
              <w:pStyle w:val="BodyText"/>
              <w:rPr>
                <w:lang w:val="en-NZ"/>
              </w:rPr>
            </w:pPr>
            <w:r w:rsidRPr="007E44F7">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4F7" w:rsidP="007E44F7">
            <w:pPr>
              <w:pStyle w:val="BodyText"/>
            </w:pPr>
            <w:r w:rsidRPr="007E44F7">
              <w:t>Assessment processes and techniques must be culturall</w:t>
            </w:r>
            <w:r w:rsidRPr="007E44F7">
              <w:t>y appropriate and appropriate to the language and literacy capacity of the candidate and the work being performed.</w:t>
            </w:r>
          </w:p>
        </w:tc>
      </w:tr>
    </w:tbl>
    <w:p w:rsidR="00782BDA" w:rsidP="007E44F7">
      <w:pPr>
        <w:pStyle w:val="BodyText"/>
      </w:pPr>
    </w:p>
    <w:p w:rsidR="00782BDA" w:rsidP="007E44F7">
      <w:pPr>
        <w:pStyle w:val="BodyText"/>
      </w:pPr>
    </w:p>
    <w:p w:rsidR="00000000" w:rsidRPr="007E44F7" w:rsidP="007E44F7">
      <w:pPr>
        <w:pStyle w:val="Heading1"/>
      </w:pPr>
      <w:bookmarkStart w:id="11" w:name="O_468114"/>
      <w:bookmarkEnd w:id="11"/>
      <w:r w:rsidRPr="007E44F7">
        <w:t>Range Statement</w:t>
      </w:r>
    </w:p>
    <w:tbl>
      <w:tblPr>
        <w:tblW w:w="9462" w:type="dxa"/>
        <w:tblLayout w:type="fixed"/>
        <w:tblCellMar>
          <w:left w:w="62" w:type="dxa"/>
          <w:right w:w="62" w:type="dxa"/>
        </w:tblCellMar>
        <w:tblLook w:val="0000"/>
      </w:tblPr>
      <w:tblGrid>
        <w:gridCol w:w="3800"/>
        <w:gridCol w:w="5662"/>
      </w:tblGrid>
      <w:tr w:rsidTr="007E44F7">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7E44F7">
            <w:pPr>
              <w:pStyle w:val="BodyText"/>
              <w:rPr>
                <w:lang w:val="en-NZ"/>
              </w:rPr>
            </w:pPr>
            <w:r w:rsidRPr="007E44F7">
              <w:t>The range statement relates to the unit of competency as a whole. It allows for different work environmen</w:t>
            </w:r>
            <w:r w:rsidRPr="007E44F7">
              <w:t>ts and situations that may affect performance. Bold italicised wording, if used in the performance criteria, is detailed below. Essential operating conditions that may be present with training and assessment (depending on the work situation, needs of the c</w:t>
            </w:r>
            <w:r w:rsidRPr="007E44F7">
              <w:t>andidate, accessibility of the item, and local industry and regional contexts) may also be included.</w:t>
            </w:r>
          </w:p>
        </w:tc>
      </w:tr>
      <w:tr w:rsidTr="007E44F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4F7" w:rsidP="007E44F7">
            <w:pPr>
              <w:pStyle w:val="BodyText"/>
            </w:pPr>
            <w:r w:rsidRPr="007E44F7">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4F7" w:rsidP="007E44F7">
            <w:pPr>
              <w:pStyle w:val="BodyText"/>
            </w:pPr>
            <w:r w:rsidRPr="007E44F7">
              <w:t>Competitive systems and practices may include, but are not limited to:</w:t>
            </w:r>
          </w:p>
          <w:p w:rsidR="00000000" w:rsidRPr="007E44F7" w:rsidP="007E44F7">
            <w:pPr>
              <w:pStyle w:val="ListBullet"/>
            </w:pPr>
            <w:r w:rsidRPr="007E44F7">
              <w:t>lean operations</w:t>
            </w:r>
          </w:p>
          <w:p w:rsidR="00000000" w:rsidRPr="007E44F7" w:rsidP="007E44F7">
            <w:pPr>
              <w:pStyle w:val="ListBullet"/>
            </w:pPr>
            <w:r w:rsidRPr="007E44F7">
              <w:t>agile operations</w:t>
            </w:r>
          </w:p>
          <w:p w:rsidR="00000000" w:rsidRPr="007E44F7" w:rsidP="007E44F7">
            <w:pPr>
              <w:pStyle w:val="ListBullet"/>
            </w:pPr>
            <w:r w:rsidRPr="007E44F7">
              <w:t>preventat</w:t>
            </w:r>
            <w:r w:rsidRPr="007E44F7">
              <w:t>ive and predictive maintenance approaches</w:t>
            </w:r>
          </w:p>
          <w:p w:rsidR="00000000" w:rsidRPr="007E44F7" w:rsidP="007E44F7">
            <w:pPr>
              <w:pStyle w:val="ListBullet"/>
            </w:pPr>
            <w:r w:rsidRPr="007E44F7">
              <w:t xml:space="preserve">monitoring and data gathering systems, such as Systems Control and Data Acquisition (SCADA) software, Enterprise Resource Planning (ERP) systems, Materials Resource Planning (MRP) and proprietary systems </w:t>
            </w:r>
          </w:p>
          <w:p w:rsidR="00000000" w:rsidRPr="007E44F7" w:rsidP="007E44F7">
            <w:pPr>
              <w:pStyle w:val="ListBullet"/>
            </w:pPr>
            <w:r w:rsidRPr="007E44F7">
              <w:t>statistic</w:t>
            </w:r>
            <w:r w:rsidRPr="007E44F7">
              <w:t>al process control systems, including six sigma and three sigma</w:t>
            </w:r>
          </w:p>
          <w:p w:rsidR="00000000" w:rsidRPr="007E44F7" w:rsidP="007E44F7">
            <w:pPr>
              <w:pStyle w:val="ListBullet"/>
            </w:pPr>
            <w:r w:rsidRPr="007E44F7">
              <w:t>JIT, kanban and other pull-related operations control systems</w:t>
            </w:r>
          </w:p>
          <w:p w:rsidR="00000000" w:rsidRPr="007E44F7" w:rsidP="007E44F7">
            <w:pPr>
              <w:pStyle w:val="ListBullet"/>
            </w:pPr>
            <w:r w:rsidRPr="007E44F7">
              <w:t>supply, value, and demand chain monitoring and analysis</w:t>
            </w:r>
          </w:p>
          <w:p w:rsidR="00000000" w:rsidRPr="007E44F7" w:rsidP="007E44F7">
            <w:pPr>
              <w:pStyle w:val="ListBullet"/>
            </w:pPr>
            <w:r w:rsidRPr="007E44F7">
              <w:t xml:space="preserve">5S </w:t>
            </w:r>
          </w:p>
          <w:p w:rsidR="00000000" w:rsidRPr="007E44F7" w:rsidP="007E44F7">
            <w:pPr>
              <w:pStyle w:val="ListBullet"/>
            </w:pPr>
            <w:r w:rsidRPr="007E44F7">
              <w:t>continuous improvement (kaizen)</w:t>
            </w:r>
          </w:p>
          <w:p w:rsidR="00000000" w:rsidRPr="007E44F7" w:rsidP="007E44F7">
            <w:pPr>
              <w:pStyle w:val="ListBullet"/>
            </w:pPr>
            <w:r w:rsidRPr="007E44F7">
              <w:t>bre</w:t>
            </w:r>
            <w:r w:rsidRPr="007E44F7">
              <w:t>akthrough improvement (kaizen blitz)</w:t>
            </w:r>
          </w:p>
          <w:p w:rsidR="00000000" w:rsidRPr="007E44F7" w:rsidP="007E44F7">
            <w:pPr>
              <w:pStyle w:val="ListBullet"/>
            </w:pPr>
            <w:r w:rsidRPr="007E44F7">
              <w:t>cause/effect diagrams</w:t>
            </w:r>
          </w:p>
          <w:p w:rsidR="00000000" w:rsidRPr="007E44F7" w:rsidP="007E44F7">
            <w:pPr>
              <w:pStyle w:val="ListBullet"/>
            </w:pPr>
            <w:r w:rsidRPr="007E44F7">
              <w:t>overall equipment effectiveness (OEE)</w:t>
            </w:r>
          </w:p>
          <w:p w:rsidR="00000000" w:rsidRPr="007E44F7" w:rsidP="007E44F7">
            <w:pPr>
              <w:pStyle w:val="ListBullet"/>
            </w:pPr>
            <w:r w:rsidRPr="007E44F7">
              <w:t>takt time</w:t>
            </w:r>
          </w:p>
          <w:p w:rsidR="00000000" w:rsidRPr="007E44F7" w:rsidP="007E44F7">
            <w:pPr>
              <w:pStyle w:val="ListBullet"/>
            </w:pPr>
            <w:r w:rsidRPr="007E44F7">
              <w:t>process mapping</w:t>
            </w:r>
          </w:p>
          <w:p w:rsidR="00000000" w:rsidRPr="007E44F7" w:rsidP="007E44F7">
            <w:pPr>
              <w:pStyle w:val="ListBullet"/>
            </w:pPr>
            <w:r w:rsidRPr="007E44F7">
              <w:t xml:space="preserve">problem solving </w:t>
            </w:r>
          </w:p>
          <w:p w:rsidR="00000000" w:rsidRPr="007E44F7" w:rsidP="007E44F7">
            <w:pPr>
              <w:pStyle w:val="ListBullet"/>
            </w:pPr>
            <w:r w:rsidRPr="007E44F7">
              <w:t>run charts</w:t>
            </w:r>
          </w:p>
          <w:p w:rsidR="00000000" w:rsidRPr="007E44F7" w:rsidP="007E44F7">
            <w:pPr>
              <w:pStyle w:val="ListBullet"/>
            </w:pPr>
            <w:r w:rsidRPr="007E44F7">
              <w:t>standard procedures</w:t>
            </w:r>
          </w:p>
          <w:p w:rsidR="00000000" w:rsidRPr="007E44F7" w:rsidP="007E44F7">
            <w:pPr>
              <w:pStyle w:val="ListBullet"/>
            </w:pPr>
            <w:r w:rsidRPr="007E44F7">
              <w:t>current reality tree</w:t>
            </w:r>
          </w:p>
          <w:p w:rsidR="00000000" w:rsidRPr="007E44F7" w:rsidP="007E44F7">
            <w:pPr>
              <w:pStyle w:val="BodyText"/>
            </w:pPr>
            <w:r w:rsidRPr="007E44F7">
              <w:t>Competitive systems and practices should be interpreted so as to</w:t>
            </w:r>
            <w:r w:rsidRPr="007E44F7">
              <w:t xml:space="preserve"> take into account:</w:t>
            </w:r>
          </w:p>
          <w:p w:rsidR="00000000" w:rsidRPr="007E44F7" w:rsidP="007E44F7">
            <w:pPr>
              <w:pStyle w:val="ListBullet"/>
            </w:pPr>
            <w:r w:rsidRPr="007E44F7">
              <w:t>the stage of implementation of competitive systems and practices</w:t>
            </w:r>
          </w:p>
          <w:p w:rsidR="00000000" w:rsidRPr="007E44F7" w:rsidP="007E44F7">
            <w:pPr>
              <w:pStyle w:val="ListBullet"/>
            </w:pPr>
            <w:r w:rsidRPr="007E44F7">
              <w:t>the size of the enterprise</w:t>
            </w:r>
          </w:p>
          <w:p w:rsidR="00000000" w:rsidP="007E44F7">
            <w:pPr>
              <w:pStyle w:val="ListBullet"/>
              <w:rPr>
                <w:lang w:val="en-NZ"/>
              </w:rPr>
            </w:pPr>
            <w:r w:rsidRPr="007E44F7">
              <w:t>the work organisation, culture, regulatory environment and the industry sector</w:t>
            </w:r>
          </w:p>
        </w:tc>
      </w:tr>
      <w:tr w:rsidTr="007E44F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4F7">
            <w:pPr>
              <w:pStyle w:val="BodyText"/>
              <w:rPr>
                <w:lang w:val="en-NZ"/>
              </w:rPr>
            </w:pPr>
            <w:r w:rsidRPr="007E44F7">
              <w:rPr>
                <w:rStyle w:val="SpecialBold"/>
              </w:rPr>
              <w:t>Future state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4F7" w:rsidP="007E44F7">
            <w:pPr>
              <w:pStyle w:val="BodyText"/>
            </w:pPr>
            <w:r w:rsidRPr="007E44F7">
              <w:t>Future state may include:</w:t>
            </w:r>
          </w:p>
          <w:p w:rsidR="00000000" w:rsidRPr="007E44F7" w:rsidP="007E44F7">
            <w:pPr>
              <w:pStyle w:val="ListBullet"/>
            </w:pPr>
            <w:r w:rsidRPr="007E44F7">
              <w:t>process reliability</w:t>
            </w:r>
          </w:p>
          <w:p w:rsidR="00000000" w:rsidRPr="007E44F7" w:rsidP="007E44F7">
            <w:pPr>
              <w:pStyle w:val="ListBullet"/>
            </w:pPr>
            <w:r w:rsidRPr="007E44F7">
              <w:t>waste</w:t>
            </w:r>
          </w:p>
          <w:p w:rsidR="00000000" w:rsidRPr="007E44F7" w:rsidP="007E44F7">
            <w:pPr>
              <w:pStyle w:val="ListBullet"/>
            </w:pPr>
            <w:r w:rsidRPr="007E44F7">
              <w:t>health, safety and environment (HSE)</w:t>
            </w:r>
          </w:p>
          <w:p w:rsidR="00000000" w:rsidRPr="007E44F7" w:rsidP="007E44F7">
            <w:pPr>
              <w:pStyle w:val="ListBullet"/>
            </w:pPr>
            <w:r w:rsidRPr="007E44F7">
              <w:t>maintenance</w:t>
            </w:r>
          </w:p>
          <w:p w:rsidR="00000000" w:rsidP="007E44F7">
            <w:pPr>
              <w:pStyle w:val="ListBullet"/>
              <w:rPr>
                <w:lang w:val="en-NZ"/>
              </w:rPr>
            </w:pPr>
            <w:r w:rsidRPr="007E44F7">
              <w:t xml:space="preserve">systems </w:t>
            </w:r>
          </w:p>
        </w:tc>
      </w:tr>
      <w:tr w:rsidTr="007E44F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4F7">
            <w:pPr>
              <w:pStyle w:val="BodyText"/>
              <w:rPr>
                <w:lang w:val="en-NZ"/>
              </w:rPr>
            </w:pPr>
            <w:r w:rsidRPr="007E44F7">
              <w:rPr>
                <w:rStyle w:val="SpecialBold"/>
              </w:rPr>
              <w:t>Codes of practice/standards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4F7">
            <w:pPr>
              <w:pStyle w:val="BodyText"/>
              <w:rPr>
                <w:lang w:val="en-NZ"/>
              </w:rPr>
            </w:pPr>
            <w:r w:rsidRPr="007E44F7">
              <w:t>Where reference is made to industry codes of practice, and/or Australian/international standards, the latest version must be used</w:t>
            </w:r>
          </w:p>
        </w:tc>
      </w:tr>
      <w:tr w:rsidTr="007E44F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4F7">
            <w:pPr>
              <w:pStyle w:val="BodyText"/>
              <w:rPr>
                <w:lang w:val="en-NZ"/>
              </w:rPr>
            </w:pPr>
            <w:r w:rsidRPr="007E44F7">
              <w:rPr>
                <w:rStyle w:val="SpecialBold"/>
              </w:rPr>
              <w:t>HSE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4F7">
            <w:pPr>
              <w:pStyle w:val="BodyText"/>
              <w:rPr>
                <w:lang w:val="en-NZ"/>
              </w:rPr>
            </w:pPr>
            <w:r w:rsidRPr="007E44F7">
              <w:t xml:space="preserve">All changes implemented are </w:t>
            </w:r>
            <w:r w:rsidRPr="007E44F7">
              <w:t>expected to be at least neutral, or preferably beneficial, in their impact on HSE</w:t>
            </w:r>
          </w:p>
        </w:tc>
      </w:tr>
      <w:tr w:rsidTr="007E44F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4F7">
            <w:pPr>
              <w:pStyle w:val="BodyText"/>
              <w:rPr>
                <w:lang w:val="en-NZ"/>
              </w:rPr>
            </w:pPr>
            <w:r w:rsidRPr="007E44F7">
              <w:rPr>
                <w:rStyle w:val="SpecialBold"/>
              </w:rPr>
              <w:t>Organisation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4F7" w:rsidP="007E44F7">
            <w:pPr>
              <w:pStyle w:val="BodyText"/>
            </w:pPr>
            <w:r w:rsidRPr="007E44F7">
              <w:t>Organisation includes:</w:t>
            </w:r>
          </w:p>
          <w:p w:rsidR="00000000" w:rsidRPr="007E44F7" w:rsidP="007E44F7">
            <w:pPr>
              <w:pStyle w:val="ListBullet"/>
            </w:pPr>
            <w:r w:rsidRPr="007E44F7">
              <w:t>any part of a operations or service organisation</w:t>
            </w:r>
          </w:p>
          <w:p w:rsidR="00000000" w:rsidP="007E44F7">
            <w:pPr>
              <w:pStyle w:val="ListBullet"/>
              <w:rPr>
                <w:lang w:val="en-NZ"/>
              </w:rPr>
            </w:pPr>
            <w:r w:rsidRPr="007E44F7">
              <w:t>companies, government bodies or other body of people aiming to produce a product to service a customer</w:t>
            </w:r>
          </w:p>
        </w:tc>
      </w:tr>
      <w:tr w:rsidTr="007E44F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4F7">
            <w:pPr>
              <w:pStyle w:val="BodyText"/>
              <w:rPr>
                <w:lang w:val="en-NZ"/>
              </w:rPr>
            </w:pPr>
            <w:r w:rsidRPr="007E44F7">
              <w:rPr>
                <w:rStyle w:val="SpecialBold"/>
              </w:rPr>
              <w:t>Desired future state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4F7" w:rsidP="007E44F7">
            <w:pPr>
              <w:pStyle w:val="BodyText"/>
            </w:pPr>
            <w:r w:rsidRPr="007E44F7">
              <w:t>Desired future state refers to:</w:t>
            </w:r>
          </w:p>
          <w:p w:rsidR="00000000" w:rsidP="007E44F7">
            <w:pPr>
              <w:pStyle w:val="ListBullet"/>
              <w:rPr>
                <w:lang w:val="en-NZ"/>
              </w:rPr>
            </w:pPr>
            <w:r w:rsidRPr="007E44F7">
              <w:t>the agreed position of where the organisation wants to be as measured by performance indicators</w:t>
            </w:r>
          </w:p>
        </w:tc>
      </w:tr>
      <w:tr w:rsidTr="007E44F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4F7">
            <w:pPr>
              <w:pStyle w:val="BodyText"/>
              <w:rPr>
                <w:lang w:val="en-NZ"/>
              </w:rPr>
            </w:pPr>
            <w:r w:rsidRPr="007E44F7">
              <w:rPr>
                <w:rStyle w:val="SpecialBold"/>
              </w:rPr>
              <w:t>P</w:t>
            </w:r>
            <w:r w:rsidRPr="007E44F7">
              <w:rPr>
                <w:rStyle w:val="SpecialBold"/>
              </w:rPr>
              <w:t>rogress not to plan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4F7" w:rsidP="007E44F7">
            <w:pPr>
              <w:pStyle w:val="BodyText"/>
            </w:pPr>
            <w:r w:rsidRPr="007E44F7">
              <w:t>Progress not to plan includes:</w:t>
            </w:r>
          </w:p>
          <w:p w:rsidR="00000000" w:rsidP="007E44F7">
            <w:pPr>
              <w:pStyle w:val="ListBullet"/>
              <w:rPr>
                <w:lang w:val="en-NZ"/>
              </w:rPr>
            </w:pPr>
            <w:r w:rsidRPr="007E44F7">
              <w:t>both progress which falls short of plan and which exceeds plan</w:t>
            </w:r>
          </w:p>
        </w:tc>
      </w:tr>
      <w:tr w:rsidTr="007E44F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4F7">
            <w:pPr>
              <w:pStyle w:val="BodyText"/>
              <w:rPr>
                <w:lang w:val="en-NZ"/>
              </w:rPr>
            </w:pPr>
            <w:r w:rsidRPr="007E44F7">
              <w:rPr>
                <w:rStyle w:val="SpecialBold"/>
              </w:rPr>
              <w:t>Improvements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4F7" w:rsidP="007E44F7">
            <w:pPr>
              <w:pStyle w:val="BodyText"/>
            </w:pPr>
            <w:r w:rsidRPr="007E44F7">
              <w:t>Improvements include:</w:t>
            </w:r>
          </w:p>
          <w:p w:rsidR="00000000" w:rsidRPr="007E44F7" w:rsidP="007E44F7">
            <w:pPr>
              <w:pStyle w:val="ListBullet"/>
            </w:pPr>
            <w:r w:rsidRPr="007E44F7">
              <w:t>the use of different or additional tools</w:t>
            </w:r>
          </w:p>
          <w:p w:rsidR="00000000" w:rsidRPr="007E44F7" w:rsidP="007E44F7">
            <w:pPr>
              <w:pStyle w:val="ListBullet"/>
            </w:pPr>
            <w:r w:rsidRPr="007E44F7">
              <w:t xml:space="preserve">the application of the current tools in use in a different way </w:t>
            </w:r>
          </w:p>
          <w:p w:rsidR="00000000" w:rsidP="007E44F7">
            <w:pPr>
              <w:pStyle w:val="ListBullet"/>
              <w:rPr>
                <w:lang w:val="en-NZ"/>
              </w:rPr>
            </w:pPr>
            <w:r w:rsidRPr="007E44F7">
              <w:t>a change of emphasis from ‘tools’ to an accepted part of the organisation’s culture</w:t>
            </w:r>
          </w:p>
        </w:tc>
      </w:tr>
      <w:tr w:rsidTr="007E44F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4F7">
            <w:pPr>
              <w:pStyle w:val="BodyText"/>
              <w:rPr>
                <w:lang w:val="en-NZ"/>
              </w:rPr>
            </w:pPr>
            <w:r w:rsidRPr="007E44F7">
              <w:rPr>
                <w:rStyle w:val="SpecialBold"/>
              </w:rPr>
              <w:t>Manager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4F7" w:rsidP="007E44F7">
            <w:pPr>
              <w:pStyle w:val="BodyText"/>
            </w:pPr>
            <w:r w:rsidRPr="007E44F7">
              <w:t>Manager may include:</w:t>
            </w:r>
          </w:p>
          <w:p w:rsidR="00000000" w:rsidRPr="007E44F7" w:rsidP="007E44F7">
            <w:pPr>
              <w:pStyle w:val="ListBullet"/>
            </w:pPr>
            <w:r w:rsidRPr="007E44F7">
              <w:t xml:space="preserve">any person who may have either a permanent or an ad hoc role in facilitating the </w:t>
            </w:r>
            <w:r w:rsidRPr="007E44F7">
              <w:t>function of multiple teams in a workplace, departments or entire organisations</w:t>
            </w:r>
          </w:p>
        </w:tc>
      </w:tr>
    </w:tbl>
    <w:p w:rsidR="00782BDA" w:rsidP="007E44F7">
      <w:pPr>
        <w:pStyle w:val="BodyText"/>
      </w:pPr>
    </w:p>
    <w:p w:rsidR="00782BDA" w:rsidP="007E44F7">
      <w:pPr>
        <w:pStyle w:val="BodyText"/>
      </w:pPr>
    </w:p>
    <w:p w:rsidR="00000000" w:rsidRPr="007E44F7" w:rsidP="007E44F7">
      <w:pPr>
        <w:pStyle w:val="Heading1"/>
      </w:pPr>
      <w:bookmarkStart w:id="12" w:name="O_468115"/>
      <w:bookmarkEnd w:id="12"/>
      <w:r w:rsidRPr="007E44F7">
        <w:t>Unit Sector(s)</w:t>
      </w:r>
    </w:p>
    <w:tbl>
      <w:tblPr>
        <w:tblW w:w="9354" w:type="dxa"/>
        <w:tblLayout w:type="fixed"/>
        <w:tblCellMar>
          <w:left w:w="62" w:type="dxa"/>
          <w:right w:w="62" w:type="dxa"/>
        </w:tblCellMar>
        <w:tblLook w:val="0000"/>
      </w:tblPr>
      <w:tblGrid>
        <w:gridCol w:w="2592"/>
        <w:gridCol w:w="6762"/>
      </w:tblGrid>
      <w:tr w:rsidTr="007E44F7">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7E44F7">
            <w:pPr>
              <w:pStyle w:val="BodyText"/>
              <w:rPr>
                <w:lang w:val="en-NZ"/>
              </w:rPr>
            </w:pPr>
            <w:r w:rsidRPr="007E44F7">
              <w:t>Unit sector</w:t>
            </w:r>
          </w:p>
        </w:tc>
        <w:tc>
          <w:tcPr>
            <w:tcW w:w="6762" w:type="dxa"/>
            <w:tcBorders>
              <w:top w:val="nil"/>
              <w:left w:val="nil"/>
              <w:bottom w:val="nil"/>
              <w:right w:val="nil"/>
            </w:tcBorders>
            <w:tcMar>
              <w:top w:w="0" w:type="dxa"/>
              <w:left w:w="62" w:type="dxa"/>
              <w:bottom w:w="0" w:type="dxa"/>
              <w:right w:w="62" w:type="dxa"/>
            </w:tcMar>
          </w:tcPr>
          <w:p w:rsidR="00000000" w:rsidRPr="007E44F7" w:rsidP="007E44F7">
            <w:pPr>
              <w:pStyle w:val="BodyText"/>
            </w:pPr>
            <w:r w:rsidRPr="007E44F7">
              <w:t>Competitive systems and practices</w:t>
            </w:r>
          </w:p>
        </w:tc>
      </w:tr>
    </w:tbl>
    <w:p w:rsidR="00000000" w:rsidRPr="007E44F7" w:rsidP="007E44F7">
      <w:pPr>
        <w:pStyle w:val="BodyText"/>
      </w:pPr>
    </w:p>
    <w:p w:rsidR="00000000" w:rsidRPr="007E44F7" w:rsidP="007E44F7">
      <w:pPr>
        <w:pStyle w:val="AllowPageBreak"/>
      </w:pPr>
    </w:p>
    <w:p w:rsidR="00000000" w:rsidRPr="007E44F7" w:rsidP="007E44F7">
      <w:pPr>
        <w:pStyle w:val="Heading1"/>
      </w:pPr>
      <w:bookmarkStart w:id="13" w:name="O_468116"/>
      <w:bookmarkEnd w:id="13"/>
      <w:r w:rsidRPr="007E44F7">
        <w:t>Custom Content Section</w:t>
      </w:r>
    </w:p>
    <w:p w:rsidR="00000000" w:rsidRPr="007E44F7" w:rsidP="007E44F7">
      <w:pPr>
        <w:pStyle w:val="BodyText"/>
      </w:pPr>
      <w:r w:rsidRPr="007E44F7">
        <w:t>Not applicable.</w:t>
      </w:r>
    </w:p>
    <w:p w:rsidR="00000000" w:rsidRPr="007E44F7" w:rsidP="007E44F7"/>
    <w:sectPr w:rsidSect="007E44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4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2BDA" w:rsidP="00782B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4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BDA" w:rsidP="007E44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82BDA" w:rsidP="007E44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82BDA" w:rsidP="007E44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4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2BDA" w:rsidP="00782BD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4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BDA" w:rsidP="007E44F7">
    <w:pPr>
      <w:pStyle w:val="Header"/>
      <w:framePr w:wrap="around"/>
    </w:pPr>
    <w:r>
      <w:fldChar w:fldCharType="begin"/>
    </w:r>
    <w:r>
      <w:instrText xml:space="preserve"> TITLE   \* MERGEFORMAT </w:instrText>
    </w:r>
    <w:r>
      <w:fldChar w:fldCharType="separate"/>
    </w:r>
    <w:r>
      <w:t>MSS408002A Audit the use of competitive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82BDA" w:rsidP="007E44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16D4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4C54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64B0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4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44F7"/>
    <w:pPr>
      <w:spacing w:before="360" w:after="60"/>
      <w:outlineLvl w:val="0"/>
    </w:pPr>
    <w:rPr>
      <w:sz w:val="32"/>
    </w:rPr>
  </w:style>
  <w:style w:type="paragraph" w:styleId="Heading2">
    <w:name w:val="heading 2"/>
    <w:basedOn w:val="HeadingBase"/>
    <w:next w:val="BodyText"/>
    <w:link w:val="Heading2Char"/>
    <w:qFormat/>
    <w:rsid w:val="007E44F7"/>
    <w:pPr>
      <w:keepLines/>
      <w:spacing w:before="240" w:after="120"/>
      <w:outlineLvl w:val="1"/>
    </w:pPr>
    <w:rPr>
      <w:sz w:val="28"/>
      <w:szCs w:val="40"/>
    </w:rPr>
  </w:style>
  <w:style w:type="paragraph" w:styleId="Heading3">
    <w:name w:val="heading 3"/>
    <w:basedOn w:val="HeadingBase"/>
    <w:next w:val="BodyText"/>
    <w:link w:val="Heading3Char"/>
    <w:qFormat/>
    <w:rsid w:val="007E44F7"/>
    <w:pPr>
      <w:spacing w:before="180" w:after="120"/>
      <w:outlineLvl w:val="2"/>
    </w:pPr>
    <w:rPr>
      <w:spacing w:val="-10"/>
      <w:kern w:val="32"/>
    </w:rPr>
  </w:style>
  <w:style w:type="paragraph" w:styleId="Heading4">
    <w:name w:val="heading 4"/>
    <w:basedOn w:val="HeadingBase"/>
    <w:next w:val="BodyText"/>
    <w:link w:val="Heading4Char"/>
    <w:qFormat/>
    <w:rsid w:val="007E44F7"/>
    <w:pPr>
      <w:spacing w:before="160" w:after="120"/>
      <w:outlineLvl w:val="3"/>
    </w:pPr>
    <w:rPr>
      <w:sz w:val="22"/>
    </w:rPr>
  </w:style>
  <w:style w:type="paragraph" w:styleId="Heading5">
    <w:name w:val="heading 5"/>
    <w:basedOn w:val="HeadingBase"/>
    <w:next w:val="Normal"/>
    <w:link w:val="Heading5Char"/>
    <w:qFormat/>
    <w:rsid w:val="007E44F7"/>
    <w:pPr>
      <w:spacing w:before="80"/>
      <w:outlineLvl w:val="4"/>
    </w:pPr>
    <w:rPr>
      <w:color w:val="918585"/>
      <w:sz w:val="20"/>
    </w:rPr>
  </w:style>
  <w:style w:type="paragraph" w:styleId="Heading6">
    <w:name w:val="heading 6"/>
    <w:basedOn w:val="HeadingBase"/>
    <w:next w:val="Normal"/>
    <w:link w:val="Heading6Char"/>
    <w:qFormat/>
    <w:rsid w:val="007E44F7"/>
    <w:pPr>
      <w:spacing w:before="60"/>
      <w:outlineLvl w:val="5"/>
    </w:pPr>
    <w:rPr>
      <w:color w:val="918585"/>
      <w:sz w:val="20"/>
    </w:rPr>
  </w:style>
  <w:style w:type="paragraph" w:styleId="Heading7">
    <w:name w:val="heading 7"/>
    <w:basedOn w:val="Normal"/>
    <w:next w:val="Normal"/>
    <w:link w:val="Heading7Char"/>
    <w:qFormat/>
    <w:rsid w:val="007E44F7"/>
    <w:pPr>
      <w:ind w:left="720"/>
      <w:outlineLvl w:val="6"/>
    </w:pPr>
    <w:rPr>
      <w:i/>
    </w:rPr>
  </w:style>
  <w:style w:type="paragraph" w:styleId="Heading8">
    <w:name w:val="heading 8"/>
    <w:basedOn w:val="Normal"/>
    <w:next w:val="Normal"/>
    <w:link w:val="Heading8Char"/>
    <w:qFormat/>
    <w:rsid w:val="007E44F7"/>
    <w:pPr>
      <w:ind w:left="720"/>
      <w:outlineLvl w:val="7"/>
    </w:pPr>
    <w:rPr>
      <w:i/>
    </w:rPr>
  </w:style>
  <w:style w:type="paragraph" w:styleId="Heading9">
    <w:name w:val="heading 9"/>
    <w:basedOn w:val="Normal"/>
    <w:next w:val="Normal"/>
    <w:link w:val="Heading9Char"/>
    <w:qFormat/>
    <w:rsid w:val="007E44F7"/>
    <w:pPr>
      <w:ind w:left="720"/>
      <w:outlineLvl w:val="8"/>
    </w:pPr>
    <w:rPr>
      <w:i/>
    </w:rPr>
  </w:style>
  <w:style w:type="character" w:default="1" w:styleId="DefaultParagraphFont">
    <w:name w:val="Default Paragraph Font"/>
    <w:uiPriority w:val="1"/>
    <w:unhideWhenUsed/>
    <w:rsid w:val="007E44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44F7"/>
  </w:style>
  <w:style w:type="character" w:customStyle="1" w:styleId="Heading1Char">
    <w:name w:val="Heading 1 Char"/>
    <w:basedOn w:val="DefaultParagraphFont"/>
    <w:link w:val="Heading1"/>
    <w:rsid w:val="007E44F7"/>
    <w:rPr>
      <w:rFonts w:ascii="Times New Roman" w:eastAsia="Times New Roman" w:hAnsi="Times New Roman" w:cs="Times New Roman"/>
      <w:b/>
      <w:sz w:val="32"/>
      <w:szCs w:val="20"/>
      <w:lang w:eastAsia="en-US"/>
    </w:rPr>
  </w:style>
  <w:style w:type="paragraph" w:styleId="BodyText">
    <w:name w:val="Body Text"/>
    <w:basedOn w:val="Normal"/>
    <w:link w:val="BodyTextChar"/>
    <w:rsid w:val="007E44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44F7"/>
    <w:rPr>
      <w:rFonts w:ascii="Times New Roman" w:eastAsia="Times New Roman" w:hAnsi="Times New Roman" w:cs="Times New Roman"/>
      <w:sz w:val="24"/>
      <w:lang w:val="en-US" w:eastAsia="en-US"/>
    </w:rPr>
  </w:style>
  <w:style w:type="paragraph" w:styleId="Footer">
    <w:name w:val="footer"/>
    <w:basedOn w:val="Normal"/>
    <w:link w:val="FooterChar"/>
    <w:rsid w:val="007E44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44F7"/>
    <w:rPr>
      <w:rFonts w:ascii="Times New Roman" w:eastAsia="Times New Roman" w:hAnsi="Times New Roman" w:cs="Times New Roman"/>
      <w:sz w:val="16"/>
      <w:lang w:val="en-US" w:eastAsia="en-US"/>
    </w:rPr>
  </w:style>
  <w:style w:type="paragraph" w:styleId="ListBullet">
    <w:name w:val="List Bullet"/>
    <w:basedOn w:val="List"/>
    <w:rsid w:val="007E44F7"/>
    <w:pPr>
      <w:numPr>
        <w:numId w:val="13"/>
      </w:numPr>
      <w:tabs>
        <w:tab w:val="clear" w:pos="340"/>
      </w:tabs>
      <w:spacing w:before="40" w:after="40"/>
    </w:pPr>
  </w:style>
  <w:style w:type="character" w:customStyle="1" w:styleId="SpecialBold">
    <w:name w:val="Special Bold"/>
    <w:basedOn w:val="DefaultParagraphFont"/>
    <w:rsid w:val="007E44F7"/>
    <w:rPr>
      <w:b/>
      <w:spacing w:val="0"/>
    </w:rPr>
  </w:style>
  <w:style w:type="paragraph" w:styleId="ListBullet2">
    <w:name w:val="List Bullet 2"/>
    <w:basedOn w:val="List2"/>
    <w:rsid w:val="007E44F7"/>
    <w:pPr>
      <w:numPr>
        <w:numId w:val="14"/>
      </w:numPr>
      <w:tabs>
        <w:tab w:val="clear" w:pos="680"/>
      </w:tabs>
    </w:pPr>
  </w:style>
  <w:style w:type="paragraph" w:styleId="Header">
    <w:name w:val="header"/>
    <w:basedOn w:val="Normal"/>
    <w:link w:val="HeaderChar"/>
    <w:rsid w:val="007E44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44F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E44F7"/>
    <w:rPr>
      <w:i/>
    </w:rPr>
  </w:style>
  <w:style w:type="paragraph" w:customStyle="1" w:styleId="SuperHeading">
    <w:name w:val="SuperHeading"/>
    <w:basedOn w:val="Normal"/>
    <w:rsid w:val="007E44F7"/>
    <w:pPr>
      <w:spacing w:before="240" w:after="120"/>
      <w:outlineLvl w:val="0"/>
    </w:pPr>
    <w:rPr>
      <w:rFonts w:ascii="Times New Roman" w:hAnsi="Times New Roman"/>
      <w:b/>
      <w:sz w:val="28"/>
    </w:rPr>
  </w:style>
  <w:style w:type="paragraph" w:customStyle="1" w:styleId="AllowPageBreak">
    <w:name w:val="AllowPageBreak"/>
    <w:rsid w:val="007E44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44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44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44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44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44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44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44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44F7"/>
    <w:rPr>
      <w:rFonts w:ascii="Courier New" w:eastAsia="Times New Roman" w:hAnsi="Courier New" w:cs="Times New Roman"/>
      <w:i/>
      <w:szCs w:val="20"/>
      <w:lang w:val="en-US" w:eastAsia="en-US"/>
    </w:rPr>
  </w:style>
  <w:style w:type="paragraph" w:customStyle="1" w:styleId="HeadingBase">
    <w:name w:val="Heading Base"/>
    <w:rsid w:val="007E44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44F7"/>
    <w:pPr>
      <w:tabs>
        <w:tab w:val="right" w:leader="dot" w:pos="9072"/>
      </w:tabs>
      <w:ind w:left="567"/>
    </w:pPr>
    <w:rPr>
      <w:szCs w:val="22"/>
    </w:rPr>
  </w:style>
  <w:style w:type="paragraph" w:customStyle="1" w:styleId="TOCBase">
    <w:name w:val="TOC Base"/>
    <w:rsid w:val="007E44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44F7"/>
    <w:pPr>
      <w:tabs>
        <w:tab w:val="right" w:leader="dot" w:pos="9072"/>
      </w:tabs>
      <w:spacing w:before="40" w:after="40"/>
      <w:ind w:left="284"/>
    </w:pPr>
    <w:rPr>
      <w:rFonts w:ascii="Times New Roman" w:hAnsi="Times New Roman"/>
    </w:rPr>
  </w:style>
  <w:style w:type="paragraph" w:styleId="TOC1">
    <w:name w:val="toc 1"/>
    <w:basedOn w:val="TOCBase"/>
    <w:next w:val="Normal"/>
    <w:rsid w:val="007E44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44F7"/>
    <w:pPr>
      <w:spacing w:before="5040"/>
      <w:jc w:val="center"/>
    </w:pPr>
    <w:rPr>
      <w:sz w:val="48"/>
      <w:szCs w:val="72"/>
      <w:lang w:val="en-US"/>
    </w:rPr>
  </w:style>
  <w:style w:type="character" w:customStyle="1" w:styleId="TitleChar">
    <w:name w:val="Title Char"/>
    <w:basedOn w:val="DefaultParagraphFont"/>
    <w:link w:val="Title"/>
    <w:rsid w:val="007E44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44F7"/>
    <w:pPr>
      <w:tabs>
        <w:tab w:val="left" w:pos="3600"/>
        <w:tab w:val="left" w:pos="3958"/>
      </w:tabs>
    </w:pPr>
  </w:style>
  <w:style w:type="paragraph" w:styleId="List">
    <w:name w:val="List"/>
    <w:basedOn w:val="BodyText"/>
    <w:next w:val="BodyText"/>
    <w:rsid w:val="007E44F7"/>
    <w:pPr>
      <w:tabs>
        <w:tab w:val="left" w:pos="340"/>
      </w:tabs>
      <w:spacing w:before="60" w:after="60"/>
      <w:ind w:left="340" w:hanging="340"/>
    </w:pPr>
  </w:style>
  <w:style w:type="paragraph" w:customStyle="1" w:styleId="Note">
    <w:name w:val="Note"/>
    <w:basedOn w:val="BodyText"/>
    <w:rsid w:val="007E44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44F7"/>
    <w:pPr>
      <w:framePr w:wrap="auto" w:hAnchor="text" w:y="6049"/>
    </w:pPr>
    <w:rPr>
      <w:color w:val="000000"/>
      <w:sz w:val="40"/>
    </w:rPr>
  </w:style>
  <w:style w:type="paragraph" w:customStyle="1" w:styleId="TOCTitle">
    <w:name w:val="TOCTitle"/>
    <w:basedOn w:val="Heading1"/>
    <w:rsid w:val="007E44F7"/>
    <w:pPr>
      <w:spacing w:after="240"/>
      <w:jc w:val="center"/>
      <w:outlineLvl w:val="9"/>
    </w:pPr>
    <w:rPr>
      <w:caps/>
    </w:rPr>
  </w:style>
  <w:style w:type="paragraph" w:customStyle="1" w:styleId="Version">
    <w:name w:val="Version"/>
    <w:rsid w:val="007E44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44F7"/>
    <w:pPr>
      <w:keepNext w:val="0"/>
      <w:tabs>
        <w:tab w:val="right" w:pos="4176"/>
      </w:tabs>
      <w:ind w:left="198" w:hanging="198"/>
    </w:pPr>
    <w:rPr>
      <w:rFonts w:ascii="Garamond" w:hAnsi="Garamond"/>
    </w:rPr>
  </w:style>
  <w:style w:type="paragraph" w:styleId="IndexHeading">
    <w:name w:val="index heading"/>
    <w:basedOn w:val="Normal"/>
    <w:next w:val="Index1"/>
    <w:semiHidden/>
    <w:rsid w:val="007E44F7"/>
    <w:pPr>
      <w:spacing w:before="120" w:after="120"/>
    </w:pPr>
    <w:rPr>
      <w:rFonts w:ascii="Arial" w:hAnsi="Arial"/>
      <w:b/>
      <w:color w:val="918585"/>
      <w:sz w:val="24"/>
    </w:rPr>
  </w:style>
  <w:style w:type="paragraph" w:customStyle="1" w:styleId="Chapter">
    <w:name w:val="Chapter"/>
    <w:basedOn w:val="Normal"/>
    <w:rsid w:val="007E44F7"/>
    <w:pPr>
      <w:spacing w:before="240"/>
    </w:pPr>
    <w:rPr>
      <w:rFonts w:ascii="Times New Roman" w:hAnsi="Times New Roman"/>
      <w:smallCaps/>
      <w:spacing w:val="80"/>
      <w:sz w:val="28"/>
    </w:rPr>
  </w:style>
  <w:style w:type="paragraph" w:customStyle="1" w:styleId="InChapter">
    <w:name w:val="InChapter"/>
    <w:basedOn w:val="Heading3"/>
    <w:rsid w:val="007E44F7"/>
    <w:pPr>
      <w:spacing w:after="240"/>
      <w:outlineLvl w:val="9"/>
    </w:pPr>
    <w:rPr>
      <w:noProof/>
    </w:rPr>
  </w:style>
  <w:style w:type="paragraph" w:styleId="Index2">
    <w:name w:val="index 2"/>
    <w:basedOn w:val="Normal"/>
    <w:next w:val="Normal"/>
    <w:semiHidden/>
    <w:rsid w:val="007E44F7"/>
    <w:pPr>
      <w:tabs>
        <w:tab w:val="right" w:pos="4176"/>
      </w:tabs>
      <w:ind w:left="568" w:hanging="284"/>
    </w:pPr>
    <w:rPr>
      <w:rFonts w:ascii="Garamond" w:hAnsi="Garamond"/>
    </w:rPr>
  </w:style>
  <w:style w:type="paragraph" w:customStyle="1" w:styleId="Byline">
    <w:name w:val="Byline"/>
    <w:rsid w:val="007E44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44F7"/>
    <w:pPr>
      <w:tabs>
        <w:tab w:val="clear" w:pos="3600"/>
        <w:tab w:val="clear" w:pos="3958"/>
      </w:tabs>
      <w:jc w:val="right"/>
    </w:pPr>
  </w:style>
  <w:style w:type="paragraph" w:styleId="Caption">
    <w:name w:val="caption"/>
    <w:basedOn w:val="BodyText"/>
    <w:next w:val="Normal"/>
    <w:qFormat/>
    <w:rsid w:val="007E44F7"/>
    <w:pPr>
      <w:framePr w:w="2268" w:hSpace="181" w:vSpace="181" w:wrap="around" w:vAnchor="text" w:hAnchor="page" w:x="1135" w:y="285" w:anchorLock="1"/>
    </w:pPr>
    <w:rPr>
      <w:i/>
    </w:rPr>
  </w:style>
  <w:style w:type="paragraph" w:customStyle="1" w:styleId="MiniTOCTitle">
    <w:name w:val="MiniTOCTitle"/>
    <w:basedOn w:val="Heading4"/>
    <w:rsid w:val="007E44F7"/>
    <w:pPr>
      <w:spacing w:before="240"/>
      <w:outlineLvl w:val="9"/>
    </w:pPr>
    <w:rPr>
      <w:noProof/>
      <w:sz w:val="24"/>
    </w:rPr>
  </w:style>
  <w:style w:type="paragraph" w:customStyle="1" w:styleId="MiniTOCItem">
    <w:name w:val="MiniTOCItem"/>
    <w:basedOn w:val="ListBullet"/>
    <w:rsid w:val="007E44F7"/>
    <w:pPr>
      <w:numPr>
        <w:numId w:val="0"/>
      </w:numPr>
      <w:tabs>
        <w:tab w:val="right" w:leader="dot" w:pos="6521"/>
      </w:tabs>
      <w:spacing w:before="0" w:after="0"/>
    </w:pPr>
  </w:style>
  <w:style w:type="paragraph" w:customStyle="1" w:styleId="TOFTitle">
    <w:name w:val="TOFTitle"/>
    <w:basedOn w:val="TOCTitle"/>
    <w:rsid w:val="007E44F7"/>
  </w:style>
  <w:style w:type="paragraph" w:styleId="TableofFigures">
    <w:name w:val="table of figures"/>
    <w:basedOn w:val="Normal"/>
    <w:next w:val="Normal"/>
    <w:semiHidden/>
    <w:rsid w:val="007E44F7"/>
    <w:pPr>
      <w:tabs>
        <w:tab w:val="right" w:leader="dot" w:pos="9072"/>
      </w:tabs>
      <w:ind w:left="970" w:hanging="403"/>
    </w:pPr>
    <w:rPr>
      <w:rFonts w:ascii="Times New Roman" w:hAnsi="Times New Roman"/>
      <w:b/>
    </w:rPr>
  </w:style>
  <w:style w:type="paragraph" w:styleId="ListNumber">
    <w:name w:val="List Number"/>
    <w:basedOn w:val="List"/>
    <w:rsid w:val="007E44F7"/>
    <w:pPr>
      <w:numPr>
        <w:numId w:val="11"/>
      </w:numPr>
    </w:pPr>
  </w:style>
  <w:style w:type="character" w:customStyle="1" w:styleId="WingdingSymbols">
    <w:name w:val="Wingding Symbols"/>
    <w:rsid w:val="007E44F7"/>
    <w:rPr>
      <w:rFonts w:ascii="Wingdings" w:hAnsi="Wingdings"/>
    </w:rPr>
  </w:style>
  <w:style w:type="paragraph" w:customStyle="1" w:styleId="TableHeading">
    <w:name w:val="Table Heading"/>
    <w:basedOn w:val="HeadingBase"/>
    <w:rsid w:val="007E44F7"/>
    <w:pPr>
      <w:keepLines/>
      <w:pBdr>
        <w:bottom w:val="single" w:sz="6" w:space="1" w:color="918585"/>
      </w:pBdr>
      <w:spacing w:before="240"/>
    </w:pPr>
  </w:style>
  <w:style w:type="character" w:customStyle="1" w:styleId="HotSpot">
    <w:name w:val="HotSpot"/>
    <w:rsid w:val="007E44F7"/>
    <w:rPr>
      <w:color w:val="0033CC"/>
      <w:u w:val="none"/>
    </w:rPr>
  </w:style>
  <w:style w:type="paragraph" w:customStyle="1" w:styleId="BodyTextRight">
    <w:name w:val="Body Text Right"/>
    <w:basedOn w:val="BodyText"/>
    <w:rsid w:val="007E44F7"/>
    <w:pPr>
      <w:spacing w:before="0" w:after="0"/>
      <w:jc w:val="right"/>
    </w:pPr>
  </w:style>
  <w:style w:type="paragraph" w:styleId="Index3">
    <w:name w:val="index 3"/>
    <w:basedOn w:val="ListNumber2"/>
    <w:next w:val="Normal"/>
    <w:semiHidden/>
    <w:rsid w:val="007E44F7"/>
    <w:pPr>
      <w:numPr>
        <w:numId w:val="0"/>
      </w:numPr>
      <w:tabs>
        <w:tab w:val="right" w:leader="dot" w:pos="4176"/>
      </w:tabs>
    </w:pPr>
  </w:style>
  <w:style w:type="paragraph" w:styleId="ListNumber2">
    <w:name w:val="List Number 2"/>
    <w:basedOn w:val="List2"/>
    <w:rsid w:val="007E44F7"/>
    <w:pPr>
      <w:numPr>
        <w:numId w:val="10"/>
      </w:numPr>
      <w:tabs>
        <w:tab w:val="clear" w:pos="1060"/>
      </w:tabs>
    </w:pPr>
  </w:style>
  <w:style w:type="paragraph" w:customStyle="1" w:styleId="MarginNote">
    <w:name w:val="Margin Note"/>
    <w:basedOn w:val="BodyText"/>
    <w:rsid w:val="007E44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44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44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44F7"/>
    <w:rPr>
      <w:sz w:val="32"/>
    </w:rPr>
  </w:style>
  <w:style w:type="paragraph" w:customStyle="1" w:styleId="HeadingProcedure">
    <w:name w:val="Heading Procedure"/>
    <w:basedOn w:val="HeadingBase"/>
    <w:next w:val="Normal"/>
    <w:rsid w:val="007E44F7"/>
    <w:pPr>
      <w:tabs>
        <w:tab w:val="left" w:pos="0"/>
      </w:tabs>
      <w:spacing w:before="120" w:after="60"/>
    </w:pPr>
    <w:rPr>
      <w:i/>
      <w:color w:val="918585"/>
      <w:sz w:val="22"/>
    </w:rPr>
  </w:style>
  <w:style w:type="paragraph" w:customStyle="1" w:styleId="TableBodyText">
    <w:name w:val="Table Body Text"/>
    <w:basedOn w:val="BodyText"/>
    <w:rsid w:val="007E44F7"/>
    <w:pPr>
      <w:spacing w:before="60" w:after="60"/>
    </w:pPr>
  </w:style>
  <w:style w:type="paragraph" w:styleId="ListContinue">
    <w:name w:val="List Continue"/>
    <w:basedOn w:val="List"/>
    <w:rsid w:val="007E44F7"/>
    <w:pPr>
      <w:ind w:firstLine="0"/>
    </w:pPr>
  </w:style>
  <w:style w:type="paragraph" w:customStyle="1" w:styleId="ListNote">
    <w:name w:val="List Note"/>
    <w:basedOn w:val="List"/>
    <w:rsid w:val="007E44F7"/>
    <w:pPr>
      <w:pBdr>
        <w:top w:val="single" w:sz="6" w:space="2" w:color="918585"/>
        <w:bottom w:val="single" w:sz="6" w:space="2" w:color="918585"/>
      </w:pBdr>
      <w:tabs>
        <w:tab w:val="left" w:pos="1021"/>
      </w:tabs>
      <w:ind w:firstLine="0"/>
    </w:pPr>
  </w:style>
  <w:style w:type="paragraph" w:customStyle="1" w:styleId="Warning">
    <w:name w:val="Warning"/>
    <w:basedOn w:val="BodyText"/>
    <w:rsid w:val="007E44F7"/>
    <w:pPr>
      <w:shd w:val="clear" w:color="auto" w:fill="D9D9D9"/>
      <w:tabs>
        <w:tab w:val="left" w:pos="992"/>
      </w:tabs>
      <w:ind w:left="119" w:right="119"/>
    </w:pPr>
    <w:rPr>
      <w:sz w:val="20"/>
    </w:rPr>
  </w:style>
  <w:style w:type="paragraph" w:customStyle="1" w:styleId="MarginIcons">
    <w:name w:val="Margin Icons"/>
    <w:basedOn w:val="BodyText"/>
    <w:rsid w:val="007E44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44F7"/>
    <w:rPr>
      <w:rFonts w:ascii="Courier New" w:hAnsi="Courier New"/>
    </w:rPr>
  </w:style>
  <w:style w:type="paragraph" w:customStyle="1" w:styleId="NoteBullet">
    <w:name w:val="Note Bullet"/>
    <w:basedOn w:val="Note"/>
    <w:rsid w:val="007E44F7"/>
    <w:pPr>
      <w:tabs>
        <w:tab w:val="clear" w:pos="680"/>
      </w:tabs>
      <w:spacing w:before="60" w:after="60"/>
    </w:pPr>
  </w:style>
  <w:style w:type="paragraph" w:customStyle="1" w:styleId="SubHeading2">
    <w:name w:val="SubHeading2"/>
    <w:basedOn w:val="HeadingBase"/>
    <w:rsid w:val="007E44F7"/>
    <w:pPr>
      <w:spacing w:before="240" w:after="60"/>
    </w:pPr>
    <w:rPr>
      <w:sz w:val="20"/>
    </w:rPr>
  </w:style>
  <w:style w:type="paragraph" w:customStyle="1" w:styleId="SubHeading1">
    <w:name w:val="SubHeading1"/>
    <w:basedOn w:val="HeadingBase"/>
    <w:rsid w:val="007E44F7"/>
    <w:pPr>
      <w:spacing w:before="240" w:after="60"/>
    </w:pPr>
    <w:rPr>
      <w:color w:val="918585"/>
      <w:sz w:val="22"/>
    </w:rPr>
  </w:style>
  <w:style w:type="paragraph" w:customStyle="1" w:styleId="SideHeading">
    <w:name w:val="Side Heading"/>
    <w:basedOn w:val="HeadingBase"/>
    <w:rsid w:val="007E44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44F7"/>
    <w:pPr>
      <w:numPr>
        <w:numId w:val="12"/>
      </w:numPr>
    </w:pPr>
  </w:style>
  <w:style w:type="paragraph" w:styleId="PlainText">
    <w:name w:val="Plain Text"/>
    <w:basedOn w:val="Normal"/>
    <w:link w:val="PlainTextChar"/>
    <w:rsid w:val="007E44F7"/>
    <w:rPr>
      <w:sz w:val="20"/>
    </w:rPr>
  </w:style>
  <w:style w:type="character" w:customStyle="1" w:styleId="PlainTextChar">
    <w:name w:val="Plain Text Char"/>
    <w:basedOn w:val="DefaultParagraphFont"/>
    <w:link w:val="PlainText"/>
    <w:rsid w:val="007E44F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E44F7"/>
    <w:rPr>
      <w:b/>
      <w:smallCaps/>
    </w:rPr>
  </w:style>
  <w:style w:type="paragraph" w:customStyle="1" w:styleId="TableListNumber">
    <w:name w:val="Table List Number"/>
    <w:basedOn w:val="ListNumber"/>
    <w:rsid w:val="007E44F7"/>
    <w:pPr>
      <w:numPr>
        <w:numId w:val="0"/>
      </w:numPr>
    </w:pPr>
  </w:style>
  <w:style w:type="paragraph" w:styleId="TOC4">
    <w:name w:val="toc 4"/>
    <w:basedOn w:val="TOCBase"/>
    <w:next w:val="Normal"/>
    <w:semiHidden/>
    <w:rsid w:val="007E44F7"/>
    <w:pPr>
      <w:tabs>
        <w:tab w:val="right" w:leader="dot" w:pos="9071"/>
      </w:tabs>
      <w:ind w:left="1701"/>
    </w:pPr>
  </w:style>
  <w:style w:type="paragraph" w:customStyle="1" w:styleId="ListAlpha">
    <w:name w:val="List Alpha"/>
    <w:basedOn w:val="List"/>
    <w:rsid w:val="007E44F7"/>
    <w:pPr>
      <w:numPr>
        <w:numId w:val="9"/>
      </w:numPr>
    </w:pPr>
  </w:style>
  <w:style w:type="paragraph" w:customStyle="1" w:styleId="ListAlpha2">
    <w:name w:val="List Alpha 2"/>
    <w:basedOn w:val="List2"/>
    <w:rsid w:val="007E44F7"/>
    <w:pPr>
      <w:numPr>
        <w:numId w:val="8"/>
      </w:numPr>
    </w:pPr>
  </w:style>
  <w:style w:type="paragraph" w:styleId="List2">
    <w:name w:val="List 2"/>
    <w:basedOn w:val="BodyText"/>
    <w:rsid w:val="007E44F7"/>
    <w:pPr>
      <w:tabs>
        <w:tab w:val="left" w:pos="680"/>
      </w:tabs>
      <w:spacing w:before="60" w:after="60"/>
      <w:ind w:left="680" w:hanging="340"/>
    </w:pPr>
  </w:style>
  <w:style w:type="paragraph" w:styleId="List3">
    <w:name w:val="List 3"/>
    <w:basedOn w:val="BodyText"/>
    <w:rsid w:val="007E44F7"/>
    <w:pPr>
      <w:tabs>
        <w:tab w:val="left" w:pos="1021"/>
      </w:tabs>
      <w:spacing w:before="60" w:after="60"/>
      <w:ind w:left="1020" w:hanging="340"/>
    </w:pPr>
  </w:style>
  <w:style w:type="paragraph" w:styleId="List4">
    <w:name w:val="List 4"/>
    <w:basedOn w:val="BodyText"/>
    <w:rsid w:val="007E44F7"/>
    <w:pPr>
      <w:tabs>
        <w:tab w:val="left" w:pos="1361"/>
      </w:tabs>
      <w:spacing w:before="60" w:after="60"/>
      <w:ind w:left="1361" w:hanging="340"/>
    </w:pPr>
  </w:style>
  <w:style w:type="paragraph" w:styleId="List5">
    <w:name w:val="List 5"/>
    <w:basedOn w:val="BodyText"/>
    <w:rsid w:val="007E44F7"/>
    <w:pPr>
      <w:tabs>
        <w:tab w:val="left" w:pos="1701"/>
      </w:tabs>
      <w:spacing w:before="60" w:after="60"/>
      <w:ind w:left="1701" w:hanging="340"/>
    </w:pPr>
  </w:style>
  <w:style w:type="paragraph" w:styleId="ListBullet3">
    <w:name w:val="List Bullet 3"/>
    <w:basedOn w:val="List3"/>
    <w:rsid w:val="007E44F7"/>
    <w:pPr>
      <w:numPr>
        <w:numId w:val="15"/>
      </w:numPr>
      <w:tabs>
        <w:tab w:val="clear" w:pos="1021"/>
      </w:tabs>
      <w:ind w:left="1037" w:hanging="357"/>
    </w:pPr>
  </w:style>
  <w:style w:type="paragraph" w:styleId="ListBullet4">
    <w:name w:val="List Bullet 4"/>
    <w:basedOn w:val="List4"/>
    <w:rsid w:val="007E44F7"/>
    <w:pPr>
      <w:numPr>
        <w:numId w:val="3"/>
      </w:numPr>
    </w:pPr>
  </w:style>
  <w:style w:type="paragraph" w:styleId="ListBullet5">
    <w:name w:val="List Bullet 5"/>
    <w:basedOn w:val="List5"/>
    <w:rsid w:val="007E44F7"/>
    <w:pPr>
      <w:numPr>
        <w:numId w:val="4"/>
      </w:numPr>
    </w:pPr>
  </w:style>
  <w:style w:type="paragraph" w:styleId="ListContinue2">
    <w:name w:val="List Continue 2"/>
    <w:basedOn w:val="List2"/>
    <w:rsid w:val="007E44F7"/>
    <w:pPr>
      <w:ind w:firstLine="0"/>
    </w:pPr>
  </w:style>
  <w:style w:type="paragraph" w:styleId="ListContinue3">
    <w:name w:val="List Continue 3"/>
    <w:basedOn w:val="List3"/>
    <w:rsid w:val="007E44F7"/>
    <w:pPr>
      <w:ind w:left="1021" w:firstLine="0"/>
    </w:pPr>
  </w:style>
  <w:style w:type="paragraph" w:styleId="ListContinue4">
    <w:name w:val="List Continue 4"/>
    <w:basedOn w:val="List4"/>
    <w:rsid w:val="007E44F7"/>
    <w:pPr>
      <w:ind w:firstLine="0"/>
    </w:pPr>
  </w:style>
  <w:style w:type="paragraph" w:styleId="ListContinue5">
    <w:name w:val="List Continue 5"/>
    <w:basedOn w:val="List5"/>
    <w:rsid w:val="007E44F7"/>
    <w:pPr>
      <w:ind w:firstLine="0"/>
    </w:pPr>
  </w:style>
  <w:style w:type="paragraph" w:styleId="ListNumber3">
    <w:name w:val="List Number 3"/>
    <w:basedOn w:val="List3"/>
    <w:rsid w:val="007E44F7"/>
    <w:pPr>
      <w:numPr>
        <w:numId w:val="5"/>
      </w:numPr>
    </w:pPr>
  </w:style>
  <w:style w:type="paragraph" w:styleId="ListNumber4">
    <w:name w:val="List Number 4"/>
    <w:basedOn w:val="List4"/>
    <w:rsid w:val="007E44F7"/>
    <w:pPr>
      <w:numPr>
        <w:numId w:val="6"/>
      </w:numPr>
    </w:pPr>
  </w:style>
  <w:style w:type="paragraph" w:styleId="ListNumber5">
    <w:name w:val="List Number 5"/>
    <w:basedOn w:val="List5"/>
    <w:rsid w:val="007E44F7"/>
    <w:pPr>
      <w:numPr>
        <w:numId w:val="7"/>
      </w:numPr>
    </w:pPr>
  </w:style>
  <w:style w:type="paragraph" w:styleId="BlockText">
    <w:name w:val="Block Text"/>
    <w:basedOn w:val="Normal"/>
    <w:rsid w:val="007E44F7"/>
    <w:pPr>
      <w:spacing w:after="120"/>
      <w:ind w:left="1440" w:right="1440"/>
    </w:pPr>
  </w:style>
  <w:style w:type="character" w:customStyle="1" w:styleId="Subscript">
    <w:name w:val="Subscript"/>
    <w:basedOn w:val="DefaultParagraphFont"/>
    <w:rsid w:val="007E44F7"/>
    <w:rPr>
      <w:sz w:val="16"/>
      <w:vertAlign w:val="subscript"/>
    </w:rPr>
  </w:style>
  <w:style w:type="character" w:customStyle="1" w:styleId="Superscript">
    <w:name w:val="Superscript"/>
    <w:basedOn w:val="DefaultParagraphFont"/>
    <w:rsid w:val="007E44F7"/>
    <w:rPr>
      <w:sz w:val="16"/>
      <w:vertAlign w:val="superscript"/>
    </w:rPr>
  </w:style>
  <w:style w:type="character" w:customStyle="1" w:styleId="Symbols">
    <w:name w:val="Symbols"/>
    <w:basedOn w:val="DefaultParagraphFont"/>
    <w:rsid w:val="007E44F7"/>
    <w:rPr>
      <w:rFonts w:ascii="Symbol" w:hAnsi="Symbol"/>
    </w:rPr>
  </w:style>
  <w:style w:type="character" w:customStyle="1" w:styleId="MenuOptions">
    <w:name w:val="Menu Options"/>
    <w:basedOn w:val="DefaultParagraphFont"/>
    <w:rsid w:val="007E44F7"/>
    <w:rPr>
      <w:rFonts w:ascii="Arial Narrow" w:hAnsi="Arial Narrow"/>
      <w:smallCaps/>
    </w:rPr>
  </w:style>
  <w:style w:type="character" w:customStyle="1" w:styleId="Buttons">
    <w:name w:val="Buttons"/>
    <w:basedOn w:val="DefaultParagraphFont"/>
    <w:rsid w:val="007E44F7"/>
    <w:rPr>
      <w:b/>
    </w:rPr>
  </w:style>
  <w:style w:type="character" w:customStyle="1" w:styleId="Underlined">
    <w:name w:val="Underlined"/>
    <w:basedOn w:val="DefaultParagraphFont"/>
    <w:rsid w:val="007E44F7"/>
    <w:rPr>
      <w:u w:val="single"/>
    </w:rPr>
  </w:style>
  <w:style w:type="paragraph" w:customStyle="1" w:styleId="TableBodyTextRight">
    <w:name w:val="Table Body Text Right"/>
    <w:basedOn w:val="TableBodyText"/>
    <w:rsid w:val="007E44F7"/>
    <w:pPr>
      <w:widowControl w:val="0"/>
      <w:autoSpaceDE w:val="0"/>
      <w:autoSpaceDN w:val="0"/>
      <w:adjustRightInd w:val="0"/>
      <w:jc w:val="right"/>
    </w:pPr>
    <w:rPr>
      <w:rFonts w:cs="Arial"/>
      <w:szCs w:val="18"/>
    </w:rPr>
  </w:style>
  <w:style w:type="paragraph" w:customStyle="1" w:styleId="CopyrightText">
    <w:name w:val="Copyright Text"/>
    <w:basedOn w:val="BodyText"/>
    <w:rsid w:val="007E44F7"/>
    <w:rPr>
      <w:sz w:val="18"/>
    </w:rPr>
  </w:style>
  <w:style w:type="paragraph" w:customStyle="1" w:styleId="BodySmallRight">
    <w:name w:val="Body Small Right"/>
    <w:basedOn w:val="BodyTextRight"/>
    <w:rsid w:val="007E44F7"/>
    <w:rPr>
      <w:sz w:val="18"/>
      <w:szCs w:val="18"/>
    </w:rPr>
  </w:style>
  <w:style w:type="paragraph" w:customStyle="1" w:styleId="MarginEdition">
    <w:name w:val="Margin Edition"/>
    <w:basedOn w:val="MarginNote"/>
    <w:rsid w:val="007E44F7"/>
    <w:pPr>
      <w:spacing w:before="0" w:after="0"/>
    </w:pPr>
    <w:rPr>
      <w:rFonts w:ascii="Times New Roman" w:hAnsi="Times New Roman"/>
      <w:color w:val="999999"/>
    </w:rPr>
  </w:style>
  <w:style w:type="paragraph" w:customStyle="1" w:styleId="Spacer">
    <w:name w:val="Spacer"/>
    <w:basedOn w:val="Normal"/>
    <w:rsid w:val="007E44F7"/>
    <w:rPr>
      <w:sz w:val="2"/>
      <w:szCs w:val="2"/>
    </w:rPr>
  </w:style>
  <w:style w:type="character" w:customStyle="1" w:styleId="Small">
    <w:name w:val="Small"/>
    <w:basedOn w:val="DefaultParagraphFont"/>
    <w:rsid w:val="007E44F7"/>
    <w:rPr>
      <w:sz w:val="16"/>
    </w:rPr>
  </w:style>
  <w:style w:type="paragraph" w:customStyle="1" w:styleId="WideTable">
    <w:name w:val="Wide Table"/>
    <w:basedOn w:val="Normal"/>
    <w:rsid w:val="007E44F7"/>
    <w:pPr>
      <w:ind w:left="-1418"/>
    </w:pPr>
    <w:rPr>
      <w:sz w:val="2"/>
      <w:szCs w:val="2"/>
    </w:rPr>
  </w:style>
  <w:style w:type="character" w:styleId="PageNumber">
    <w:name w:val="page number"/>
    <w:basedOn w:val="DefaultParagraphFont"/>
    <w:rsid w:val="007E44F7"/>
  </w:style>
  <w:style w:type="paragraph" w:styleId="Quote">
    <w:name w:val="Quote"/>
    <w:basedOn w:val="Heading1"/>
    <w:link w:val="QuoteChar"/>
    <w:qFormat/>
    <w:rsid w:val="007E44F7"/>
    <w:rPr>
      <w:b w:val="0"/>
      <w:sz w:val="72"/>
      <w:szCs w:val="72"/>
      <w:lang w:val="en-NZ"/>
    </w:rPr>
  </w:style>
  <w:style w:type="character" w:customStyle="1" w:styleId="QuoteChar">
    <w:name w:val="Quote Char"/>
    <w:basedOn w:val="DefaultParagraphFont"/>
    <w:link w:val="Quote"/>
    <w:rsid w:val="007E44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44F7"/>
    <w:pPr>
      <w:pageBreakBefore/>
    </w:pPr>
  </w:style>
  <w:style w:type="paragraph" w:customStyle="1" w:styleId="Border">
    <w:name w:val="Border"/>
    <w:basedOn w:val="Normal"/>
    <w:qFormat/>
    <w:rsid w:val="007E44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44F7"/>
    <w:rPr>
      <w:b/>
      <w:bCs/>
      <w:i/>
      <w:iCs/>
      <w:color w:val="auto"/>
    </w:rPr>
  </w:style>
  <w:style w:type="paragraph" w:styleId="IntenseQuote">
    <w:name w:val="Intense Quote"/>
    <w:basedOn w:val="Normal"/>
    <w:next w:val="Normal"/>
    <w:link w:val="IntenseQuoteChar"/>
    <w:uiPriority w:val="30"/>
    <w:qFormat/>
    <w:rsid w:val="007E44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44F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E44F7"/>
    <w:rPr>
      <w:smallCaps/>
      <w:color w:val="auto"/>
      <w:u w:val="single"/>
    </w:rPr>
  </w:style>
  <w:style w:type="character" w:styleId="IntenseReference">
    <w:name w:val="Intense Reference"/>
    <w:basedOn w:val="DefaultParagraphFont"/>
    <w:uiPriority w:val="32"/>
    <w:qFormat/>
    <w:rsid w:val="007E44F7"/>
    <w:rPr>
      <w:b/>
      <w:bCs/>
      <w:smallCaps/>
      <w:color w:val="auto"/>
      <w:spacing w:val="5"/>
      <w:u w:val="single"/>
    </w:rPr>
  </w:style>
  <w:style w:type="paragraph" w:customStyle="1" w:styleId="2ColumnHeading">
    <w:name w:val="2Column Heading"/>
    <w:basedOn w:val="BodyText"/>
    <w:qFormat/>
    <w:rsid w:val="007E44F7"/>
    <w:pPr>
      <w:spacing w:after="60"/>
      <w:ind w:left="-2268"/>
    </w:pPr>
    <w:rPr>
      <w:b/>
    </w:rPr>
  </w:style>
  <w:style w:type="paragraph" w:customStyle="1" w:styleId="Heading1TOC">
    <w:name w:val="Heading1 TOC"/>
    <w:basedOn w:val="Normal"/>
    <w:qFormat/>
    <w:rsid w:val="007E44F7"/>
    <w:pPr>
      <w:spacing w:before="240" w:after="120"/>
    </w:pPr>
    <w:rPr>
      <w:rFonts w:ascii="Times New Roman" w:hAnsi="Times New Roman"/>
      <w:b/>
      <w:sz w:val="32"/>
    </w:rPr>
  </w:style>
  <w:style w:type="paragraph" w:customStyle="1" w:styleId="Heading2TOC">
    <w:name w:val="Heading2 TOC"/>
    <w:basedOn w:val="Normal"/>
    <w:qFormat/>
    <w:rsid w:val="007E44F7"/>
    <w:pPr>
      <w:spacing w:before="240" w:after="60"/>
    </w:pPr>
    <w:rPr>
      <w:rFonts w:ascii="Times New Roman" w:hAnsi="Times New Roman"/>
      <w:b/>
      <w:sz w:val="28"/>
    </w:rPr>
  </w:style>
  <w:style w:type="character" w:customStyle="1" w:styleId="Underline">
    <w:name w:val="Underline"/>
    <w:basedOn w:val="DefaultParagraphFont"/>
    <w:qFormat/>
    <w:rsid w:val="007E44F7"/>
    <w:rPr>
      <w:u w:val="single"/>
    </w:rPr>
  </w:style>
  <w:style w:type="character" w:customStyle="1" w:styleId="BoldandItalics">
    <w:name w:val="Bold and Italics"/>
    <w:qFormat/>
    <w:rsid w:val="007E44F7"/>
    <w:rPr>
      <w:b/>
      <w:i/>
      <w:u w:val="none"/>
    </w:rPr>
  </w:style>
  <w:style w:type="paragraph" w:styleId="BalloonText">
    <w:name w:val="Balloon Text"/>
    <w:basedOn w:val="Normal"/>
    <w:link w:val="BalloonTextChar"/>
    <w:rsid w:val="007E44F7"/>
    <w:rPr>
      <w:rFonts w:ascii="Tahoma" w:hAnsi="Tahoma" w:cs="Tahoma"/>
      <w:sz w:val="16"/>
      <w:szCs w:val="16"/>
    </w:rPr>
  </w:style>
  <w:style w:type="character" w:customStyle="1" w:styleId="BalloonTextChar">
    <w:name w:val="Balloon Text Char"/>
    <w:basedOn w:val="DefaultParagraphFont"/>
    <w:link w:val="BalloonText"/>
    <w:rsid w:val="007E44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44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44F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1658</Words>
  <Characters>10099</Characters>
  <Application>Microsoft Office Word</Application>
  <DocSecurity>0</DocSecurity>
  <Lines>357</Lines>
  <Paragraphs>187</Paragraphs>
  <ScaleCrop>false</ScaleCrop>
  <Company>Author-it Software Corporation Ltd.</Company>
  <LinksUpToDate>false</LinksUpToDate>
  <CharactersWithSpaces>11665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MSS408002A Audit the use of competitive tools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2012-05-26T18:52:00Z</dcterms:created>
  <dcterms:modified xsi:type="dcterms:W3CDTF">2012-05-26T18:52:00Z</dcterms:modified>
</cp:coreProperties>
</file>