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FE2" w:rsidP="00F42FE2">
      <w:pPr>
        <w:pStyle w:val="Title"/>
      </w:pPr>
      <w:r>
        <w:fldChar w:fldCharType="begin"/>
      </w:r>
      <w:r>
        <w:instrText xml:space="preserve"> TITLE   \* MERGEFORMAT </w:instrText>
      </w:r>
      <w:r>
        <w:fldChar w:fldCharType="separate"/>
      </w:r>
      <w:r>
        <w:t>MSS405024A Apply the theory of constraints</w:t>
      </w:r>
      <w:r>
        <w:fldChar w:fldCharType="end"/>
      </w:r>
    </w:p>
    <w:p w:rsidR="00F42FE2" w:rsidP="00F42FE2">
      <w:pPr>
        <w:pStyle w:val="Version"/>
        <w:sectPr w:rsidSect="000601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163" w:rsidP="00060163">
      <w:pPr>
        <w:pStyle w:val="SuperHeading"/>
      </w:pPr>
      <w:r w:rsidRPr="00060163">
        <w:t>MSS405024A Apply the theory of constraints</w:t>
      </w:r>
    </w:p>
    <w:p w:rsidR="00000000" w:rsidRPr="00060163" w:rsidP="00060163">
      <w:pPr>
        <w:pStyle w:val="Heading1"/>
      </w:pPr>
      <w:bookmarkStart w:id="1" w:name="O_467477"/>
      <w:bookmarkEnd w:id="1"/>
      <w:r w:rsidRPr="00060163">
        <w:t>Modification History</w:t>
      </w:r>
    </w:p>
    <w:p w:rsidR="00000000" w:rsidRPr="00060163" w:rsidP="00060163">
      <w:pPr>
        <w:pStyle w:val="BodyText"/>
      </w:pPr>
      <w:r w:rsidRPr="00060163">
        <w:t>New unit</w:t>
      </w:r>
    </w:p>
    <w:p w:rsidR="00000000" w:rsidRPr="00060163" w:rsidP="00060163">
      <w:pPr>
        <w:pStyle w:val="AllowPageBreak"/>
      </w:pPr>
    </w:p>
    <w:p w:rsidR="00000000" w:rsidRPr="00060163" w:rsidP="00060163">
      <w:pPr>
        <w:pStyle w:val="Heading1"/>
      </w:pPr>
      <w:bookmarkStart w:id="2" w:name="O_467478"/>
      <w:bookmarkEnd w:id="2"/>
      <w:r w:rsidRPr="00060163">
        <w:t>Unit Descriptor</w:t>
      </w:r>
    </w:p>
    <w:p w:rsidR="00F42FE2" w:rsidP="00060163">
      <w:pPr>
        <w:pStyle w:val="BodyText"/>
      </w:pPr>
      <w:r w:rsidRPr="00060163">
        <w:t>This unit of competency covers the skills and knowledge required to apply the theory of constraints to organisational change.</w:t>
      </w:r>
    </w:p>
    <w:p w:rsidR="00F42FE2" w:rsidP="00060163">
      <w:pPr>
        <w:pStyle w:val="BodyText"/>
      </w:pPr>
    </w:p>
    <w:p w:rsidR="00000000" w:rsidRPr="00060163" w:rsidP="00060163">
      <w:pPr>
        <w:pStyle w:val="Heading1"/>
      </w:pPr>
      <w:bookmarkStart w:id="3" w:name="O_467479"/>
      <w:bookmarkEnd w:id="3"/>
      <w:r w:rsidRPr="00060163">
        <w:t>Application of the Unit</w:t>
      </w:r>
    </w:p>
    <w:p w:rsidR="00000000" w:rsidRPr="00060163" w:rsidP="00060163">
      <w:pPr>
        <w:pStyle w:val="BodyText"/>
      </w:pPr>
      <w:r w:rsidRPr="00060163">
        <w:t>This unit applies to individuals who as part of their work role need to apply the theory of constraints to assist their organisation to maximise output from a capacity constrained process or system. The unit will norma</w:t>
      </w:r>
      <w:r w:rsidRPr="00060163">
        <w:t xml:space="preserve">lly be applied as part of an organisation’s improvement strategy and in conjunction with other competitive systems and practices units. </w:t>
      </w:r>
    </w:p>
    <w:p w:rsidR="00F42FE2" w:rsidP="00060163">
      <w:pPr>
        <w:pStyle w:val="BodyText"/>
      </w:pPr>
      <w:r w:rsidRPr="00060163">
        <w:t>The person will typically be a technician, manager or other person who works with others in the bringing of change to a</w:t>
      </w:r>
      <w:r w:rsidRPr="00060163">
        <w:t>n organisation as part of a formal team or otherwise. The unit includes liaison and communication with others, as required.</w:t>
      </w:r>
    </w:p>
    <w:p w:rsidR="00F42FE2" w:rsidP="00060163">
      <w:pPr>
        <w:pStyle w:val="BodyText"/>
      </w:pPr>
    </w:p>
    <w:p w:rsidR="00000000" w:rsidRPr="00060163" w:rsidP="00060163">
      <w:pPr>
        <w:pStyle w:val="Heading1"/>
      </w:pPr>
      <w:bookmarkStart w:id="4" w:name="O_467480"/>
      <w:bookmarkEnd w:id="4"/>
      <w:r w:rsidRPr="00060163">
        <w:t>Licensing/Regulatory Information</w:t>
      </w:r>
    </w:p>
    <w:p w:rsidR="00000000" w:rsidRPr="00060163" w:rsidP="00060163">
      <w:pPr>
        <w:pStyle w:val="BodyText"/>
      </w:pPr>
      <w:r w:rsidRPr="00060163">
        <w:t>Not applicable.</w:t>
      </w:r>
    </w:p>
    <w:p w:rsidR="00000000" w:rsidRPr="00060163" w:rsidP="00060163">
      <w:pPr>
        <w:pStyle w:val="AllowPageBreak"/>
      </w:pPr>
    </w:p>
    <w:p w:rsidR="00000000" w:rsidRPr="00060163" w:rsidP="00060163">
      <w:pPr>
        <w:pStyle w:val="Heading1"/>
      </w:pPr>
      <w:bookmarkStart w:id="5" w:name="O_467481"/>
      <w:bookmarkEnd w:id="5"/>
      <w:r w:rsidRPr="00060163">
        <w:t>Pre-Requisites</w:t>
      </w:r>
    </w:p>
    <w:p w:rsidR="00000000" w:rsidRPr="00060163" w:rsidP="00060163">
      <w:pPr>
        <w:pStyle w:val="BodyText"/>
      </w:pPr>
      <w:r w:rsidRPr="00060163">
        <w:t>Not applicable.</w:t>
      </w:r>
    </w:p>
    <w:p w:rsidR="00000000" w:rsidRPr="00060163" w:rsidP="00060163">
      <w:pPr>
        <w:pStyle w:val="AllowPageBreak"/>
      </w:pPr>
    </w:p>
    <w:p w:rsidR="00000000" w:rsidRPr="00060163" w:rsidP="00060163">
      <w:pPr>
        <w:pStyle w:val="Heading1"/>
      </w:pPr>
      <w:bookmarkStart w:id="6" w:name="O_467482"/>
      <w:bookmarkEnd w:id="6"/>
      <w:r w:rsidRPr="00060163">
        <w:t>Employability Skills Information</w:t>
      </w:r>
    </w:p>
    <w:p w:rsidR="00F42FE2" w:rsidP="00060163">
      <w:pPr>
        <w:pStyle w:val="BodyText"/>
      </w:pPr>
      <w:r w:rsidRPr="00060163">
        <w:t>This unit contains employability skills.</w:t>
      </w:r>
    </w:p>
    <w:p w:rsidR="00F42FE2" w:rsidP="00060163">
      <w:pPr>
        <w:pStyle w:val="BodyText"/>
      </w:pPr>
    </w:p>
    <w:p w:rsidR="00000000" w:rsidRPr="00060163" w:rsidP="00060163">
      <w:pPr>
        <w:pStyle w:val="Heading1"/>
      </w:pPr>
      <w:bookmarkStart w:id="7" w:name="O_467483"/>
      <w:bookmarkEnd w:id="7"/>
      <w:r w:rsidRPr="00060163">
        <w:t>Elements and Performance Criteria Pre-Content</w:t>
      </w:r>
    </w:p>
    <w:tbl>
      <w:tblPr>
        <w:tblW w:w="0" w:type="auto"/>
        <w:tblLayout w:type="fixed"/>
        <w:tblCellMar>
          <w:left w:w="62" w:type="dxa"/>
          <w:right w:w="62" w:type="dxa"/>
        </w:tblCellMar>
        <w:tblLook w:val="0000"/>
      </w:tblPr>
      <w:tblGrid>
        <w:gridCol w:w="2640"/>
        <w:gridCol w:w="6380"/>
      </w:tblGrid>
      <w:tr w:rsidTr="0006016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60163" w:rsidP="00060163">
            <w:pPr>
              <w:pStyle w:val="BodyText"/>
            </w:pPr>
            <w:r w:rsidRPr="00060163">
              <w:t>Performance criteria describe the performance needed to demonstrate achievement of the element. Where bold italicised text is used, further information is detailed in the required skills and knowledge section and the range statement. Assessment of performa</w:t>
            </w:r>
            <w:r w:rsidRPr="00060163">
              <w:t>nce is to be consistent with the evidence guide.</w:t>
            </w:r>
          </w:p>
        </w:tc>
      </w:tr>
    </w:tbl>
    <w:p w:rsidR="00F42FE2" w:rsidP="00060163">
      <w:pPr>
        <w:pStyle w:val="BodyText"/>
      </w:pPr>
    </w:p>
    <w:p w:rsidR="00F42FE2" w:rsidP="00060163">
      <w:pPr>
        <w:pStyle w:val="BodyText"/>
      </w:pPr>
    </w:p>
    <w:p w:rsidR="00000000" w:rsidRPr="00060163" w:rsidP="00060163">
      <w:pPr>
        <w:pStyle w:val="Heading1"/>
      </w:pPr>
      <w:bookmarkStart w:id="8" w:name="O_467484"/>
      <w:bookmarkEnd w:id="8"/>
      <w:r w:rsidRPr="00060163">
        <w:t>Elements and Performance Criteria</w:t>
      </w:r>
    </w:p>
    <w:p w:rsidR="00000000" w:rsidRPr="00060163" w:rsidP="00060163">
      <w:pPr>
        <w:pStyle w:val="BodyText"/>
      </w:pPr>
    </w:p>
    <w:tbl>
      <w:tblPr>
        <w:tblW w:w="0" w:type="auto"/>
        <w:tblLayout w:type="fixed"/>
        <w:tblCellMar>
          <w:left w:w="62" w:type="dxa"/>
          <w:right w:w="62" w:type="dxa"/>
        </w:tblCellMar>
        <w:tblLook w:val="0000"/>
      </w:tblPr>
      <w:tblGrid>
        <w:gridCol w:w="678"/>
        <w:gridCol w:w="1962"/>
        <w:gridCol w:w="770"/>
        <w:gridCol w:w="5610"/>
      </w:tblGrid>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1</w:t>
            </w:r>
          </w:p>
        </w:tc>
        <w:tc>
          <w:tcPr>
            <w:tcW w:w="1962" w:type="dxa"/>
            <w:vMerge w:val="restart"/>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Identify the system constraint and throughput</w:t>
            </w: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1.1</w:t>
            </w:r>
          </w:p>
        </w:tc>
        <w:tc>
          <w:tcPr>
            <w:tcW w:w="561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Identify goals and objectives of the organisation</w:t>
            </w:r>
          </w:p>
        </w:tc>
      </w:tr>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1.2</w:t>
            </w:r>
          </w:p>
        </w:tc>
        <w:tc>
          <w:tcPr>
            <w:tcW w:w="561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Identify systems, processes and products to be examined</w:t>
            </w:r>
          </w:p>
        </w:tc>
      </w:tr>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1.3</w:t>
            </w:r>
          </w:p>
        </w:tc>
        <w:tc>
          <w:tcPr>
            <w:tcW w:w="561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Determine throughput of steps within the system</w:t>
            </w:r>
          </w:p>
        </w:tc>
      </w:tr>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1.4</w:t>
            </w:r>
          </w:p>
        </w:tc>
        <w:tc>
          <w:tcPr>
            <w:tcW w:w="561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 xml:space="preserve">Identify the capacity constrained process </w:t>
            </w:r>
          </w:p>
        </w:tc>
      </w:tr>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1.5</w:t>
            </w:r>
          </w:p>
        </w:tc>
        <w:tc>
          <w:tcPr>
            <w:tcW w:w="561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Determine optimum throughput of capacity constrained process (drum)</w:t>
            </w:r>
          </w:p>
        </w:tc>
      </w:tr>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1.6</w:t>
            </w:r>
          </w:p>
        </w:tc>
        <w:tc>
          <w:tcPr>
            <w:tcW w:w="5610" w:type="dxa"/>
            <w:tcBorders>
              <w:top w:val="nil"/>
              <w:left w:val="nil"/>
              <w:bottom w:val="nil"/>
              <w:right w:val="nil"/>
            </w:tcBorders>
            <w:tcMar>
              <w:top w:w="0" w:type="dxa"/>
              <w:left w:w="62" w:type="dxa"/>
              <w:bottom w:w="0" w:type="dxa"/>
              <w:right w:w="62" w:type="dxa"/>
            </w:tcMar>
          </w:tcPr>
          <w:p w:rsidR="00000000" w:rsidRPr="00060163" w:rsidP="00060163">
            <w:pPr>
              <w:pStyle w:val="BodyText"/>
            </w:pPr>
            <w:r w:rsidRPr="00060163">
              <w:t xml:space="preserve">Determine maximum system throughput based on the capacity constrained process </w:t>
            </w:r>
          </w:p>
        </w:tc>
      </w:tr>
    </w:tbl>
    <w:p w:rsidR="00000000" w:rsidRPr="00060163" w:rsidP="00060163">
      <w:pPr>
        <w:pStyle w:val="BodyText"/>
      </w:pPr>
    </w:p>
    <w:tbl>
      <w:tblPr>
        <w:tblW w:w="0" w:type="auto"/>
        <w:tblLayout w:type="fixed"/>
        <w:tblCellMar>
          <w:left w:w="62" w:type="dxa"/>
          <w:right w:w="62" w:type="dxa"/>
        </w:tblCellMar>
        <w:tblLook w:val="0000"/>
      </w:tblPr>
      <w:tblGrid>
        <w:gridCol w:w="678"/>
        <w:gridCol w:w="1962"/>
        <w:gridCol w:w="770"/>
        <w:gridCol w:w="5610"/>
      </w:tblGrid>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2</w:t>
            </w:r>
          </w:p>
        </w:tc>
        <w:tc>
          <w:tcPr>
            <w:tcW w:w="1962" w:type="dxa"/>
            <w:vMerge w:val="restart"/>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Optimise constraint throughput</w:t>
            </w: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2.1</w:t>
            </w:r>
          </w:p>
        </w:tc>
        <w:tc>
          <w:tcPr>
            <w:tcW w:w="561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 xml:space="preserve">Determine optimum accumulation (buffer) before capacity constrained process </w:t>
            </w:r>
          </w:p>
        </w:tc>
      </w:tr>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2.2</w:t>
            </w:r>
          </w:p>
        </w:tc>
        <w:tc>
          <w:tcPr>
            <w:tcW w:w="561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 xml:space="preserve">Determine appropriate supply schedule and trigger (rope) for buffer </w:t>
            </w:r>
          </w:p>
        </w:tc>
      </w:tr>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2.3</w:t>
            </w:r>
          </w:p>
        </w:tc>
        <w:tc>
          <w:tcPr>
            <w:tcW w:w="561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Implement buffer and rope to match drum</w:t>
            </w:r>
          </w:p>
        </w:tc>
      </w:tr>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2.4</w:t>
            </w:r>
          </w:p>
        </w:tc>
        <w:tc>
          <w:tcPr>
            <w:tcW w:w="561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Monitor capacity constrained process and system to ensure optimum throughput</w:t>
            </w:r>
          </w:p>
        </w:tc>
      </w:tr>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2.5</w:t>
            </w:r>
          </w:p>
        </w:tc>
        <w:tc>
          <w:tcPr>
            <w:tcW w:w="5610" w:type="dxa"/>
            <w:tcBorders>
              <w:top w:val="nil"/>
              <w:left w:val="nil"/>
              <w:bottom w:val="nil"/>
              <w:right w:val="nil"/>
            </w:tcBorders>
            <w:tcMar>
              <w:top w:w="0" w:type="dxa"/>
              <w:left w:w="62" w:type="dxa"/>
              <w:bottom w:w="0" w:type="dxa"/>
              <w:right w:w="62" w:type="dxa"/>
            </w:tcMar>
          </w:tcPr>
          <w:p w:rsidR="00000000" w:rsidRPr="00060163" w:rsidP="00060163">
            <w:pPr>
              <w:pStyle w:val="BodyText"/>
            </w:pPr>
            <w:r w:rsidRPr="00060163">
              <w:t>Take required actions to minimise non-productive rate at capacity constrained process</w:t>
            </w:r>
          </w:p>
        </w:tc>
      </w:tr>
    </w:tbl>
    <w:p w:rsidR="00000000" w:rsidRPr="00060163" w:rsidP="00060163">
      <w:pPr>
        <w:pStyle w:val="BodyText"/>
      </w:pPr>
    </w:p>
    <w:tbl>
      <w:tblPr>
        <w:tblW w:w="0" w:type="auto"/>
        <w:tblLayout w:type="fixed"/>
        <w:tblCellMar>
          <w:left w:w="62" w:type="dxa"/>
          <w:right w:w="62" w:type="dxa"/>
        </w:tblCellMar>
        <w:tblLook w:val="0000"/>
      </w:tblPr>
      <w:tblGrid>
        <w:gridCol w:w="678"/>
        <w:gridCol w:w="1962"/>
        <w:gridCol w:w="770"/>
        <w:gridCol w:w="5610"/>
      </w:tblGrid>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3</w:t>
            </w:r>
          </w:p>
        </w:tc>
        <w:tc>
          <w:tcPr>
            <w:tcW w:w="1962" w:type="dxa"/>
            <w:vMerge w:val="restart"/>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Prioritise processes and resources to maximising output at the constraint</w:t>
            </w: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3.1</w:t>
            </w:r>
          </w:p>
        </w:tc>
        <w:tc>
          <w:tcPr>
            <w:tcW w:w="561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Ensure operations and individuals in non-constrained locations protect buffers and preve</w:t>
            </w:r>
            <w:r w:rsidRPr="00060163">
              <w:t>nt build-up of work in process except at buffer locations</w:t>
            </w:r>
          </w:p>
        </w:tc>
      </w:tr>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3.2</w:t>
            </w:r>
          </w:p>
        </w:tc>
        <w:tc>
          <w:tcPr>
            <w:tcW w:w="5610" w:type="dxa"/>
            <w:tcBorders>
              <w:top w:val="nil"/>
              <w:left w:val="nil"/>
              <w:bottom w:val="nil"/>
              <w:right w:val="nil"/>
            </w:tcBorders>
            <w:tcMar>
              <w:top w:w="0" w:type="dxa"/>
              <w:left w:w="62" w:type="dxa"/>
              <w:bottom w:w="0" w:type="dxa"/>
              <w:right w:w="62" w:type="dxa"/>
            </w:tcMar>
          </w:tcPr>
          <w:p w:rsidR="00000000" w:rsidRPr="00060163" w:rsidP="00060163">
            <w:pPr>
              <w:pStyle w:val="BodyText"/>
            </w:pPr>
            <w:r w:rsidRPr="00060163">
              <w:t>Identify operations that conflict with maximising constraint performance and replace with measures that help maximise throughput</w:t>
            </w:r>
          </w:p>
        </w:tc>
      </w:tr>
    </w:tbl>
    <w:p w:rsidR="00000000" w:rsidRPr="00060163" w:rsidP="00060163">
      <w:pPr>
        <w:pStyle w:val="BodyText"/>
      </w:pPr>
    </w:p>
    <w:tbl>
      <w:tblPr>
        <w:tblW w:w="0" w:type="auto"/>
        <w:tblLayout w:type="fixed"/>
        <w:tblCellMar>
          <w:left w:w="62" w:type="dxa"/>
          <w:right w:w="62" w:type="dxa"/>
        </w:tblCellMar>
        <w:tblLook w:val="0000"/>
      </w:tblPr>
      <w:tblGrid>
        <w:gridCol w:w="678"/>
        <w:gridCol w:w="1962"/>
        <w:gridCol w:w="770"/>
        <w:gridCol w:w="5610"/>
      </w:tblGrid>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4</w:t>
            </w:r>
          </w:p>
        </w:tc>
        <w:tc>
          <w:tcPr>
            <w:tcW w:w="1962" w:type="dxa"/>
            <w:vMerge w:val="restart"/>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Determine strategy to reduce capacity constraint</w:t>
            </w: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4.1</w:t>
            </w:r>
          </w:p>
        </w:tc>
        <w:tc>
          <w:tcPr>
            <w:tcW w:w="561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Examine causes of the constrained capacity</w:t>
            </w:r>
          </w:p>
        </w:tc>
      </w:tr>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4.2</w:t>
            </w:r>
          </w:p>
        </w:tc>
        <w:tc>
          <w:tcPr>
            <w:tcW w:w="561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Develop possible ways of increasing system capacity</w:t>
            </w:r>
          </w:p>
        </w:tc>
      </w:tr>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4.3</w:t>
            </w:r>
          </w:p>
        </w:tc>
        <w:tc>
          <w:tcPr>
            <w:tcW w:w="561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Analyse and rank possible alternatives for increasing capacity</w:t>
            </w:r>
          </w:p>
        </w:tc>
      </w:tr>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4.4</w:t>
            </w:r>
          </w:p>
        </w:tc>
        <w:tc>
          <w:tcPr>
            <w:tcW w:w="561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Draft a strategy for increasing capacity of system</w:t>
            </w:r>
          </w:p>
        </w:tc>
      </w:tr>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4.5</w:t>
            </w:r>
          </w:p>
        </w:tc>
        <w:tc>
          <w:tcPr>
            <w:tcW w:w="5610" w:type="dxa"/>
            <w:tcBorders>
              <w:top w:val="nil"/>
              <w:left w:val="nil"/>
              <w:bottom w:val="nil"/>
              <w:right w:val="nil"/>
            </w:tcBorders>
            <w:tcMar>
              <w:top w:w="0" w:type="dxa"/>
              <w:left w:w="62" w:type="dxa"/>
              <w:bottom w:w="0" w:type="dxa"/>
              <w:right w:w="62" w:type="dxa"/>
            </w:tcMar>
          </w:tcPr>
          <w:p w:rsidR="00000000" w:rsidRPr="00060163" w:rsidP="00060163">
            <w:pPr>
              <w:pStyle w:val="BodyText"/>
            </w:pPr>
            <w:r w:rsidRPr="00060163">
              <w:t>Obtain required approval for response strategy</w:t>
            </w:r>
          </w:p>
        </w:tc>
      </w:tr>
    </w:tbl>
    <w:p w:rsidR="00000000" w:rsidRPr="00060163" w:rsidP="00060163">
      <w:pPr>
        <w:pStyle w:val="BodyText"/>
      </w:pPr>
    </w:p>
    <w:tbl>
      <w:tblPr>
        <w:tblW w:w="0" w:type="auto"/>
        <w:tblLayout w:type="fixed"/>
        <w:tblCellMar>
          <w:left w:w="62" w:type="dxa"/>
          <w:right w:w="62" w:type="dxa"/>
        </w:tblCellMar>
        <w:tblLook w:val="0000"/>
      </w:tblPr>
      <w:tblGrid>
        <w:gridCol w:w="678"/>
        <w:gridCol w:w="1962"/>
        <w:gridCol w:w="770"/>
        <w:gridCol w:w="5610"/>
      </w:tblGrid>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5</w:t>
            </w:r>
          </w:p>
        </w:tc>
        <w:tc>
          <w:tcPr>
            <w:tcW w:w="1962" w:type="dxa"/>
            <w:vMerge w:val="restart"/>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Implement a process of on-going improvement as appropriate</w:t>
            </w: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5.1</w:t>
            </w:r>
          </w:p>
        </w:tc>
        <w:tc>
          <w:tcPr>
            <w:tcW w:w="561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Develop an implementation plan appropriate to the organisation</w:t>
            </w:r>
          </w:p>
        </w:tc>
      </w:tr>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5.2</w:t>
            </w:r>
          </w:p>
        </w:tc>
        <w:tc>
          <w:tcPr>
            <w:tcW w:w="561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Implement plan, as appropriate</w:t>
            </w:r>
          </w:p>
        </w:tc>
      </w:tr>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5.3</w:t>
            </w:r>
          </w:p>
        </w:tc>
        <w:tc>
          <w:tcPr>
            <w:tcW w:w="561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Monitor implementation</w:t>
            </w:r>
          </w:p>
        </w:tc>
      </w:tr>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5.4</w:t>
            </w:r>
          </w:p>
        </w:tc>
        <w:tc>
          <w:tcPr>
            <w:tcW w:w="561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Modify implementation plan, as appropriate</w:t>
            </w:r>
          </w:p>
        </w:tc>
      </w:tr>
      <w:tr w:rsidTr="000601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5.5</w:t>
            </w:r>
          </w:p>
        </w:tc>
        <w:tc>
          <w:tcPr>
            <w:tcW w:w="5610" w:type="dxa"/>
            <w:tcBorders>
              <w:top w:val="nil"/>
              <w:left w:val="nil"/>
              <w:bottom w:val="nil"/>
              <w:right w:val="nil"/>
            </w:tcBorders>
            <w:tcMar>
              <w:top w:w="0" w:type="dxa"/>
              <w:left w:w="62" w:type="dxa"/>
              <w:bottom w:w="0" w:type="dxa"/>
              <w:right w:w="62" w:type="dxa"/>
            </w:tcMar>
          </w:tcPr>
          <w:p w:rsidR="00000000" w:rsidRPr="00060163" w:rsidP="00060163">
            <w:pPr>
              <w:pStyle w:val="BodyText"/>
            </w:pPr>
            <w:r w:rsidRPr="00060163">
              <w:t>Identify next capacity constrained process and take appropriate action</w:t>
            </w:r>
          </w:p>
        </w:tc>
      </w:tr>
    </w:tbl>
    <w:p w:rsidR="00F42FE2" w:rsidP="00060163">
      <w:pPr>
        <w:pStyle w:val="BodyText"/>
      </w:pPr>
    </w:p>
    <w:p w:rsidR="00F42FE2" w:rsidP="00060163">
      <w:pPr>
        <w:pStyle w:val="BodyText"/>
      </w:pPr>
    </w:p>
    <w:p w:rsidR="00000000" w:rsidRPr="00060163" w:rsidP="00060163">
      <w:pPr>
        <w:pStyle w:val="Heading1"/>
      </w:pPr>
      <w:bookmarkStart w:id="9" w:name="O_467485"/>
      <w:bookmarkEnd w:id="9"/>
      <w:r w:rsidRPr="00060163">
        <w:t>Required Skills and Knowledge</w:t>
      </w:r>
    </w:p>
    <w:tbl>
      <w:tblPr>
        <w:tblW w:w="9462" w:type="dxa"/>
        <w:tblLayout w:type="fixed"/>
        <w:tblCellMar>
          <w:left w:w="62" w:type="dxa"/>
          <w:right w:w="62" w:type="dxa"/>
        </w:tblCellMar>
        <w:tblLook w:val="0000"/>
      </w:tblPr>
      <w:tblGrid>
        <w:gridCol w:w="9462"/>
      </w:tblGrid>
      <w:tr w:rsidTr="000601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This section describes the skills and knowledge required for this unit.</w:t>
            </w:r>
          </w:p>
        </w:tc>
      </w:tr>
      <w:tr w:rsidTr="000601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rPr>
                <w:rStyle w:val="SpecialBold"/>
              </w:rPr>
              <w:t>Required skills</w:t>
            </w:r>
          </w:p>
        </w:tc>
      </w:tr>
      <w:tr w:rsidTr="000601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60163" w:rsidP="00060163">
            <w:pPr>
              <w:pStyle w:val="BodyText"/>
            </w:pPr>
            <w:r w:rsidRPr="00060163">
              <w:t>Required skills include:</w:t>
            </w:r>
          </w:p>
          <w:p w:rsidR="00000000" w:rsidRPr="00060163" w:rsidP="00060163">
            <w:pPr>
              <w:pStyle w:val="ListBullet"/>
            </w:pPr>
            <w:r w:rsidRPr="00060163">
              <w:t>identifying steps and processes in current operations system</w:t>
            </w:r>
          </w:p>
          <w:p w:rsidR="00000000" w:rsidRPr="00060163" w:rsidP="00060163">
            <w:pPr>
              <w:pStyle w:val="ListBullet"/>
            </w:pPr>
            <w:r w:rsidRPr="00060163">
              <w:t>identifying current performance against key performance indicators (KPIs)</w:t>
            </w:r>
          </w:p>
          <w:p w:rsidR="00000000" w:rsidRPr="00060163" w:rsidP="00060163">
            <w:pPr>
              <w:pStyle w:val="ListBullet"/>
            </w:pPr>
            <w:r w:rsidRPr="00060163">
              <w:t xml:space="preserve">determining where performance especially sub-optimal performance relates to unique factors or is a manifestation of other symptoms/circumstances </w:t>
            </w:r>
          </w:p>
          <w:p w:rsidR="00000000" w:rsidRPr="00060163" w:rsidP="00060163">
            <w:pPr>
              <w:pStyle w:val="ListBullet"/>
            </w:pPr>
            <w:r w:rsidRPr="00060163">
              <w:t>manipulating data</w:t>
            </w:r>
          </w:p>
          <w:p w:rsidR="00000000" w:rsidRPr="00060163" w:rsidP="00060163">
            <w:pPr>
              <w:pStyle w:val="ListBullet"/>
            </w:pPr>
            <w:r w:rsidRPr="00060163">
              <w:t>communicating with relevant people and asking leading questions</w:t>
            </w:r>
          </w:p>
          <w:p w:rsidR="00000000" w:rsidRPr="00060163" w:rsidP="00060163">
            <w:pPr>
              <w:pStyle w:val="ListBullet"/>
            </w:pPr>
            <w:r w:rsidRPr="00060163">
              <w:t>developing strategic plans f</w:t>
            </w:r>
            <w:r w:rsidRPr="00060163">
              <w:t>or change including identification of:</w:t>
            </w:r>
          </w:p>
          <w:p w:rsidR="00000000" w:rsidRPr="00060163" w:rsidP="00060163">
            <w:pPr>
              <w:pStyle w:val="ListBullet2"/>
            </w:pPr>
            <w:r w:rsidRPr="00060163">
              <w:t>what to change</w:t>
            </w:r>
          </w:p>
          <w:p w:rsidR="00000000" w:rsidRPr="00060163" w:rsidP="00060163">
            <w:pPr>
              <w:pStyle w:val="ListBullet2"/>
            </w:pPr>
            <w:r w:rsidRPr="00060163">
              <w:t>goal of change</w:t>
            </w:r>
          </w:p>
          <w:p w:rsidR="00000000" w:rsidRPr="00060163" w:rsidP="00060163">
            <w:pPr>
              <w:pStyle w:val="ListBullet2"/>
            </w:pPr>
            <w:r w:rsidRPr="00060163">
              <w:t>how to make the change</w:t>
            </w:r>
          </w:p>
          <w:p w:rsidR="00000000" w:rsidRPr="00060163" w:rsidP="00060163">
            <w:pPr>
              <w:pStyle w:val="ListBullet2"/>
            </w:pPr>
            <w:r w:rsidRPr="00060163">
              <w:t>how to measure the change</w:t>
            </w:r>
          </w:p>
          <w:p w:rsidR="00000000" w:rsidRPr="00060163" w:rsidP="00060163">
            <w:pPr>
              <w:pStyle w:val="ListBullet2"/>
            </w:pPr>
            <w:r w:rsidRPr="00060163">
              <w:t>resources required for change</w:t>
            </w:r>
          </w:p>
          <w:p w:rsidR="00000000" w:rsidP="00060163">
            <w:pPr>
              <w:pStyle w:val="ListBullet2"/>
              <w:rPr>
                <w:lang w:val="en-NZ"/>
              </w:rPr>
            </w:pPr>
            <w:r w:rsidRPr="00060163">
              <w:t>timeline</w:t>
            </w:r>
          </w:p>
        </w:tc>
      </w:tr>
      <w:tr w:rsidTr="000601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p>
        </w:tc>
      </w:tr>
      <w:tr w:rsidTr="000601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rPr>
                <w:rStyle w:val="SpecialBold"/>
              </w:rPr>
              <w:t>Required knowledge</w:t>
            </w:r>
          </w:p>
        </w:tc>
      </w:tr>
      <w:tr w:rsidTr="000601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60163" w:rsidP="00060163">
            <w:pPr>
              <w:pStyle w:val="BodyText"/>
            </w:pPr>
            <w:r w:rsidRPr="00060163">
              <w:t>Required knowledge includes:</w:t>
            </w:r>
          </w:p>
          <w:p w:rsidR="00000000" w:rsidRPr="00060163" w:rsidP="00060163">
            <w:pPr>
              <w:pStyle w:val="ListBullet"/>
            </w:pPr>
            <w:r w:rsidRPr="00060163">
              <w:t>theory of constraints, including:</w:t>
            </w:r>
          </w:p>
          <w:p w:rsidR="00000000" w:rsidRPr="00060163" w:rsidP="00060163">
            <w:pPr>
              <w:pStyle w:val="ListBullet2"/>
            </w:pPr>
            <w:r w:rsidRPr="00060163">
              <w:t>the five focusing steps</w:t>
            </w:r>
          </w:p>
          <w:p w:rsidR="00000000" w:rsidRPr="00060163" w:rsidP="00060163">
            <w:pPr>
              <w:pStyle w:val="ListBullet2"/>
            </w:pPr>
            <w:r w:rsidRPr="00060163">
              <w:t>types of constraints, including capacity, policy, human resources (HR), market or supplier constraints</w:t>
            </w:r>
          </w:p>
          <w:p w:rsidR="00000000" w:rsidRPr="00060163" w:rsidP="00060163">
            <w:pPr>
              <w:pStyle w:val="ListBullet2"/>
            </w:pPr>
            <w:r w:rsidRPr="00060163">
              <w:t>drum-buffer-rope or ‘choke-release’ methodology of reducing lead time through the organisation</w:t>
            </w:r>
          </w:p>
          <w:p w:rsidR="00000000" w:rsidRPr="00060163" w:rsidP="00060163">
            <w:pPr>
              <w:pStyle w:val="ListBullet2"/>
            </w:pPr>
            <w:r w:rsidRPr="00060163">
              <w:t>the goals and objectives of the organisation</w:t>
            </w:r>
          </w:p>
          <w:p w:rsidR="00000000" w:rsidRPr="00060163" w:rsidP="00060163">
            <w:pPr>
              <w:pStyle w:val="ListBullet2"/>
            </w:pPr>
            <w:r w:rsidRPr="00060163">
              <w:t>internal and external constraints</w:t>
            </w:r>
          </w:p>
          <w:p w:rsidR="00000000" w:rsidRPr="00060163" w:rsidP="00060163">
            <w:pPr>
              <w:pStyle w:val="ListBullet2"/>
            </w:pPr>
            <w:r w:rsidRPr="00060163">
              <w:t xml:space="preserve">throughput, inventory and operating expenses </w:t>
            </w:r>
          </w:p>
          <w:p w:rsidR="00000000" w:rsidRPr="00060163" w:rsidP="00060163">
            <w:pPr>
              <w:pStyle w:val="ListBullet2"/>
            </w:pPr>
            <w:r w:rsidRPr="00060163">
              <w:t>identifying KPI’s which create conflict and affect constraint performance</w:t>
            </w:r>
          </w:p>
          <w:p w:rsidR="00000000" w:rsidRPr="00060163" w:rsidP="00060163">
            <w:pPr>
              <w:pStyle w:val="ListBullet2"/>
            </w:pPr>
            <w:r w:rsidRPr="00060163">
              <w:t>exploiting a constraint, which includes working through b</w:t>
            </w:r>
            <w:r w:rsidRPr="00060163">
              <w:t>reaks on split shift systems, or the strategic use of overtime</w:t>
            </w:r>
          </w:p>
          <w:p w:rsidR="00000000" w:rsidRPr="00060163" w:rsidP="00060163">
            <w:pPr>
              <w:pStyle w:val="ListBullet2"/>
            </w:pPr>
            <w:r w:rsidRPr="00060163">
              <w:t>subordinating which includes giving a constraint preference during breakdowns and supply</w:t>
            </w:r>
          </w:p>
          <w:p w:rsidR="00000000" w:rsidRPr="00060163" w:rsidP="00060163">
            <w:pPr>
              <w:pStyle w:val="ListBullet2"/>
            </w:pPr>
            <w:r w:rsidRPr="00060163">
              <w:t>concepts of weakest link (drum), including difference between cost approach and throughput approach</w:t>
            </w:r>
          </w:p>
          <w:p w:rsidR="00000000" w:rsidRPr="00060163" w:rsidP="00060163">
            <w:pPr>
              <w:pStyle w:val="ListBullet2"/>
            </w:pPr>
            <w:r w:rsidRPr="00060163">
              <w:t>dura</w:t>
            </w:r>
            <w:r w:rsidRPr="00060163">
              <w:t>tion (in production applications this is often known as material release buffer or inventory to protect the weakest link/constraint)</w:t>
            </w:r>
          </w:p>
          <w:p w:rsidR="00000000" w:rsidRPr="00060163" w:rsidP="00060163">
            <w:pPr>
              <w:pStyle w:val="ListBullet2"/>
            </w:pPr>
            <w:r w:rsidRPr="00060163">
              <w:t>release timing of buffer (rope)</w:t>
            </w:r>
          </w:p>
          <w:p w:rsidR="00000000" w:rsidRPr="00060163" w:rsidP="00060163">
            <w:pPr>
              <w:pStyle w:val="ListBullet"/>
            </w:pPr>
            <w:r w:rsidRPr="00060163">
              <w:t>organisation processes, products and internal and external customers</w:t>
            </w:r>
          </w:p>
        </w:tc>
      </w:tr>
    </w:tbl>
    <w:p w:rsidR="00F42FE2" w:rsidP="00060163">
      <w:pPr>
        <w:pStyle w:val="BodyText"/>
      </w:pPr>
    </w:p>
    <w:p w:rsidR="00F42FE2" w:rsidP="00060163">
      <w:pPr>
        <w:pStyle w:val="BodyText"/>
      </w:pPr>
    </w:p>
    <w:p w:rsidR="00000000" w:rsidRPr="00060163" w:rsidP="00060163">
      <w:pPr>
        <w:pStyle w:val="Heading1"/>
      </w:pPr>
      <w:bookmarkStart w:id="10" w:name="O_467486"/>
      <w:bookmarkEnd w:id="10"/>
      <w:r w:rsidRPr="00060163">
        <w:t>Evidence Guide</w:t>
      </w:r>
    </w:p>
    <w:tbl>
      <w:tblPr>
        <w:tblW w:w="9462" w:type="dxa"/>
        <w:tblLayout w:type="fixed"/>
        <w:tblCellMar>
          <w:left w:w="62" w:type="dxa"/>
          <w:right w:w="62" w:type="dxa"/>
        </w:tblCellMar>
        <w:tblLook w:val="0000"/>
      </w:tblPr>
      <w:tblGrid>
        <w:gridCol w:w="3800"/>
        <w:gridCol w:w="5662"/>
      </w:tblGrid>
      <w:tr w:rsidTr="0006016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60163">
            <w:pPr>
              <w:pStyle w:val="BodyText"/>
              <w:rPr>
                <w:lang w:val="en-NZ"/>
              </w:rPr>
            </w:pPr>
            <w:r w:rsidRPr="00060163">
              <w:t>The evidence guide provides advice on assessment and must be read in conjunction with the performance criteria, required skills and knowledge, range statement and the Assessment Guidelines for the Training Package.</w:t>
            </w:r>
          </w:p>
        </w:tc>
      </w:tr>
      <w:tr w:rsidTr="000601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163">
            <w:pPr>
              <w:pStyle w:val="BodyText"/>
              <w:rPr>
                <w:lang w:val="en-NZ"/>
              </w:rPr>
            </w:pPr>
            <w:r w:rsidRPr="00060163">
              <w:rPr>
                <w:rStyle w:val="SpecialBold"/>
              </w:rPr>
              <w:t>Critical aspects for ass</w:t>
            </w:r>
            <w:r w:rsidRPr="00060163">
              <w:rPr>
                <w:rStyle w:val="SpecialBold"/>
              </w:rPr>
              <w:t>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163" w:rsidP="00060163">
            <w:pPr>
              <w:pStyle w:val="BodyText"/>
            </w:pPr>
            <w:r w:rsidRPr="00060163">
              <w:t>A person who demonstrates competency in this unit must be able to provide evidence of the ability to:</w:t>
            </w:r>
          </w:p>
          <w:p w:rsidR="00000000" w:rsidRPr="00060163" w:rsidP="00060163">
            <w:pPr>
              <w:pStyle w:val="ListBullet"/>
            </w:pPr>
            <w:r w:rsidRPr="00060163">
              <w:t>identify capacity constrained process implement drum-buffer-rope strategy</w:t>
            </w:r>
          </w:p>
          <w:p w:rsidR="00000000" w:rsidP="00060163">
            <w:pPr>
              <w:pStyle w:val="ListBullet"/>
              <w:rPr>
                <w:lang w:val="en-NZ"/>
              </w:rPr>
            </w:pPr>
            <w:r w:rsidRPr="00060163">
              <w:t>analyse causes of constrained capacity and develop a response strategy.</w:t>
            </w:r>
          </w:p>
        </w:tc>
      </w:tr>
      <w:tr w:rsidTr="000601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163">
            <w:pPr>
              <w:pStyle w:val="BodyText"/>
              <w:rPr>
                <w:lang w:val="en-NZ"/>
              </w:rPr>
            </w:pPr>
            <w:r w:rsidRPr="00060163">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163" w:rsidP="00060163">
            <w:pPr>
              <w:pStyle w:val="BodyText"/>
            </w:pPr>
            <w:r w:rsidRPr="00060163">
              <w:t xml:space="preserve">Assessment of performance must be undertaken in a workplace using or implementing one or more competitive systems and practices. </w:t>
            </w:r>
          </w:p>
          <w:p w:rsidR="00000000" w:rsidRPr="00060163" w:rsidP="00060163">
            <w:pPr>
              <w:pStyle w:val="BodyText"/>
            </w:pPr>
            <w:r w:rsidRPr="00060163">
              <w:t>Acce</w:t>
            </w:r>
            <w:r w:rsidRPr="00060163">
              <w:t>ss may be required to:</w:t>
            </w:r>
          </w:p>
          <w:p w:rsidR="00000000" w:rsidRPr="00060163" w:rsidP="00060163">
            <w:pPr>
              <w:pStyle w:val="ListBullet"/>
            </w:pPr>
            <w:r w:rsidRPr="00060163">
              <w:t>workplace procedures and plans relevant to work area</w:t>
            </w:r>
          </w:p>
          <w:p w:rsidR="00000000" w:rsidRPr="00060163" w:rsidP="00060163">
            <w:pPr>
              <w:pStyle w:val="ListBullet"/>
            </w:pPr>
            <w:r w:rsidRPr="00060163">
              <w:t>specifications and documentation relating to planned, currently being implemented, or implemented changes to work processes and procedures relevant to the assessee</w:t>
            </w:r>
          </w:p>
          <w:p w:rsidR="00000000" w:rsidRPr="00060163" w:rsidP="00060163">
            <w:pPr>
              <w:pStyle w:val="ListBullet"/>
            </w:pPr>
            <w:r w:rsidRPr="00060163">
              <w:t>documentation a</w:t>
            </w:r>
            <w:r w:rsidRPr="00060163">
              <w:t>nd information in relation to production, waste, overheads and hazard control/management</w:t>
            </w:r>
          </w:p>
          <w:p w:rsidR="00000000" w:rsidRPr="00060163" w:rsidP="00060163">
            <w:pPr>
              <w:pStyle w:val="ListBullet"/>
            </w:pPr>
            <w:r w:rsidRPr="00060163">
              <w:t>reports from supervisors/managers</w:t>
            </w:r>
          </w:p>
          <w:p w:rsidR="00000000" w:rsidRPr="00060163" w:rsidP="00060163">
            <w:pPr>
              <w:pStyle w:val="ListBullet"/>
            </w:pPr>
            <w:r w:rsidRPr="00060163">
              <w:t>case studies and scenarios to assess responses to contingencies</w:t>
            </w:r>
          </w:p>
          <w:p w:rsidR="00000000" w:rsidP="00060163">
            <w:pPr>
              <w:pStyle w:val="ListBullet"/>
              <w:rPr>
                <w:lang w:val="en-NZ"/>
              </w:rPr>
            </w:pPr>
            <w:r w:rsidRPr="00060163">
              <w:t>minutes of meetings and other records relevant to determining and dea</w:t>
            </w:r>
            <w:r w:rsidRPr="00060163">
              <w:t>ling with the core conflict.</w:t>
            </w:r>
          </w:p>
        </w:tc>
      </w:tr>
      <w:tr w:rsidTr="000601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163">
            <w:pPr>
              <w:pStyle w:val="BodyText"/>
              <w:rPr>
                <w:lang w:val="en-NZ"/>
              </w:rPr>
            </w:pPr>
            <w:r w:rsidRPr="00060163">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163" w:rsidP="00060163">
            <w:pPr>
              <w:pStyle w:val="BodyText"/>
            </w:pPr>
            <w:r w:rsidRPr="00060163">
              <w:t>A holistic approach should be taken to the assessment.</w:t>
            </w:r>
          </w:p>
          <w:p w:rsidR="00000000" w:rsidRPr="00060163" w:rsidP="00060163">
            <w:pPr>
              <w:pStyle w:val="BodyText"/>
            </w:pPr>
            <w:r w:rsidRPr="00060163">
              <w:t>Competence in this unit may be assessed by using a combination of the following to generate evidence:</w:t>
            </w:r>
          </w:p>
          <w:p w:rsidR="00000000" w:rsidRPr="00060163" w:rsidP="00060163">
            <w:pPr>
              <w:pStyle w:val="ListBullet"/>
            </w:pPr>
            <w:r w:rsidRPr="00060163">
              <w:t>demonstration in the workplace</w:t>
            </w:r>
          </w:p>
          <w:p w:rsidR="00000000" w:rsidRPr="00060163" w:rsidP="00060163">
            <w:pPr>
              <w:pStyle w:val="ListBullet"/>
            </w:pPr>
            <w:r w:rsidRPr="00060163">
              <w:t>workplace projects</w:t>
            </w:r>
          </w:p>
          <w:p w:rsidR="00000000" w:rsidRPr="00060163" w:rsidP="00060163">
            <w:pPr>
              <w:pStyle w:val="ListBullet"/>
            </w:pPr>
            <w:r w:rsidRPr="00060163">
              <w:t>suitable simulation</w:t>
            </w:r>
          </w:p>
          <w:p w:rsidR="00000000" w:rsidRPr="00060163" w:rsidP="00060163">
            <w:pPr>
              <w:pStyle w:val="ListBullet"/>
            </w:pPr>
            <w:r w:rsidRPr="00060163">
              <w:t>case studies/scenarios (particularly for assessment of contingencies, improvement scenarios, and so on)</w:t>
            </w:r>
          </w:p>
          <w:p w:rsidR="00000000" w:rsidRPr="00060163" w:rsidP="00060163">
            <w:pPr>
              <w:pStyle w:val="ListBullet"/>
            </w:pPr>
            <w:r w:rsidRPr="00060163">
              <w:t xml:space="preserve">targeted questioning </w:t>
            </w:r>
          </w:p>
          <w:p w:rsidR="00000000" w:rsidRPr="00060163" w:rsidP="00060163">
            <w:pPr>
              <w:pStyle w:val="ListBullet"/>
            </w:pPr>
            <w:r w:rsidRPr="00060163">
              <w:t>reports from supervisors, peers and colleagues (third-party reports)</w:t>
            </w:r>
          </w:p>
          <w:p w:rsidR="00000000" w:rsidRPr="00060163" w:rsidP="00060163">
            <w:pPr>
              <w:pStyle w:val="ListBullet"/>
            </w:pPr>
            <w:r w:rsidRPr="00060163">
              <w:t>portfolio of evidence.</w:t>
            </w:r>
          </w:p>
          <w:p w:rsidR="00000000" w:rsidRPr="00060163" w:rsidP="00060163">
            <w:pPr>
              <w:pStyle w:val="BodyText"/>
            </w:pPr>
            <w:r w:rsidRPr="00060163">
              <w:t>In all cases it is expected that practical assessment will be combined with targeted questioning to assess underpinning knowledge.</w:t>
            </w:r>
          </w:p>
          <w:p w:rsidR="00000000" w:rsidP="00060163">
            <w:pPr>
              <w:pStyle w:val="BodyText"/>
              <w:rPr>
                <w:lang w:val="en-NZ"/>
              </w:rPr>
            </w:pPr>
            <w:r w:rsidRPr="00060163">
              <w:t xml:space="preserve">Where applicable, reasonable adjustment must be made to </w:t>
            </w:r>
            <w:r w:rsidRPr="00060163">
              <w:t xml:space="preserve">work environments and training situations to accommodate ethnicity, </w:t>
            </w:r>
            <w:r w:rsidRPr="00060163">
              <w:t>age, gender, demographics and disability.</w:t>
            </w:r>
          </w:p>
        </w:tc>
      </w:tr>
      <w:tr w:rsidTr="000601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163">
            <w:pPr>
              <w:pStyle w:val="BodyText"/>
              <w:rPr>
                <w:lang w:val="en-NZ"/>
              </w:rPr>
            </w:pPr>
            <w:r w:rsidRPr="00060163">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163" w:rsidP="00060163">
            <w:pPr>
              <w:pStyle w:val="BodyText"/>
            </w:pPr>
            <w:r w:rsidRPr="00060163">
              <w:t>Assessment processes and techniques must be culturally appropriate and appropriate to the oracy, language and literacy capacity of the candidate and the work being performed.</w:t>
            </w:r>
          </w:p>
        </w:tc>
      </w:tr>
    </w:tbl>
    <w:p w:rsidR="00F42FE2" w:rsidP="00060163">
      <w:pPr>
        <w:pStyle w:val="BodyText"/>
      </w:pPr>
    </w:p>
    <w:p w:rsidR="00F42FE2" w:rsidP="00060163">
      <w:pPr>
        <w:pStyle w:val="BodyText"/>
      </w:pPr>
    </w:p>
    <w:p w:rsidR="00000000" w:rsidRPr="00060163" w:rsidP="00060163">
      <w:pPr>
        <w:pStyle w:val="Heading1"/>
      </w:pPr>
      <w:bookmarkStart w:id="11" w:name="O_467487"/>
      <w:bookmarkEnd w:id="11"/>
      <w:r w:rsidRPr="00060163">
        <w:t>Range Statement</w:t>
      </w:r>
    </w:p>
    <w:tbl>
      <w:tblPr>
        <w:tblW w:w="9462" w:type="dxa"/>
        <w:tblLayout w:type="fixed"/>
        <w:tblCellMar>
          <w:left w:w="62" w:type="dxa"/>
          <w:right w:w="62" w:type="dxa"/>
        </w:tblCellMar>
        <w:tblLook w:val="0000"/>
      </w:tblPr>
      <w:tblGrid>
        <w:gridCol w:w="3800"/>
        <w:gridCol w:w="5662"/>
      </w:tblGrid>
      <w:tr w:rsidTr="0006016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60163">
            <w:pPr>
              <w:pStyle w:val="BodyText"/>
              <w:rPr>
                <w:lang w:val="en-NZ"/>
              </w:rPr>
            </w:pPr>
            <w:r w:rsidRPr="00060163">
              <w:t>The range statement relates to the unit of competency as a whole. It allows for different work environments and situations that may affect performance. Bold italicised wording, if used in the performance criteria, is detai</w:t>
            </w:r>
            <w:r w:rsidRPr="00060163">
              <w:t>led below. Essential operating conditions that may be present with training and assessment (depending on the work situation, needs of the candidate, accessibility of the item, and local industry and regional contexts) may also be included.</w:t>
            </w:r>
          </w:p>
        </w:tc>
      </w:tr>
      <w:tr w:rsidTr="000601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163" w:rsidP="00060163">
            <w:pPr>
              <w:pStyle w:val="BodyText"/>
            </w:pPr>
            <w:r w:rsidRPr="00060163">
              <w:rPr>
                <w:rStyle w:val="SpecialBold"/>
              </w:rPr>
              <w:t>Competitive sy</w:t>
            </w:r>
            <w:r w:rsidRPr="00060163">
              <w:rPr>
                <w:rStyle w:val="SpecialBold"/>
              </w:rPr>
              <w:t>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163" w:rsidP="00060163">
            <w:pPr>
              <w:pStyle w:val="BodyText"/>
            </w:pPr>
            <w:r w:rsidRPr="00060163">
              <w:t>Competitive systems and practices may include, but are not limited to:</w:t>
            </w:r>
          </w:p>
          <w:p w:rsidR="00000000" w:rsidRPr="00060163" w:rsidP="00060163">
            <w:pPr>
              <w:pStyle w:val="ListBullet"/>
            </w:pPr>
            <w:r w:rsidRPr="00060163">
              <w:t>lean operations</w:t>
            </w:r>
          </w:p>
          <w:p w:rsidR="00000000" w:rsidRPr="00060163" w:rsidP="00060163">
            <w:pPr>
              <w:pStyle w:val="ListBullet"/>
            </w:pPr>
            <w:r w:rsidRPr="00060163">
              <w:t>agile operations</w:t>
            </w:r>
          </w:p>
          <w:p w:rsidR="00000000" w:rsidRPr="00060163" w:rsidP="00060163">
            <w:pPr>
              <w:pStyle w:val="ListBullet"/>
            </w:pPr>
            <w:r w:rsidRPr="00060163">
              <w:t>preventative and predictive maintenance approaches</w:t>
            </w:r>
          </w:p>
          <w:p w:rsidR="00000000" w:rsidRPr="00060163" w:rsidP="00060163">
            <w:pPr>
              <w:pStyle w:val="ListBullet"/>
            </w:pPr>
            <w:r w:rsidRPr="00060163">
              <w:t xml:space="preserve">monitoring and data gathering systems, such as Systems Control and Data Acquisition (SCADA) software, Enterprise Resource Planning (ERP) systems, Materials Resource Planning (MRP) and proprietary systems </w:t>
            </w:r>
          </w:p>
          <w:p w:rsidR="00000000" w:rsidRPr="00060163" w:rsidP="00060163">
            <w:pPr>
              <w:pStyle w:val="ListBullet"/>
            </w:pPr>
            <w:r w:rsidRPr="00060163">
              <w:t xml:space="preserve">statistical process control systems, including six </w:t>
            </w:r>
            <w:r w:rsidRPr="00060163">
              <w:t>sigma and three sigma</w:t>
            </w:r>
          </w:p>
          <w:p w:rsidR="00000000" w:rsidRPr="00060163" w:rsidP="00060163">
            <w:pPr>
              <w:pStyle w:val="ListBullet"/>
            </w:pPr>
            <w:r w:rsidRPr="00060163">
              <w:t>Just in Time (JIT), kanban and other pull-related operations control systems</w:t>
            </w:r>
          </w:p>
          <w:p w:rsidR="00000000" w:rsidRPr="00060163" w:rsidP="00060163">
            <w:pPr>
              <w:pStyle w:val="ListBullet"/>
            </w:pPr>
            <w:r w:rsidRPr="00060163">
              <w:t>supply, value, and demand chain monitoring and analysis</w:t>
            </w:r>
          </w:p>
          <w:p w:rsidR="00000000" w:rsidRPr="00060163" w:rsidP="00060163">
            <w:pPr>
              <w:pStyle w:val="ListBullet"/>
            </w:pPr>
            <w:r w:rsidRPr="00060163">
              <w:t xml:space="preserve">5S </w:t>
            </w:r>
          </w:p>
          <w:p w:rsidR="00000000" w:rsidRPr="00060163" w:rsidP="00060163">
            <w:pPr>
              <w:pStyle w:val="ListBullet"/>
            </w:pPr>
            <w:r w:rsidRPr="00060163">
              <w:t>continuous improvement (kaizen)</w:t>
            </w:r>
          </w:p>
          <w:p w:rsidR="00000000" w:rsidRPr="00060163" w:rsidP="00060163">
            <w:pPr>
              <w:pStyle w:val="ListBullet"/>
            </w:pPr>
            <w:r w:rsidRPr="00060163">
              <w:t>breakthrough improvement (kaizen blitz)</w:t>
            </w:r>
          </w:p>
          <w:p w:rsidR="00000000" w:rsidRPr="00060163" w:rsidP="00060163">
            <w:pPr>
              <w:pStyle w:val="ListBullet"/>
            </w:pPr>
            <w:r w:rsidRPr="00060163">
              <w:t>cause/effect diagrams</w:t>
            </w:r>
          </w:p>
          <w:p w:rsidR="00000000" w:rsidRPr="00060163" w:rsidP="00060163">
            <w:pPr>
              <w:pStyle w:val="ListBullet"/>
            </w:pPr>
            <w:r w:rsidRPr="00060163">
              <w:t>ove</w:t>
            </w:r>
            <w:r w:rsidRPr="00060163">
              <w:t>rall equipment effectiveness (OEE)</w:t>
            </w:r>
          </w:p>
          <w:p w:rsidR="00000000" w:rsidRPr="00060163" w:rsidP="00060163">
            <w:pPr>
              <w:pStyle w:val="ListBullet"/>
            </w:pPr>
            <w:r w:rsidRPr="00060163">
              <w:t>takt time</w:t>
            </w:r>
          </w:p>
          <w:p w:rsidR="00000000" w:rsidRPr="00060163" w:rsidP="00060163">
            <w:pPr>
              <w:pStyle w:val="ListBullet"/>
            </w:pPr>
            <w:r w:rsidRPr="00060163">
              <w:t>process mapping</w:t>
            </w:r>
          </w:p>
          <w:p w:rsidR="00000000" w:rsidRPr="00060163" w:rsidP="00060163">
            <w:pPr>
              <w:pStyle w:val="ListBullet"/>
            </w:pPr>
            <w:r w:rsidRPr="00060163">
              <w:t xml:space="preserve">problem solving </w:t>
            </w:r>
          </w:p>
          <w:p w:rsidR="00000000" w:rsidRPr="00060163" w:rsidP="00060163">
            <w:pPr>
              <w:pStyle w:val="ListBullet"/>
            </w:pPr>
            <w:r w:rsidRPr="00060163">
              <w:t>run charts</w:t>
            </w:r>
          </w:p>
          <w:p w:rsidR="00000000" w:rsidRPr="00060163" w:rsidP="00060163">
            <w:pPr>
              <w:pStyle w:val="ListBullet"/>
            </w:pPr>
            <w:r w:rsidRPr="00060163">
              <w:t>standard procedures</w:t>
            </w:r>
          </w:p>
          <w:p w:rsidR="00000000" w:rsidRPr="00060163" w:rsidP="00060163">
            <w:pPr>
              <w:pStyle w:val="ListBullet"/>
            </w:pPr>
            <w:r w:rsidRPr="00060163">
              <w:t>current reality tree</w:t>
            </w:r>
          </w:p>
          <w:p w:rsidR="00000000" w:rsidRPr="00060163" w:rsidP="00060163">
            <w:pPr>
              <w:pStyle w:val="BodyText"/>
            </w:pPr>
            <w:r w:rsidRPr="00060163">
              <w:t>Competitive systems and practices should be interpreted so as to take into account:</w:t>
            </w:r>
          </w:p>
          <w:p w:rsidR="00000000" w:rsidRPr="00060163" w:rsidP="00060163">
            <w:pPr>
              <w:pStyle w:val="ListBullet"/>
            </w:pPr>
            <w:r w:rsidRPr="00060163">
              <w:t>the stage of implementation of competitiv</w:t>
            </w:r>
            <w:r w:rsidRPr="00060163">
              <w:t>e systems and practices</w:t>
            </w:r>
          </w:p>
          <w:p w:rsidR="00000000" w:rsidRPr="00060163" w:rsidP="00060163">
            <w:pPr>
              <w:pStyle w:val="ListBullet"/>
            </w:pPr>
            <w:r w:rsidRPr="00060163">
              <w:t>the size of the enterprise</w:t>
            </w:r>
          </w:p>
          <w:p w:rsidR="00000000" w:rsidP="00060163">
            <w:pPr>
              <w:pStyle w:val="ListBullet"/>
              <w:rPr>
                <w:lang w:val="en-NZ"/>
              </w:rPr>
            </w:pPr>
            <w:r w:rsidRPr="00060163">
              <w:t>the work organisation, culture, regulatory environment and the industry sector</w:t>
            </w:r>
          </w:p>
        </w:tc>
      </w:tr>
      <w:tr w:rsidTr="000601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163">
            <w:pPr>
              <w:pStyle w:val="BodyText"/>
              <w:rPr>
                <w:lang w:val="en-NZ"/>
              </w:rPr>
            </w:pPr>
            <w:r w:rsidRPr="00060163">
              <w:rPr>
                <w:rStyle w:val="SpecialBold"/>
              </w:rPr>
              <w:t>Constraint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163" w:rsidP="00060163">
            <w:pPr>
              <w:pStyle w:val="BodyText"/>
            </w:pPr>
            <w:r w:rsidRPr="00060163">
              <w:t xml:space="preserve">A constraint is anything in the organisation that prevents or </w:t>
            </w:r>
            <w:r w:rsidRPr="00060163">
              <w:t>makes it harder for the organisation to achieve improved performance. Constraints may be:</w:t>
            </w:r>
          </w:p>
          <w:p w:rsidR="00000000" w:rsidRPr="00060163" w:rsidP="00060163">
            <w:pPr>
              <w:pStyle w:val="ListBullet"/>
            </w:pPr>
            <w:r w:rsidRPr="00060163">
              <w:t xml:space="preserve">internal or external to the organisation </w:t>
            </w:r>
          </w:p>
          <w:p w:rsidR="00000000" w:rsidRPr="00060163" w:rsidP="00060163">
            <w:pPr>
              <w:pStyle w:val="ListBullet"/>
            </w:pPr>
            <w:r w:rsidRPr="00060163">
              <w:t>physical (equipment or material-based)</w:t>
            </w:r>
          </w:p>
          <w:p w:rsidR="00000000" w:rsidRPr="00060163" w:rsidP="00060163">
            <w:pPr>
              <w:pStyle w:val="ListBullet"/>
            </w:pPr>
            <w:r w:rsidRPr="00060163">
              <w:t>process-based (ineffic</w:t>
            </w:r>
            <w:r w:rsidRPr="00060163">
              <w:t>ient or wrong processes/policies/logistics)</w:t>
            </w:r>
          </w:p>
          <w:p w:rsidR="00000000" w:rsidRPr="00060163" w:rsidP="00060163">
            <w:pPr>
              <w:pStyle w:val="ListBullet"/>
            </w:pPr>
            <w:r w:rsidRPr="00060163">
              <w:t xml:space="preserve">people-based (poor training, communication) </w:t>
            </w:r>
          </w:p>
          <w:p w:rsidR="00000000" w:rsidP="00060163">
            <w:pPr>
              <w:pStyle w:val="ListBullet"/>
              <w:rPr>
                <w:lang w:val="en-NZ"/>
              </w:rPr>
            </w:pPr>
            <w:r w:rsidRPr="00060163">
              <w:t>market based (lack of demand)</w:t>
            </w:r>
          </w:p>
        </w:tc>
      </w:tr>
      <w:tr w:rsidTr="000601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163">
            <w:pPr>
              <w:pStyle w:val="BodyText"/>
              <w:rPr>
                <w:lang w:val="en-NZ"/>
              </w:rPr>
            </w:pPr>
            <w:r w:rsidRPr="00060163">
              <w:rPr>
                <w:rStyle w:val="SpecialBold"/>
              </w:rPr>
              <w:t>Capacity constrained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163">
            <w:pPr>
              <w:pStyle w:val="BodyText"/>
              <w:rPr>
                <w:lang w:val="en-NZ"/>
              </w:rPr>
            </w:pPr>
            <w:r w:rsidRPr="00060163">
              <w:t>A key assumption in this unit and in the theory of constraints is that improved performance is limited by o</w:t>
            </w:r>
            <w:r w:rsidRPr="00060163">
              <w:t>ne (or at most a few) capacity constrained process</w:t>
            </w:r>
          </w:p>
        </w:tc>
      </w:tr>
      <w:tr w:rsidTr="000601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163">
            <w:pPr>
              <w:pStyle w:val="BodyText"/>
              <w:rPr>
                <w:lang w:val="en-NZ"/>
              </w:rPr>
            </w:pPr>
            <w:r w:rsidRPr="00060163">
              <w:rPr>
                <w:rStyle w:val="SpecialBold"/>
              </w:rPr>
              <w:t>Internal constraint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163">
            <w:pPr>
              <w:pStyle w:val="BodyText"/>
              <w:rPr>
                <w:lang w:val="en-NZ"/>
              </w:rPr>
            </w:pPr>
            <w:r w:rsidRPr="00060163">
              <w:t>Internal constraints exist where customers demand more than the organisation can deliver (e.g. product, performance and/or quality)</w:t>
            </w:r>
          </w:p>
        </w:tc>
      </w:tr>
      <w:tr w:rsidTr="000601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163">
            <w:pPr>
              <w:pStyle w:val="BodyText"/>
              <w:rPr>
                <w:lang w:val="en-NZ"/>
              </w:rPr>
            </w:pPr>
            <w:r w:rsidRPr="00060163">
              <w:rPr>
                <w:rStyle w:val="SpecialBold"/>
              </w:rPr>
              <w:t xml:space="preserve">External constraint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163">
            <w:pPr>
              <w:pStyle w:val="BodyText"/>
              <w:rPr>
                <w:lang w:val="en-NZ"/>
              </w:rPr>
            </w:pPr>
            <w:r w:rsidRPr="00060163">
              <w:t>External constraints exist where the organisation is producing more (product or services) than are wanted by customers</w:t>
            </w:r>
          </w:p>
        </w:tc>
      </w:tr>
      <w:tr w:rsidTr="000601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163">
            <w:pPr>
              <w:pStyle w:val="BodyText"/>
              <w:rPr>
                <w:lang w:val="en-NZ"/>
              </w:rPr>
            </w:pPr>
            <w:r w:rsidRPr="00060163">
              <w:rPr>
                <w:rStyle w:val="SpecialBold"/>
              </w:rPr>
              <w:t>Drum-buffer-rope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163">
            <w:pPr>
              <w:pStyle w:val="BodyText"/>
              <w:rPr>
                <w:lang w:val="en-NZ"/>
              </w:rPr>
            </w:pPr>
            <w:r w:rsidRPr="00060163">
              <w:t>Drum-buffer-rope (choke/release) is a system to avoid flooding the system with inventory. Raw materials are released at</w:t>
            </w:r>
            <w:r w:rsidRPr="00060163">
              <w:t xml:space="preserve"> a rate to which the constraint can cope (i.e. to a rhythm set by the drum). A buffer is placed in front of the constraint and strictly managed to protect capacity loss</w:t>
            </w:r>
          </w:p>
        </w:tc>
      </w:tr>
      <w:tr w:rsidTr="000601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163">
            <w:pPr>
              <w:pStyle w:val="BodyText"/>
              <w:rPr>
                <w:lang w:val="en-NZ"/>
              </w:rPr>
            </w:pPr>
            <w:r w:rsidRPr="00060163">
              <w:rPr>
                <w:rStyle w:val="SpecialBold"/>
              </w:rPr>
              <w:t>Non-productive time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163" w:rsidP="00060163">
            <w:pPr>
              <w:pStyle w:val="BodyText"/>
            </w:pPr>
            <w:r w:rsidRPr="00060163">
              <w:t>Non-productive time may include:</w:t>
            </w:r>
          </w:p>
          <w:p w:rsidR="00000000" w:rsidRPr="00060163" w:rsidP="00060163">
            <w:pPr>
              <w:pStyle w:val="ListBullet"/>
            </w:pPr>
            <w:r w:rsidRPr="00060163">
              <w:t>quality losses</w:t>
            </w:r>
          </w:p>
          <w:p w:rsidR="00000000" w:rsidRPr="00060163" w:rsidP="00060163">
            <w:pPr>
              <w:pStyle w:val="ListBullet"/>
            </w:pPr>
            <w:r w:rsidRPr="00060163">
              <w:t>downtime</w:t>
            </w:r>
          </w:p>
          <w:p w:rsidR="00000000" w:rsidRPr="00060163" w:rsidP="00060163">
            <w:pPr>
              <w:pStyle w:val="ListBullet"/>
            </w:pPr>
            <w:r w:rsidRPr="00060163">
              <w:t>other av</w:t>
            </w:r>
            <w:r w:rsidRPr="00060163">
              <w:t>ailability losses</w:t>
            </w:r>
          </w:p>
        </w:tc>
      </w:tr>
    </w:tbl>
    <w:p w:rsidR="00F42FE2" w:rsidP="00060163">
      <w:pPr>
        <w:pStyle w:val="BodyText"/>
      </w:pPr>
    </w:p>
    <w:p w:rsidR="00F42FE2" w:rsidP="00060163">
      <w:pPr>
        <w:pStyle w:val="BodyText"/>
      </w:pPr>
    </w:p>
    <w:p w:rsidR="00000000" w:rsidRPr="00060163" w:rsidP="00060163">
      <w:pPr>
        <w:pStyle w:val="Heading1"/>
      </w:pPr>
      <w:bookmarkStart w:id="12" w:name="O_467488"/>
      <w:bookmarkEnd w:id="12"/>
      <w:r w:rsidRPr="00060163">
        <w:t>Unit Sector(s)</w:t>
      </w:r>
    </w:p>
    <w:tbl>
      <w:tblPr>
        <w:tblW w:w="9354" w:type="dxa"/>
        <w:tblLayout w:type="fixed"/>
        <w:tblCellMar>
          <w:left w:w="62" w:type="dxa"/>
          <w:right w:w="62" w:type="dxa"/>
        </w:tblCellMar>
        <w:tblLook w:val="0000"/>
      </w:tblPr>
      <w:tblGrid>
        <w:gridCol w:w="2592"/>
        <w:gridCol w:w="6762"/>
      </w:tblGrid>
      <w:tr w:rsidTr="00060163">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060163">
            <w:pPr>
              <w:pStyle w:val="BodyText"/>
              <w:rPr>
                <w:lang w:val="en-NZ"/>
              </w:rPr>
            </w:pPr>
            <w:r w:rsidRPr="00060163">
              <w:t>Unit sector</w:t>
            </w:r>
          </w:p>
        </w:tc>
        <w:tc>
          <w:tcPr>
            <w:tcW w:w="6762" w:type="dxa"/>
            <w:tcBorders>
              <w:top w:val="nil"/>
              <w:left w:val="nil"/>
              <w:bottom w:val="nil"/>
              <w:right w:val="nil"/>
            </w:tcBorders>
            <w:tcMar>
              <w:top w:w="0" w:type="dxa"/>
              <w:left w:w="62" w:type="dxa"/>
              <w:bottom w:w="0" w:type="dxa"/>
              <w:right w:w="62" w:type="dxa"/>
            </w:tcMar>
          </w:tcPr>
          <w:p w:rsidR="00000000" w:rsidRPr="00060163" w:rsidP="00060163">
            <w:pPr>
              <w:pStyle w:val="BodyText"/>
            </w:pPr>
            <w:r w:rsidRPr="00060163">
              <w:t>Competitive systems and practices</w:t>
            </w:r>
          </w:p>
        </w:tc>
      </w:tr>
    </w:tbl>
    <w:p w:rsidR="00000000" w:rsidRPr="00060163" w:rsidP="00060163">
      <w:pPr>
        <w:pStyle w:val="BodyText"/>
      </w:pPr>
    </w:p>
    <w:p w:rsidR="00000000" w:rsidRPr="00060163" w:rsidP="00060163">
      <w:pPr>
        <w:pStyle w:val="AllowPageBreak"/>
      </w:pPr>
    </w:p>
    <w:p w:rsidR="00000000" w:rsidRPr="00060163" w:rsidP="00060163">
      <w:pPr>
        <w:pStyle w:val="Heading1"/>
      </w:pPr>
      <w:bookmarkStart w:id="13" w:name="O_467489"/>
      <w:bookmarkEnd w:id="13"/>
      <w:r w:rsidRPr="00060163">
        <w:t>Custom Content Section</w:t>
      </w:r>
    </w:p>
    <w:p w:rsidR="00000000" w:rsidRPr="00060163" w:rsidP="00060163">
      <w:pPr>
        <w:pStyle w:val="BodyText"/>
      </w:pPr>
      <w:r w:rsidRPr="00060163">
        <w:t>Not applicable.</w:t>
      </w:r>
    </w:p>
    <w:p w:rsidR="00000000" w:rsidRPr="00060163" w:rsidP="00060163"/>
    <w:sectPr w:rsidSect="000601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1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FE2" w:rsidP="00F42F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1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FE2" w:rsidP="000601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2FE2" w:rsidP="000601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42FE2" w:rsidP="000601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1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FE2" w:rsidP="00F42F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1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FE2" w:rsidP="00060163">
    <w:pPr>
      <w:pStyle w:val="Header"/>
      <w:framePr w:wrap="around"/>
    </w:pPr>
    <w:r>
      <w:fldChar w:fldCharType="begin"/>
    </w:r>
    <w:r>
      <w:instrText xml:space="preserve"> TITLE   \* MERGEFORMAT </w:instrText>
    </w:r>
    <w:r>
      <w:fldChar w:fldCharType="separate"/>
    </w:r>
    <w:r>
      <w:t>MSS405024A Apply the theory of constraints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2FE2" w:rsidP="000601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42D9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8E5D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7CC3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1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0163"/>
    <w:pPr>
      <w:spacing w:before="360" w:after="60"/>
      <w:outlineLvl w:val="0"/>
    </w:pPr>
    <w:rPr>
      <w:sz w:val="32"/>
    </w:rPr>
  </w:style>
  <w:style w:type="paragraph" w:styleId="Heading2">
    <w:name w:val="heading 2"/>
    <w:basedOn w:val="HeadingBase"/>
    <w:next w:val="BodyText"/>
    <w:link w:val="Heading2Char"/>
    <w:qFormat/>
    <w:rsid w:val="00060163"/>
    <w:pPr>
      <w:keepLines/>
      <w:spacing w:before="240" w:after="120"/>
      <w:outlineLvl w:val="1"/>
    </w:pPr>
    <w:rPr>
      <w:sz w:val="28"/>
      <w:szCs w:val="40"/>
    </w:rPr>
  </w:style>
  <w:style w:type="paragraph" w:styleId="Heading3">
    <w:name w:val="heading 3"/>
    <w:basedOn w:val="HeadingBase"/>
    <w:next w:val="BodyText"/>
    <w:link w:val="Heading3Char"/>
    <w:qFormat/>
    <w:rsid w:val="00060163"/>
    <w:pPr>
      <w:spacing w:before="180" w:after="120"/>
      <w:outlineLvl w:val="2"/>
    </w:pPr>
    <w:rPr>
      <w:spacing w:val="-10"/>
      <w:kern w:val="32"/>
    </w:rPr>
  </w:style>
  <w:style w:type="paragraph" w:styleId="Heading4">
    <w:name w:val="heading 4"/>
    <w:basedOn w:val="HeadingBase"/>
    <w:next w:val="BodyText"/>
    <w:link w:val="Heading4Char"/>
    <w:qFormat/>
    <w:rsid w:val="00060163"/>
    <w:pPr>
      <w:spacing w:before="160" w:after="120"/>
      <w:outlineLvl w:val="3"/>
    </w:pPr>
    <w:rPr>
      <w:sz w:val="22"/>
    </w:rPr>
  </w:style>
  <w:style w:type="paragraph" w:styleId="Heading5">
    <w:name w:val="heading 5"/>
    <w:basedOn w:val="HeadingBase"/>
    <w:next w:val="Normal"/>
    <w:link w:val="Heading5Char"/>
    <w:qFormat/>
    <w:rsid w:val="00060163"/>
    <w:pPr>
      <w:spacing w:before="80"/>
      <w:outlineLvl w:val="4"/>
    </w:pPr>
    <w:rPr>
      <w:color w:val="918585"/>
      <w:sz w:val="20"/>
    </w:rPr>
  </w:style>
  <w:style w:type="paragraph" w:styleId="Heading6">
    <w:name w:val="heading 6"/>
    <w:basedOn w:val="HeadingBase"/>
    <w:next w:val="Normal"/>
    <w:link w:val="Heading6Char"/>
    <w:qFormat/>
    <w:rsid w:val="00060163"/>
    <w:pPr>
      <w:spacing w:before="60"/>
      <w:outlineLvl w:val="5"/>
    </w:pPr>
    <w:rPr>
      <w:color w:val="918585"/>
      <w:sz w:val="20"/>
    </w:rPr>
  </w:style>
  <w:style w:type="paragraph" w:styleId="Heading7">
    <w:name w:val="heading 7"/>
    <w:basedOn w:val="Normal"/>
    <w:next w:val="Normal"/>
    <w:link w:val="Heading7Char"/>
    <w:qFormat/>
    <w:rsid w:val="00060163"/>
    <w:pPr>
      <w:ind w:left="720"/>
      <w:outlineLvl w:val="6"/>
    </w:pPr>
    <w:rPr>
      <w:i/>
    </w:rPr>
  </w:style>
  <w:style w:type="paragraph" w:styleId="Heading8">
    <w:name w:val="heading 8"/>
    <w:basedOn w:val="Normal"/>
    <w:next w:val="Normal"/>
    <w:link w:val="Heading8Char"/>
    <w:qFormat/>
    <w:rsid w:val="00060163"/>
    <w:pPr>
      <w:ind w:left="720"/>
      <w:outlineLvl w:val="7"/>
    </w:pPr>
    <w:rPr>
      <w:i/>
    </w:rPr>
  </w:style>
  <w:style w:type="paragraph" w:styleId="Heading9">
    <w:name w:val="heading 9"/>
    <w:basedOn w:val="Normal"/>
    <w:next w:val="Normal"/>
    <w:link w:val="Heading9Char"/>
    <w:qFormat/>
    <w:rsid w:val="00060163"/>
    <w:pPr>
      <w:ind w:left="720"/>
      <w:outlineLvl w:val="8"/>
    </w:pPr>
    <w:rPr>
      <w:i/>
    </w:rPr>
  </w:style>
  <w:style w:type="character" w:default="1" w:styleId="DefaultParagraphFont">
    <w:name w:val="Default Paragraph Font"/>
    <w:uiPriority w:val="1"/>
    <w:unhideWhenUsed/>
    <w:rsid w:val="000601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163"/>
  </w:style>
  <w:style w:type="character" w:customStyle="1" w:styleId="Heading1Char">
    <w:name w:val="Heading 1 Char"/>
    <w:basedOn w:val="DefaultParagraphFont"/>
    <w:link w:val="Heading1"/>
    <w:rsid w:val="00060163"/>
    <w:rPr>
      <w:rFonts w:ascii="Times New Roman" w:eastAsia="Times New Roman" w:hAnsi="Times New Roman" w:cs="Times New Roman"/>
      <w:b/>
      <w:sz w:val="32"/>
      <w:szCs w:val="20"/>
      <w:lang w:eastAsia="en-US"/>
    </w:rPr>
  </w:style>
  <w:style w:type="paragraph" w:styleId="BodyText">
    <w:name w:val="Body Text"/>
    <w:basedOn w:val="Normal"/>
    <w:link w:val="BodyTextChar"/>
    <w:rsid w:val="000601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0163"/>
    <w:rPr>
      <w:rFonts w:ascii="Times New Roman" w:eastAsia="Times New Roman" w:hAnsi="Times New Roman" w:cs="Times New Roman"/>
      <w:sz w:val="24"/>
      <w:lang w:val="en-US" w:eastAsia="en-US"/>
    </w:rPr>
  </w:style>
  <w:style w:type="paragraph" w:styleId="Footer">
    <w:name w:val="footer"/>
    <w:basedOn w:val="Normal"/>
    <w:link w:val="FooterChar"/>
    <w:rsid w:val="000601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163"/>
    <w:rPr>
      <w:rFonts w:ascii="Times New Roman" w:eastAsia="Times New Roman" w:hAnsi="Times New Roman" w:cs="Times New Roman"/>
      <w:sz w:val="16"/>
      <w:lang w:val="en-US" w:eastAsia="en-US"/>
    </w:rPr>
  </w:style>
  <w:style w:type="paragraph" w:styleId="ListBullet">
    <w:name w:val="List Bullet"/>
    <w:basedOn w:val="List"/>
    <w:rsid w:val="00060163"/>
    <w:pPr>
      <w:numPr>
        <w:numId w:val="13"/>
      </w:numPr>
      <w:tabs>
        <w:tab w:val="clear" w:pos="340"/>
      </w:tabs>
      <w:spacing w:before="40" w:after="40"/>
    </w:pPr>
  </w:style>
  <w:style w:type="character" w:customStyle="1" w:styleId="SpecialBold">
    <w:name w:val="Special Bold"/>
    <w:basedOn w:val="DefaultParagraphFont"/>
    <w:rsid w:val="00060163"/>
    <w:rPr>
      <w:b/>
      <w:spacing w:val="0"/>
    </w:rPr>
  </w:style>
  <w:style w:type="paragraph" w:styleId="ListBullet2">
    <w:name w:val="List Bullet 2"/>
    <w:basedOn w:val="List2"/>
    <w:rsid w:val="00060163"/>
    <w:pPr>
      <w:numPr>
        <w:numId w:val="14"/>
      </w:numPr>
      <w:tabs>
        <w:tab w:val="clear" w:pos="680"/>
      </w:tabs>
    </w:pPr>
  </w:style>
  <w:style w:type="paragraph" w:styleId="Header">
    <w:name w:val="header"/>
    <w:basedOn w:val="Normal"/>
    <w:link w:val="HeaderChar"/>
    <w:rsid w:val="000601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1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0163"/>
    <w:pPr>
      <w:spacing w:before="240" w:after="120"/>
      <w:outlineLvl w:val="0"/>
    </w:pPr>
    <w:rPr>
      <w:rFonts w:ascii="Times New Roman" w:hAnsi="Times New Roman"/>
      <w:b/>
      <w:sz w:val="28"/>
    </w:rPr>
  </w:style>
  <w:style w:type="paragraph" w:customStyle="1" w:styleId="AllowPageBreak">
    <w:name w:val="AllowPageBreak"/>
    <w:rsid w:val="000601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01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1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1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1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1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1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01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0163"/>
    <w:rPr>
      <w:rFonts w:ascii="Courier New" w:eastAsia="Times New Roman" w:hAnsi="Courier New" w:cs="Times New Roman"/>
      <w:i/>
      <w:szCs w:val="20"/>
      <w:lang w:val="en-US" w:eastAsia="en-US"/>
    </w:rPr>
  </w:style>
  <w:style w:type="paragraph" w:customStyle="1" w:styleId="HeadingBase">
    <w:name w:val="Heading Base"/>
    <w:rsid w:val="000601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163"/>
    <w:pPr>
      <w:tabs>
        <w:tab w:val="right" w:leader="dot" w:pos="9072"/>
      </w:tabs>
      <w:ind w:left="567"/>
    </w:pPr>
    <w:rPr>
      <w:szCs w:val="22"/>
    </w:rPr>
  </w:style>
  <w:style w:type="paragraph" w:customStyle="1" w:styleId="TOCBase">
    <w:name w:val="TOC Base"/>
    <w:rsid w:val="000601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163"/>
    <w:pPr>
      <w:tabs>
        <w:tab w:val="right" w:leader="dot" w:pos="9072"/>
      </w:tabs>
      <w:spacing w:before="40" w:after="40"/>
      <w:ind w:left="284"/>
    </w:pPr>
    <w:rPr>
      <w:rFonts w:ascii="Times New Roman" w:hAnsi="Times New Roman"/>
    </w:rPr>
  </w:style>
  <w:style w:type="paragraph" w:styleId="TOC1">
    <w:name w:val="toc 1"/>
    <w:basedOn w:val="TOCBase"/>
    <w:next w:val="Normal"/>
    <w:rsid w:val="000601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0163"/>
    <w:pPr>
      <w:spacing w:before="5040"/>
      <w:jc w:val="center"/>
    </w:pPr>
    <w:rPr>
      <w:sz w:val="48"/>
      <w:szCs w:val="72"/>
      <w:lang w:val="en-US"/>
    </w:rPr>
  </w:style>
  <w:style w:type="character" w:customStyle="1" w:styleId="TitleChar">
    <w:name w:val="Title Char"/>
    <w:basedOn w:val="DefaultParagraphFont"/>
    <w:link w:val="Title"/>
    <w:rsid w:val="000601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163"/>
    <w:pPr>
      <w:tabs>
        <w:tab w:val="left" w:pos="3600"/>
        <w:tab w:val="left" w:pos="3958"/>
      </w:tabs>
    </w:pPr>
  </w:style>
  <w:style w:type="paragraph" w:styleId="List">
    <w:name w:val="List"/>
    <w:basedOn w:val="BodyText"/>
    <w:next w:val="BodyText"/>
    <w:rsid w:val="00060163"/>
    <w:pPr>
      <w:tabs>
        <w:tab w:val="left" w:pos="340"/>
      </w:tabs>
      <w:spacing w:before="60" w:after="60"/>
      <w:ind w:left="340" w:hanging="340"/>
    </w:pPr>
  </w:style>
  <w:style w:type="paragraph" w:customStyle="1" w:styleId="Note">
    <w:name w:val="Note"/>
    <w:basedOn w:val="BodyText"/>
    <w:rsid w:val="000601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163"/>
    <w:pPr>
      <w:framePr w:wrap="auto" w:hAnchor="text" w:y="6049"/>
    </w:pPr>
    <w:rPr>
      <w:color w:val="000000"/>
      <w:sz w:val="40"/>
    </w:rPr>
  </w:style>
  <w:style w:type="paragraph" w:customStyle="1" w:styleId="TOCTitle">
    <w:name w:val="TOCTitle"/>
    <w:basedOn w:val="Heading1"/>
    <w:rsid w:val="00060163"/>
    <w:pPr>
      <w:spacing w:after="240"/>
      <w:jc w:val="center"/>
      <w:outlineLvl w:val="9"/>
    </w:pPr>
    <w:rPr>
      <w:caps/>
    </w:rPr>
  </w:style>
  <w:style w:type="paragraph" w:customStyle="1" w:styleId="Version">
    <w:name w:val="Version"/>
    <w:rsid w:val="000601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0163"/>
    <w:pPr>
      <w:keepNext w:val="0"/>
      <w:tabs>
        <w:tab w:val="right" w:pos="4176"/>
      </w:tabs>
      <w:ind w:left="198" w:hanging="198"/>
    </w:pPr>
    <w:rPr>
      <w:rFonts w:ascii="Garamond" w:hAnsi="Garamond"/>
    </w:rPr>
  </w:style>
  <w:style w:type="paragraph" w:styleId="IndexHeading">
    <w:name w:val="index heading"/>
    <w:basedOn w:val="Normal"/>
    <w:next w:val="Index1"/>
    <w:semiHidden/>
    <w:rsid w:val="00060163"/>
    <w:pPr>
      <w:spacing w:before="120" w:after="120"/>
    </w:pPr>
    <w:rPr>
      <w:rFonts w:ascii="Arial" w:hAnsi="Arial"/>
      <w:b/>
      <w:color w:val="918585"/>
      <w:sz w:val="24"/>
    </w:rPr>
  </w:style>
  <w:style w:type="paragraph" w:customStyle="1" w:styleId="Chapter">
    <w:name w:val="Chapter"/>
    <w:basedOn w:val="Normal"/>
    <w:rsid w:val="00060163"/>
    <w:pPr>
      <w:spacing w:before="240"/>
    </w:pPr>
    <w:rPr>
      <w:rFonts w:ascii="Times New Roman" w:hAnsi="Times New Roman"/>
      <w:smallCaps/>
      <w:spacing w:val="80"/>
      <w:sz w:val="28"/>
    </w:rPr>
  </w:style>
  <w:style w:type="paragraph" w:customStyle="1" w:styleId="InChapter">
    <w:name w:val="InChapter"/>
    <w:basedOn w:val="Heading3"/>
    <w:rsid w:val="00060163"/>
    <w:pPr>
      <w:spacing w:after="240"/>
      <w:outlineLvl w:val="9"/>
    </w:pPr>
    <w:rPr>
      <w:noProof/>
    </w:rPr>
  </w:style>
  <w:style w:type="paragraph" w:styleId="Index2">
    <w:name w:val="index 2"/>
    <w:basedOn w:val="Normal"/>
    <w:next w:val="Normal"/>
    <w:semiHidden/>
    <w:rsid w:val="00060163"/>
    <w:pPr>
      <w:tabs>
        <w:tab w:val="right" w:pos="4176"/>
      </w:tabs>
      <w:ind w:left="568" w:hanging="284"/>
    </w:pPr>
    <w:rPr>
      <w:rFonts w:ascii="Garamond" w:hAnsi="Garamond"/>
    </w:rPr>
  </w:style>
  <w:style w:type="paragraph" w:customStyle="1" w:styleId="Byline">
    <w:name w:val="Byline"/>
    <w:rsid w:val="000601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163"/>
    <w:pPr>
      <w:tabs>
        <w:tab w:val="clear" w:pos="3600"/>
        <w:tab w:val="clear" w:pos="3958"/>
      </w:tabs>
      <w:jc w:val="right"/>
    </w:pPr>
  </w:style>
  <w:style w:type="character" w:styleId="Emphasis">
    <w:name w:val="Emphasis"/>
    <w:basedOn w:val="DefaultParagraphFont"/>
    <w:qFormat/>
    <w:rsid w:val="00060163"/>
    <w:rPr>
      <w:i/>
    </w:rPr>
  </w:style>
  <w:style w:type="paragraph" w:styleId="Caption">
    <w:name w:val="caption"/>
    <w:basedOn w:val="BodyText"/>
    <w:next w:val="Normal"/>
    <w:qFormat/>
    <w:rsid w:val="00060163"/>
    <w:pPr>
      <w:framePr w:w="2268" w:hSpace="181" w:vSpace="181" w:wrap="around" w:vAnchor="text" w:hAnchor="page" w:x="1135" w:y="285" w:anchorLock="1"/>
    </w:pPr>
    <w:rPr>
      <w:i/>
    </w:rPr>
  </w:style>
  <w:style w:type="paragraph" w:customStyle="1" w:styleId="MiniTOCTitle">
    <w:name w:val="MiniTOCTitle"/>
    <w:basedOn w:val="Heading4"/>
    <w:rsid w:val="00060163"/>
    <w:pPr>
      <w:spacing w:before="240"/>
      <w:outlineLvl w:val="9"/>
    </w:pPr>
    <w:rPr>
      <w:noProof/>
      <w:sz w:val="24"/>
    </w:rPr>
  </w:style>
  <w:style w:type="paragraph" w:customStyle="1" w:styleId="MiniTOCItem">
    <w:name w:val="MiniTOCItem"/>
    <w:basedOn w:val="ListBullet"/>
    <w:rsid w:val="00060163"/>
    <w:pPr>
      <w:numPr>
        <w:numId w:val="0"/>
      </w:numPr>
      <w:tabs>
        <w:tab w:val="right" w:leader="dot" w:pos="6521"/>
      </w:tabs>
      <w:spacing w:before="0" w:after="0"/>
    </w:pPr>
  </w:style>
  <w:style w:type="paragraph" w:customStyle="1" w:styleId="TOFTitle">
    <w:name w:val="TOFTitle"/>
    <w:basedOn w:val="TOCTitle"/>
    <w:rsid w:val="00060163"/>
  </w:style>
  <w:style w:type="paragraph" w:styleId="TableofFigures">
    <w:name w:val="table of figures"/>
    <w:basedOn w:val="Normal"/>
    <w:next w:val="Normal"/>
    <w:semiHidden/>
    <w:rsid w:val="00060163"/>
    <w:pPr>
      <w:tabs>
        <w:tab w:val="right" w:leader="dot" w:pos="9072"/>
      </w:tabs>
      <w:ind w:left="970" w:hanging="403"/>
    </w:pPr>
    <w:rPr>
      <w:rFonts w:ascii="Times New Roman" w:hAnsi="Times New Roman"/>
      <w:b/>
    </w:rPr>
  </w:style>
  <w:style w:type="paragraph" w:styleId="ListNumber">
    <w:name w:val="List Number"/>
    <w:basedOn w:val="List"/>
    <w:rsid w:val="00060163"/>
    <w:pPr>
      <w:numPr>
        <w:numId w:val="11"/>
      </w:numPr>
    </w:pPr>
  </w:style>
  <w:style w:type="character" w:customStyle="1" w:styleId="WingdingSymbols">
    <w:name w:val="Wingding Symbols"/>
    <w:rsid w:val="00060163"/>
    <w:rPr>
      <w:rFonts w:ascii="Wingdings" w:hAnsi="Wingdings"/>
    </w:rPr>
  </w:style>
  <w:style w:type="paragraph" w:customStyle="1" w:styleId="TableHeading">
    <w:name w:val="Table Heading"/>
    <w:basedOn w:val="HeadingBase"/>
    <w:rsid w:val="00060163"/>
    <w:pPr>
      <w:keepLines/>
      <w:pBdr>
        <w:bottom w:val="single" w:sz="6" w:space="1" w:color="918585"/>
      </w:pBdr>
      <w:spacing w:before="240"/>
    </w:pPr>
  </w:style>
  <w:style w:type="character" w:customStyle="1" w:styleId="HotSpot">
    <w:name w:val="HotSpot"/>
    <w:rsid w:val="00060163"/>
    <w:rPr>
      <w:color w:val="0033CC"/>
      <w:u w:val="none"/>
    </w:rPr>
  </w:style>
  <w:style w:type="paragraph" w:customStyle="1" w:styleId="BodyTextRight">
    <w:name w:val="Body Text Right"/>
    <w:basedOn w:val="BodyText"/>
    <w:rsid w:val="00060163"/>
    <w:pPr>
      <w:spacing w:before="0" w:after="0"/>
      <w:jc w:val="right"/>
    </w:pPr>
  </w:style>
  <w:style w:type="paragraph" w:styleId="Index3">
    <w:name w:val="index 3"/>
    <w:basedOn w:val="ListNumber2"/>
    <w:next w:val="Normal"/>
    <w:semiHidden/>
    <w:rsid w:val="00060163"/>
    <w:pPr>
      <w:numPr>
        <w:numId w:val="0"/>
      </w:numPr>
      <w:tabs>
        <w:tab w:val="right" w:leader="dot" w:pos="4176"/>
      </w:tabs>
    </w:pPr>
  </w:style>
  <w:style w:type="paragraph" w:styleId="ListNumber2">
    <w:name w:val="List Number 2"/>
    <w:basedOn w:val="List2"/>
    <w:rsid w:val="00060163"/>
    <w:pPr>
      <w:numPr>
        <w:numId w:val="10"/>
      </w:numPr>
      <w:tabs>
        <w:tab w:val="clear" w:pos="1060"/>
      </w:tabs>
    </w:pPr>
  </w:style>
  <w:style w:type="paragraph" w:customStyle="1" w:styleId="MarginNote">
    <w:name w:val="Margin Note"/>
    <w:basedOn w:val="BodyText"/>
    <w:rsid w:val="000601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1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1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0163"/>
    <w:rPr>
      <w:sz w:val="32"/>
    </w:rPr>
  </w:style>
  <w:style w:type="paragraph" w:customStyle="1" w:styleId="HeadingProcedure">
    <w:name w:val="Heading Procedure"/>
    <w:basedOn w:val="HeadingBase"/>
    <w:next w:val="Normal"/>
    <w:rsid w:val="00060163"/>
    <w:pPr>
      <w:tabs>
        <w:tab w:val="left" w:pos="0"/>
      </w:tabs>
      <w:spacing w:before="120" w:after="60"/>
    </w:pPr>
    <w:rPr>
      <w:i/>
      <w:color w:val="918585"/>
      <w:sz w:val="22"/>
    </w:rPr>
  </w:style>
  <w:style w:type="paragraph" w:customStyle="1" w:styleId="TableBodyText">
    <w:name w:val="Table Body Text"/>
    <w:basedOn w:val="BodyText"/>
    <w:rsid w:val="00060163"/>
    <w:pPr>
      <w:spacing w:before="60" w:after="60"/>
    </w:pPr>
  </w:style>
  <w:style w:type="paragraph" w:styleId="ListContinue">
    <w:name w:val="List Continue"/>
    <w:basedOn w:val="List"/>
    <w:rsid w:val="00060163"/>
    <w:pPr>
      <w:ind w:firstLine="0"/>
    </w:pPr>
  </w:style>
  <w:style w:type="paragraph" w:customStyle="1" w:styleId="ListNote">
    <w:name w:val="List Note"/>
    <w:basedOn w:val="List"/>
    <w:rsid w:val="00060163"/>
    <w:pPr>
      <w:pBdr>
        <w:top w:val="single" w:sz="6" w:space="2" w:color="918585"/>
        <w:bottom w:val="single" w:sz="6" w:space="2" w:color="918585"/>
      </w:pBdr>
      <w:tabs>
        <w:tab w:val="left" w:pos="1021"/>
      </w:tabs>
      <w:ind w:firstLine="0"/>
    </w:pPr>
  </w:style>
  <w:style w:type="paragraph" w:customStyle="1" w:styleId="Warning">
    <w:name w:val="Warning"/>
    <w:basedOn w:val="BodyText"/>
    <w:rsid w:val="00060163"/>
    <w:pPr>
      <w:shd w:val="clear" w:color="auto" w:fill="D9D9D9"/>
      <w:tabs>
        <w:tab w:val="left" w:pos="992"/>
      </w:tabs>
      <w:ind w:left="119" w:right="119"/>
    </w:pPr>
    <w:rPr>
      <w:sz w:val="20"/>
    </w:rPr>
  </w:style>
  <w:style w:type="paragraph" w:customStyle="1" w:styleId="MarginIcons">
    <w:name w:val="Margin Icons"/>
    <w:basedOn w:val="BodyText"/>
    <w:rsid w:val="000601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163"/>
    <w:rPr>
      <w:rFonts w:ascii="Courier New" w:hAnsi="Courier New"/>
    </w:rPr>
  </w:style>
  <w:style w:type="paragraph" w:customStyle="1" w:styleId="NoteBullet">
    <w:name w:val="Note Bullet"/>
    <w:basedOn w:val="Note"/>
    <w:rsid w:val="00060163"/>
    <w:pPr>
      <w:tabs>
        <w:tab w:val="clear" w:pos="680"/>
      </w:tabs>
      <w:spacing w:before="60" w:after="60"/>
    </w:pPr>
  </w:style>
  <w:style w:type="paragraph" w:customStyle="1" w:styleId="SubHeading2">
    <w:name w:val="SubHeading2"/>
    <w:basedOn w:val="HeadingBase"/>
    <w:rsid w:val="00060163"/>
    <w:pPr>
      <w:spacing w:before="240" w:after="60"/>
    </w:pPr>
    <w:rPr>
      <w:sz w:val="20"/>
    </w:rPr>
  </w:style>
  <w:style w:type="paragraph" w:customStyle="1" w:styleId="SubHeading1">
    <w:name w:val="SubHeading1"/>
    <w:basedOn w:val="HeadingBase"/>
    <w:rsid w:val="00060163"/>
    <w:pPr>
      <w:spacing w:before="240" w:after="60"/>
    </w:pPr>
    <w:rPr>
      <w:color w:val="918585"/>
      <w:sz w:val="22"/>
    </w:rPr>
  </w:style>
  <w:style w:type="paragraph" w:customStyle="1" w:styleId="SideHeading">
    <w:name w:val="Side Heading"/>
    <w:basedOn w:val="HeadingBase"/>
    <w:rsid w:val="000601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163"/>
    <w:pPr>
      <w:numPr>
        <w:numId w:val="12"/>
      </w:numPr>
    </w:pPr>
  </w:style>
  <w:style w:type="paragraph" w:styleId="PlainText">
    <w:name w:val="Plain Text"/>
    <w:basedOn w:val="Normal"/>
    <w:link w:val="PlainTextChar"/>
    <w:rsid w:val="00060163"/>
    <w:rPr>
      <w:sz w:val="20"/>
    </w:rPr>
  </w:style>
  <w:style w:type="character" w:customStyle="1" w:styleId="PlainTextChar">
    <w:name w:val="Plain Text Char"/>
    <w:basedOn w:val="DefaultParagraphFont"/>
    <w:link w:val="PlainText"/>
    <w:rsid w:val="000601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0163"/>
    <w:rPr>
      <w:b/>
      <w:smallCaps/>
    </w:rPr>
  </w:style>
  <w:style w:type="paragraph" w:customStyle="1" w:styleId="TableListNumber">
    <w:name w:val="Table List Number"/>
    <w:basedOn w:val="ListNumber"/>
    <w:rsid w:val="00060163"/>
    <w:pPr>
      <w:numPr>
        <w:numId w:val="0"/>
      </w:numPr>
    </w:pPr>
  </w:style>
  <w:style w:type="paragraph" w:styleId="TOC4">
    <w:name w:val="toc 4"/>
    <w:basedOn w:val="TOCBase"/>
    <w:next w:val="Normal"/>
    <w:semiHidden/>
    <w:rsid w:val="00060163"/>
    <w:pPr>
      <w:tabs>
        <w:tab w:val="right" w:leader="dot" w:pos="9071"/>
      </w:tabs>
      <w:ind w:left="1701"/>
    </w:pPr>
  </w:style>
  <w:style w:type="paragraph" w:customStyle="1" w:styleId="ListAlpha">
    <w:name w:val="List Alpha"/>
    <w:basedOn w:val="List"/>
    <w:rsid w:val="00060163"/>
    <w:pPr>
      <w:numPr>
        <w:numId w:val="9"/>
      </w:numPr>
    </w:pPr>
  </w:style>
  <w:style w:type="paragraph" w:customStyle="1" w:styleId="ListAlpha2">
    <w:name w:val="List Alpha 2"/>
    <w:basedOn w:val="List2"/>
    <w:rsid w:val="00060163"/>
    <w:pPr>
      <w:numPr>
        <w:numId w:val="8"/>
      </w:numPr>
    </w:pPr>
  </w:style>
  <w:style w:type="paragraph" w:styleId="List2">
    <w:name w:val="List 2"/>
    <w:basedOn w:val="BodyText"/>
    <w:rsid w:val="00060163"/>
    <w:pPr>
      <w:tabs>
        <w:tab w:val="left" w:pos="680"/>
      </w:tabs>
      <w:spacing w:before="60" w:after="60"/>
      <w:ind w:left="680" w:hanging="340"/>
    </w:pPr>
  </w:style>
  <w:style w:type="paragraph" w:styleId="List3">
    <w:name w:val="List 3"/>
    <w:basedOn w:val="BodyText"/>
    <w:rsid w:val="00060163"/>
    <w:pPr>
      <w:tabs>
        <w:tab w:val="left" w:pos="1021"/>
      </w:tabs>
      <w:spacing w:before="60" w:after="60"/>
      <w:ind w:left="1020" w:hanging="340"/>
    </w:pPr>
  </w:style>
  <w:style w:type="paragraph" w:styleId="List4">
    <w:name w:val="List 4"/>
    <w:basedOn w:val="BodyText"/>
    <w:rsid w:val="00060163"/>
    <w:pPr>
      <w:tabs>
        <w:tab w:val="left" w:pos="1361"/>
      </w:tabs>
      <w:spacing w:before="60" w:after="60"/>
      <w:ind w:left="1361" w:hanging="340"/>
    </w:pPr>
  </w:style>
  <w:style w:type="paragraph" w:styleId="List5">
    <w:name w:val="List 5"/>
    <w:basedOn w:val="BodyText"/>
    <w:rsid w:val="00060163"/>
    <w:pPr>
      <w:tabs>
        <w:tab w:val="left" w:pos="1701"/>
      </w:tabs>
      <w:spacing w:before="60" w:after="60"/>
      <w:ind w:left="1701" w:hanging="340"/>
    </w:pPr>
  </w:style>
  <w:style w:type="paragraph" w:styleId="ListBullet3">
    <w:name w:val="List Bullet 3"/>
    <w:basedOn w:val="List3"/>
    <w:rsid w:val="00060163"/>
    <w:pPr>
      <w:numPr>
        <w:numId w:val="15"/>
      </w:numPr>
      <w:tabs>
        <w:tab w:val="clear" w:pos="1021"/>
      </w:tabs>
      <w:ind w:left="1037" w:hanging="357"/>
    </w:pPr>
  </w:style>
  <w:style w:type="paragraph" w:styleId="ListBullet4">
    <w:name w:val="List Bullet 4"/>
    <w:basedOn w:val="List4"/>
    <w:rsid w:val="00060163"/>
    <w:pPr>
      <w:numPr>
        <w:numId w:val="3"/>
      </w:numPr>
    </w:pPr>
  </w:style>
  <w:style w:type="paragraph" w:styleId="ListBullet5">
    <w:name w:val="List Bullet 5"/>
    <w:basedOn w:val="List5"/>
    <w:rsid w:val="00060163"/>
    <w:pPr>
      <w:numPr>
        <w:numId w:val="4"/>
      </w:numPr>
    </w:pPr>
  </w:style>
  <w:style w:type="paragraph" w:styleId="ListContinue2">
    <w:name w:val="List Continue 2"/>
    <w:basedOn w:val="List2"/>
    <w:rsid w:val="00060163"/>
    <w:pPr>
      <w:ind w:firstLine="0"/>
    </w:pPr>
  </w:style>
  <w:style w:type="paragraph" w:styleId="ListContinue3">
    <w:name w:val="List Continue 3"/>
    <w:basedOn w:val="List3"/>
    <w:rsid w:val="00060163"/>
    <w:pPr>
      <w:ind w:left="1021" w:firstLine="0"/>
    </w:pPr>
  </w:style>
  <w:style w:type="paragraph" w:styleId="ListContinue4">
    <w:name w:val="List Continue 4"/>
    <w:basedOn w:val="List4"/>
    <w:rsid w:val="00060163"/>
    <w:pPr>
      <w:ind w:firstLine="0"/>
    </w:pPr>
  </w:style>
  <w:style w:type="paragraph" w:styleId="ListContinue5">
    <w:name w:val="List Continue 5"/>
    <w:basedOn w:val="List5"/>
    <w:rsid w:val="00060163"/>
    <w:pPr>
      <w:ind w:firstLine="0"/>
    </w:pPr>
  </w:style>
  <w:style w:type="paragraph" w:styleId="ListNumber3">
    <w:name w:val="List Number 3"/>
    <w:basedOn w:val="List3"/>
    <w:rsid w:val="00060163"/>
    <w:pPr>
      <w:numPr>
        <w:numId w:val="5"/>
      </w:numPr>
    </w:pPr>
  </w:style>
  <w:style w:type="paragraph" w:styleId="ListNumber4">
    <w:name w:val="List Number 4"/>
    <w:basedOn w:val="List4"/>
    <w:rsid w:val="00060163"/>
    <w:pPr>
      <w:numPr>
        <w:numId w:val="6"/>
      </w:numPr>
    </w:pPr>
  </w:style>
  <w:style w:type="paragraph" w:styleId="ListNumber5">
    <w:name w:val="List Number 5"/>
    <w:basedOn w:val="List5"/>
    <w:rsid w:val="00060163"/>
    <w:pPr>
      <w:numPr>
        <w:numId w:val="7"/>
      </w:numPr>
    </w:pPr>
  </w:style>
  <w:style w:type="paragraph" w:styleId="BlockText">
    <w:name w:val="Block Text"/>
    <w:basedOn w:val="Normal"/>
    <w:rsid w:val="00060163"/>
    <w:pPr>
      <w:spacing w:after="120"/>
      <w:ind w:left="1440" w:right="1440"/>
    </w:pPr>
  </w:style>
  <w:style w:type="character" w:customStyle="1" w:styleId="Subscript">
    <w:name w:val="Subscript"/>
    <w:basedOn w:val="DefaultParagraphFont"/>
    <w:rsid w:val="00060163"/>
    <w:rPr>
      <w:sz w:val="16"/>
      <w:vertAlign w:val="subscript"/>
    </w:rPr>
  </w:style>
  <w:style w:type="character" w:customStyle="1" w:styleId="Superscript">
    <w:name w:val="Superscript"/>
    <w:basedOn w:val="DefaultParagraphFont"/>
    <w:rsid w:val="00060163"/>
    <w:rPr>
      <w:sz w:val="16"/>
      <w:vertAlign w:val="superscript"/>
    </w:rPr>
  </w:style>
  <w:style w:type="character" w:customStyle="1" w:styleId="Symbols">
    <w:name w:val="Symbols"/>
    <w:basedOn w:val="DefaultParagraphFont"/>
    <w:rsid w:val="00060163"/>
    <w:rPr>
      <w:rFonts w:ascii="Symbol" w:hAnsi="Symbol"/>
    </w:rPr>
  </w:style>
  <w:style w:type="character" w:customStyle="1" w:styleId="MenuOptions">
    <w:name w:val="Menu Options"/>
    <w:basedOn w:val="DefaultParagraphFont"/>
    <w:rsid w:val="00060163"/>
    <w:rPr>
      <w:rFonts w:ascii="Arial Narrow" w:hAnsi="Arial Narrow"/>
      <w:smallCaps/>
    </w:rPr>
  </w:style>
  <w:style w:type="character" w:customStyle="1" w:styleId="Buttons">
    <w:name w:val="Buttons"/>
    <w:basedOn w:val="DefaultParagraphFont"/>
    <w:rsid w:val="00060163"/>
    <w:rPr>
      <w:b/>
    </w:rPr>
  </w:style>
  <w:style w:type="character" w:customStyle="1" w:styleId="Underlined">
    <w:name w:val="Underlined"/>
    <w:basedOn w:val="DefaultParagraphFont"/>
    <w:rsid w:val="00060163"/>
    <w:rPr>
      <w:u w:val="single"/>
    </w:rPr>
  </w:style>
  <w:style w:type="paragraph" w:customStyle="1" w:styleId="TableBodyTextRight">
    <w:name w:val="Table Body Text Right"/>
    <w:basedOn w:val="TableBodyText"/>
    <w:rsid w:val="00060163"/>
    <w:pPr>
      <w:widowControl w:val="0"/>
      <w:autoSpaceDE w:val="0"/>
      <w:autoSpaceDN w:val="0"/>
      <w:adjustRightInd w:val="0"/>
      <w:jc w:val="right"/>
    </w:pPr>
    <w:rPr>
      <w:rFonts w:cs="Arial"/>
      <w:szCs w:val="18"/>
    </w:rPr>
  </w:style>
  <w:style w:type="paragraph" w:customStyle="1" w:styleId="CopyrightText">
    <w:name w:val="Copyright Text"/>
    <w:basedOn w:val="BodyText"/>
    <w:rsid w:val="00060163"/>
    <w:rPr>
      <w:sz w:val="18"/>
    </w:rPr>
  </w:style>
  <w:style w:type="paragraph" w:customStyle="1" w:styleId="BodySmallRight">
    <w:name w:val="Body Small Right"/>
    <w:basedOn w:val="BodyTextRight"/>
    <w:rsid w:val="00060163"/>
    <w:rPr>
      <w:sz w:val="18"/>
      <w:szCs w:val="18"/>
    </w:rPr>
  </w:style>
  <w:style w:type="paragraph" w:customStyle="1" w:styleId="MarginEdition">
    <w:name w:val="Margin Edition"/>
    <w:basedOn w:val="MarginNote"/>
    <w:rsid w:val="00060163"/>
    <w:pPr>
      <w:spacing w:before="0" w:after="0"/>
    </w:pPr>
    <w:rPr>
      <w:rFonts w:ascii="Times New Roman" w:hAnsi="Times New Roman"/>
      <w:color w:val="999999"/>
    </w:rPr>
  </w:style>
  <w:style w:type="paragraph" w:customStyle="1" w:styleId="Spacer">
    <w:name w:val="Spacer"/>
    <w:basedOn w:val="Normal"/>
    <w:rsid w:val="00060163"/>
    <w:rPr>
      <w:sz w:val="2"/>
      <w:szCs w:val="2"/>
    </w:rPr>
  </w:style>
  <w:style w:type="character" w:customStyle="1" w:styleId="Small">
    <w:name w:val="Small"/>
    <w:basedOn w:val="DefaultParagraphFont"/>
    <w:rsid w:val="00060163"/>
    <w:rPr>
      <w:sz w:val="16"/>
    </w:rPr>
  </w:style>
  <w:style w:type="paragraph" w:customStyle="1" w:styleId="WideTable">
    <w:name w:val="Wide Table"/>
    <w:basedOn w:val="Normal"/>
    <w:rsid w:val="00060163"/>
    <w:pPr>
      <w:ind w:left="-1418"/>
    </w:pPr>
    <w:rPr>
      <w:sz w:val="2"/>
      <w:szCs w:val="2"/>
    </w:rPr>
  </w:style>
  <w:style w:type="character" w:styleId="PageNumber">
    <w:name w:val="page number"/>
    <w:basedOn w:val="DefaultParagraphFont"/>
    <w:rsid w:val="00060163"/>
  </w:style>
  <w:style w:type="paragraph" w:styleId="Quote">
    <w:name w:val="Quote"/>
    <w:basedOn w:val="Heading1"/>
    <w:link w:val="QuoteChar"/>
    <w:qFormat/>
    <w:rsid w:val="00060163"/>
    <w:rPr>
      <w:b w:val="0"/>
      <w:sz w:val="72"/>
      <w:szCs w:val="72"/>
      <w:lang w:val="en-NZ"/>
    </w:rPr>
  </w:style>
  <w:style w:type="character" w:customStyle="1" w:styleId="QuoteChar">
    <w:name w:val="Quote Char"/>
    <w:basedOn w:val="DefaultParagraphFont"/>
    <w:link w:val="Quote"/>
    <w:rsid w:val="000601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163"/>
    <w:pPr>
      <w:pageBreakBefore/>
    </w:pPr>
  </w:style>
  <w:style w:type="paragraph" w:customStyle="1" w:styleId="Border">
    <w:name w:val="Border"/>
    <w:basedOn w:val="Normal"/>
    <w:qFormat/>
    <w:rsid w:val="000601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163"/>
    <w:rPr>
      <w:b/>
      <w:bCs/>
      <w:i/>
      <w:iCs/>
      <w:color w:val="auto"/>
    </w:rPr>
  </w:style>
  <w:style w:type="paragraph" w:styleId="IntenseQuote">
    <w:name w:val="Intense Quote"/>
    <w:basedOn w:val="Normal"/>
    <w:next w:val="Normal"/>
    <w:link w:val="IntenseQuoteChar"/>
    <w:uiPriority w:val="30"/>
    <w:qFormat/>
    <w:rsid w:val="000601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1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0163"/>
    <w:rPr>
      <w:smallCaps/>
      <w:color w:val="auto"/>
      <w:u w:val="single"/>
    </w:rPr>
  </w:style>
  <w:style w:type="character" w:styleId="IntenseReference">
    <w:name w:val="Intense Reference"/>
    <w:basedOn w:val="DefaultParagraphFont"/>
    <w:uiPriority w:val="32"/>
    <w:qFormat/>
    <w:rsid w:val="00060163"/>
    <w:rPr>
      <w:b/>
      <w:bCs/>
      <w:smallCaps/>
      <w:color w:val="auto"/>
      <w:spacing w:val="5"/>
      <w:u w:val="single"/>
    </w:rPr>
  </w:style>
  <w:style w:type="paragraph" w:customStyle="1" w:styleId="2ColumnHeading">
    <w:name w:val="2Column Heading"/>
    <w:basedOn w:val="BodyText"/>
    <w:qFormat/>
    <w:rsid w:val="00060163"/>
    <w:pPr>
      <w:spacing w:after="60"/>
      <w:ind w:left="-2268"/>
    </w:pPr>
    <w:rPr>
      <w:b/>
    </w:rPr>
  </w:style>
  <w:style w:type="paragraph" w:customStyle="1" w:styleId="Heading1TOC">
    <w:name w:val="Heading1 TOC"/>
    <w:basedOn w:val="Normal"/>
    <w:qFormat/>
    <w:rsid w:val="00060163"/>
    <w:pPr>
      <w:spacing w:before="240" w:after="120"/>
    </w:pPr>
    <w:rPr>
      <w:rFonts w:ascii="Times New Roman" w:hAnsi="Times New Roman"/>
      <w:b/>
      <w:sz w:val="32"/>
    </w:rPr>
  </w:style>
  <w:style w:type="paragraph" w:customStyle="1" w:styleId="Heading2TOC">
    <w:name w:val="Heading2 TOC"/>
    <w:basedOn w:val="Normal"/>
    <w:qFormat/>
    <w:rsid w:val="00060163"/>
    <w:pPr>
      <w:spacing w:before="240" w:after="60"/>
    </w:pPr>
    <w:rPr>
      <w:rFonts w:ascii="Times New Roman" w:hAnsi="Times New Roman"/>
      <w:b/>
      <w:sz w:val="28"/>
    </w:rPr>
  </w:style>
  <w:style w:type="character" w:customStyle="1" w:styleId="Underline">
    <w:name w:val="Underline"/>
    <w:basedOn w:val="DefaultParagraphFont"/>
    <w:qFormat/>
    <w:rsid w:val="00060163"/>
    <w:rPr>
      <w:u w:val="single"/>
    </w:rPr>
  </w:style>
  <w:style w:type="character" w:customStyle="1" w:styleId="BoldandItalics">
    <w:name w:val="Bold and Italics"/>
    <w:qFormat/>
    <w:rsid w:val="00060163"/>
    <w:rPr>
      <w:b/>
      <w:i/>
      <w:u w:val="none"/>
    </w:rPr>
  </w:style>
  <w:style w:type="paragraph" w:styleId="BalloonText">
    <w:name w:val="Balloon Text"/>
    <w:basedOn w:val="Normal"/>
    <w:link w:val="BalloonTextChar"/>
    <w:rsid w:val="00060163"/>
    <w:rPr>
      <w:rFonts w:ascii="Tahoma" w:hAnsi="Tahoma" w:cs="Tahoma"/>
      <w:sz w:val="16"/>
      <w:szCs w:val="16"/>
    </w:rPr>
  </w:style>
  <w:style w:type="character" w:customStyle="1" w:styleId="BalloonTextChar">
    <w:name w:val="Balloon Text Char"/>
    <w:basedOn w:val="DefaultParagraphFont"/>
    <w:link w:val="BalloonText"/>
    <w:rsid w:val="000601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01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01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1414</Words>
  <Characters>8898</Characters>
  <Application>Microsoft Office Word</Application>
  <DocSecurity>0</DocSecurity>
  <Lines>355</Lines>
  <Paragraphs>188</Paragraphs>
  <ScaleCrop>false</ScaleCrop>
  <Company>Author-it Software Corporation Ltd.</Company>
  <LinksUpToDate>false</LinksUpToDate>
  <CharactersWithSpaces>10208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MSS405024A Apply the theory of constraints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2012-05-26T18:49:00Z</dcterms:created>
  <dcterms:modified xsi:type="dcterms:W3CDTF">2012-05-26T18:49:00Z</dcterms:modified>
</cp:coreProperties>
</file>