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6C5D" w:rsidP="00ED6C5D">
      <w:pPr>
        <w:pStyle w:val="Title"/>
      </w:pPr>
      <w:r>
        <w:fldChar w:fldCharType="begin"/>
      </w:r>
      <w:r>
        <w:instrText xml:space="preserve"> TITLE   \* MERGEFORMAT </w:instrText>
      </w:r>
      <w:r>
        <w:fldChar w:fldCharType="separate"/>
      </w:r>
      <w:r>
        <w:t>MSS405022A Design a process layout</w:t>
      </w:r>
      <w:r>
        <w:fldChar w:fldCharType="end"/>
      </w:r>
    </w:p>
    <w:p w:rsidR="00ED6C5D" w:rsidP="00ED6C5D">
      <w:pPr>
        <w:pStyle w:val="Version"/>
        <w:sectPr w:rsidSect="001E00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005C" w:rsidP="001E005C">
      <w:pPr>
        <w:pStyle w:val="SuperHeading"/>
      </w:pPr>
      <w:r w:rsidRPr="001E005C">
        <w:t>MSS405022A Design a process layout</w:t>
      </w:r>
    </w:p>
    <w:p w:rsidR="00000000" w:rsidRPr="001E005C" w:rsidP="001E005C">
      <w:pPr>
        <w:pStyle w:val="Heading1"/>
      </w:pPr>
      <w:bookmarkStart w:id="1" w:name="O_467447"/>
      <w:bookmarkEnd w:id="1"/>
      <w:r w:rsidRPr="001E005C">
        <w:t>Modification History</w:t>
      </w:r>
    </w:p>
    <w:p w:rsidR="00000000" w:rsidRPr="001E005C" w:rsidP="001E005C">
      <w:pPr>
        <w:pStyle w:val="BodyText"/>
      </w:pPr>
      <w:r w:rsidRPr="001E005C">
        <w:t>New unit, superseding MSACMT622A Design a process layout - Equivalent</w:t>
      </w:r>
    </w:p>
    <w:p w:rsidR="00000000" w:rsidRPr="001E005C" w:rsidP="001E005C">
      <w:pPr>
        <w:pStyle w:val="AllowPageBreak"/>
      </w:pPr>
    </w:p>
    <w:p w:rsidR="00000000" w:rsidRPr="001E005C" w:rsidP="001E005C">
      <w:pPr>
        <w:pStyle w:val="Heading1"/>
      </w:pPr>
      <w:bookmarkStart w:id="2" w:name="O_467448"/>
      <w:bookmarkEnd w:id="2"/>
      <w:r w:rsidRPr="001E005C">
        <w:t>Unit Descriptor</w:t>
      </w:r>
    </w:p>
    <w:p w:rsidR="00ED6C5D" w:rsidP="001E005C">
      <w:pPr>
        <w:pStyle w:val="BodyText"/>
      </w:pPr>
      <w:r w:rsidRPr="001E005C">
        <w:t xml:space="preserve">This unit of competency covers the skills and knowledge required to design a </w:t>
      </w:r>
      <w:r w:rsidRPr="001E005C">
        <w:t>process layout, typically a cellular flow, for either a jobbing shop or a continuous process manufacturer.</w:t>
      </w:r>
    </w:p>
    <w:p w:rsidR="00ED6C5D" w:rsidP="001E005C">
      <w:pPr>
        <w:pStyle w:val="BodyText"/>
      </w:pPr>
    </w:p>
    <w:p w:rsidR="00000000" w:rsidRPr="001E005C" w:rsidP="001E005C">
      <w:pPr>
        <w:pStyle w:val="Heading1"/>
      </w:pPr>
      <w:bookmarkStart w:id="3" w:name="O_467449"/>
      <w:bookmarkEnd w:id="3"/>
      <w:r w:rsidRPr="001E005C">
        <w:t>Application of the Unit</w:t>
      </w:r>
    </w:p>
    <w:p w:rsidR="00000000" w:rsidRPr="001E005C" w:rsidP="001E005C">
      <w:pPr>
        <w:pStyle w:val="BodyText"/>
      </w:pPr>
      <w:r w:rsidRPr="001E005C">
        <w:t>This unit provides the skill for a technical expert to apply the principles of competitive systems and prac</w:t>
      </w:r>
      <w:r w:rsidRPr="001E005C">
        <w:t>tices to process design layout as distinct from volume production layout. While the application of the unit may be for an initial layout, in many cases it is likely to be for the redesign of an existing layout.</w:t>
      </w:r>
    </w:p>
    <w:p w:rsidR="00000000" w:rsidRPr="001E005C" w:rsidP="001E005C">
      <w:pPr>
        <w:pStyle w:val="BodyText"/>
      </w:pPr>
      <w:r w:rsidRPr="001E005C">
        <w:t>The unit is written on the assumption that th</w:t>
      </w:r>
      <w:r w:rsidRPr="001E005C">
        <w:t>ere is an existing process. Where this is not the case, then additional competency in equipment/process design and selection will also be required through units from an appropriate technical qualification or Training Package.</w:t>
      </w:r>
    </w:p>
    <w:p w:rsidR="00ED6C5D" w:rsidP="001E005C">
      <w:pPr>
        <w:pStyle w:val="BodyText"/>
      </w:pPr>
      <w:r w:rsidRPr="001E005C">
        <w:t>This unit requires the applica</w:t>
      </w:r>
      <w:r w:rsidRPr="001E005C">
        <w:t>tion of skills associated with problem solving, initiative, enterprise, planning and organising in order to design a process for the manufacture of enterprise products that incorporates team operations, product flow, infrastructure and the layout of the ph</w:t>
      </w:r>
      <w:r w:rsidRPr="001E005C">
        <w:t>ysical environment and related technology. This unit has a strong emphasis gathering, analysing and applying information.</w:t>
      </w:r>
    </w:p>
    <w:p w:rsidR="00ED6C5D" w:rsidP="001E005C">
      <w:pPr>
        <w:pStyle w:val="BodyText"/>
      </w:pPr>
    </w:p>
    <w:p w:rsidR="00000000" w:rsidRPr="001E005C" w:rsidP="001E005C">
      <w:pPr>
        <w:pStyle w:val="Heading1"/>
      </w:pPr>
      <w:bookmarkStart w:id="4" w:name="O_467450"/>
      <w:bookmarkEnd w:id="4"/>
      <w:r w:rsidRPr="001E005C">
        <w:t>Licensing/Regulatory Information</w:t>
      </w:r>
    </w:p>
    <w:p w:rsidR="00000000" w:rsidRPr="001E005C" w:rsidP="001E005C">
      <w:pPr>
        <w:pStyle w:val="BodyText"/>
      </w:pPr>
      <w:r w:rsidRPr="001E005C">
        <w:t>Not applicable.</w:t>
      </w:r>
    </w:p>
    <w:p w:rsidR="00000000" w:rsidRPr="001E005C" w:rsidP="001E005C">
      <w:pPr>
        <w:pStyle w:val="AllowPageBreak"/>
      </w:pPr>
    </w:p>
    <w:p w:rsidR="00000000" w:rsidRPr="001E005C" w:rsidP="001E005C">
      <w:pPr>
        <w:pStyle w:val="Heading1"/>
      </w:pPr>
      <w:bookmarkStart w:id="5" w:name="O_467451"/>
      <w:bookmarkEnd w:id="5"/>
      <w:r w:rsidRPr="001E005C">
        <w:t>Pre-Requisites</w:t>
      </w:r>
    </w:p>
    <w:p w:rsidR="00000000" w:rsidRPr="001E005C" w:rsidP="001E005C">
      <w:pPr>
        <w:pStyle w:val="BodyText"/>
      </w:pPr>
      <w:r w:rsidRPr="001E005C">
        <w:t>Not applicable.</w:t>
      </w:r>
    </w:p>
    <w:p w:rsidR="00000000" w:rsidRPr="001E005C" w:rsidP="001E005C">
      <w:pPr>
        <w:pStyle w:val="AllowPageBreak"/>
      </w:pPr>
    </w:p>
    <w:p w:rsidR="00000000" w:rsidRPr="001E005C" w:rsidP="001E005C">
      <w:pPr>
        <w:pStyle w:val="Heading1"/>
      </w:pPr>
      <w:bookmarkStart w:id="6" w:name="O_467452"/>
      <w:bookmarkEnd w:id="6"/>
      <w:r w:rsidRPr="001E005C">
        <w:t>Employability Skills Information</w:t>
      </w:r>
    </w:p>
    <w:p w:rsidR="00ED6C5D" w:rsidP="001E005C">
      <w:pPr>
        <w:pStyle w:val="BodyText"/>
      </w:pPr>
      <w:r w:rsidRPr="001E005C">
        <w:t>This unit contains employability skills.</w:t>
      </w:r>
    </w:p>
    <w:p w:rsidR="00ED6C5D" w:rsidP="001E005C">
      <w:pPr>
        <w:pStyle w:val="BodyText"/>
      </w:pPr>
    </w:p>
    <w:p w:rsidR="00000000" w:rsidRPr="001E005C" w:rsidP="001E005C">
      <w:pPr>
        <w:pStyle w:val="Heading1"/>
      </w:pPr>
      <w:bookmarkStart w:id="7" w:name="O_467453"/>
      <w:bookmarkEnd w:id="7"/>
      <w:r w:rsidRPr="001E005C">
        <w:t>Elements and Performance Criteria Pre-Content</w:t>
      </w:r>
    </w:p>
    <w:tbl>
      <w:tblPr>
        <w:tblW w:w="0" w:type="auto"/>
        <w:tblLayout w:type="fixed"/>
        <w:tblCellMar>
          <w:left w:w="62" w:type="dxa"/>
          <w:right w:w="62" w:type="dxa"/>
        </w:tblCellMar>
        <w:tblLook w:val="0000"/>
      </w:tblPr>
      <w:tblGrid>
        <w:gridCol w:w="2640"/>
        <w:gridCol w:w="6380"/>
      </w:tblGrid>
      <w:tr w:rsidTr="001E005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1E005C" w:rsidP="001E005C">
            <w:pPr>
              <w:pStyle w:val="BodyText"/>
            </w:pPr>
            <w:r w:rsidRPr="001E005C">
              <w:t>Performance criteria describe the performance needed to demonstrate achievement of the element. Where bold italicised text is used, further information is detailed in the required skills and knowledge section and the range statement. Assessment of performa</w:t>
            </w:r>
            <w:r w:rsidRPr="001E005C">
              <w:t>nce is to be consistent with the evidence guide.</w:t>
            </w:r>
          </w:p>
        </w:tc>
      </w:tr>
    </w:tbl>
    <w:p w:rsidR="00000000" w:rsidRPr="001E005C" w:rsidP="001E005C">
      <w:pPr>
        <w:pStyle w:val="BodyText"/>
      </w:pPr>
    </w:p>
    <w:p w:rsidR="00000000" w:rsidRPr="001E005C" w:rsidP="001E005C">
      <w:pPr>
        <w:pStyle w:val="AllowPageBreak"/>
      </w:pPr>
    </w:p>
    <w:p w:rsidR="00000000" w:rsidRPr="001E005C" w:rsidP="001E005C">
      <w:pPr>
        <w:pStyle w:val="Heading1"/>
      </w:pPr>
      <w:bookmarkStart w:id="8" w:name="O_467454"/>
      <w:bookmarkEnd w:id="8"/>
      <w:r w:rsidRPr="001E005C">
        <w:t>Elements and Performance Criteria</w:t>
      </w:r>
    </w:p>
    <w:p w:rsidR="00000000" w:rsidRPr="001E005C" w:rsidP="001E005C">
      <w:pPr>
        <w:pStyle w:val="BodyText"/>
      </w:pPr>
    </w:p>
    <w:tbl>
      <w:tblPr>
        <w:tblW w:w="0" w:type="auto"/>
        <w:tblLayout w:type="fixed"/>
        <w:tblCellMar>
          <w:left w:w="62" w:type="dxa"/>
          <w:right w:w="62" w:type="dxa"/>
        </w:tblCellMar>
        <w:tblLook w:val="0000"/>
      </w:tblPr>
      <w:tblGrid>
        <w:gridCol w:w="678"/>
        <w:gridCol w:w="1962"/>
        <w:gridCol w:w="770"/>
        <w:gridCol w:w="5610"/>
      </w:tblGrid>
      <w:tr w:rsidTr="001E00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1</w:t>
            </w:r>
          </w:p>
        </w:tc>
        <w:tc>
          <w:tcPr>
            <w:tcW w:w="1962" w:type="dxa"/>
            <w:vMerge w:val="restart"/>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Identify the products and processes used in the organisation</w:t>
            </w:r>
          </w:p>
        </w:tc>
        <w:tc>
          <w:tcPr>
            <w:tcW w:w="77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1.1</w:t>
            </w:r>
          </w:p>
        </w:tc>
        <w:tc>
          <w:tcPr>
            <w:tcW w:w="561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Obtain or develop a process map of the existing process</w:t>
            </w:r>
          </w:p>
        </w:tc>
      </w:tr>
      <w:tr w:rsidTr="001E00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1.2</w:t>
            </w:r>
          </w:p>
        </w:tc>
        <w:tc>
          <w:tcPr>
            <w:tcW w:w="561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Identify all/main products/classes of products</w:t>
            </w:r>
          </w:p>
        </w:tc>
      </w:tr>
      <w:tr w:rsidTr="001E00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1.3</w:t>
            </w:r>
          </w:p>
        </w:tc>
        <w:tc>
          <w:tcPr>
            <w:tcW w:w="561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Obtain forecast sales and sales pattern of products/classes</w:t>
            </w:r>
          </w:p>
        </w:tc>
      </w:tr>
      <w:tr w:rsidTr="001E00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1.4</w:t>
            </w:r>
          </w:p>
        </w:tc>
        <w:tc>
          <w:tcPr>
            <w:tcW w:w="561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 xml:space="preserve">Obtain profiles of products/classes </w:t>
            </w:r>
          </w:p>
        </w:tc>
      </w:tr>
      <w:tr w:rsidTr="001E00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1.5</w:t>
            </w:r>
          </w:p>
        </w:tc>
        <w:tc>
          <w:tcPr>
            <w:tcW w:w="5610" w:type="dxa"/>
            <w:tcBorders>
              <w:top w:val="nil"/>
              <w:left w:val="nil"/>
              <w:bottom w:val="nil"/>
              <w:right w:val="nil"/>
            </w:tcBorders>
            <w:tcMar>
              <w:top w:w="0" w:type="dxa"/>
              <w:left w:w="62" w:type="dxa"/>
              <w:bottom w:w="0" w:type="dxa"/>
              <w:right w:w="62" w:type="dxa"/>
            </w:tcMar>
          </w:tcPr>
          <w:p w:rsidR="00000000" w:rsidRPr="001E005C" w:rsidP="001E005C">
            <w:pPr>
              <w:pStyle w:val="BodyText"/>
            </w:pPr>
            <w:r w:rsidRPr="001E005C">
              <w:t>Group the products/classes into compatible families</w:t>
            </w:r>
          </w:p>
        </w:tc>
      </w:tr>
    </w:tbl>
    <w:p w:rsidR="00000000" w:rsidRPr="001E005C" w:rsidP="001E005C">
      <w:pPr>
        <w:pStyle w:val="BodyText"/>
      </w:pPr>
    </w:p>
    <w:tbl>
      <w:tblPr>
        <w:tblW w:w="0" w:type="auto"/>
        <w:tblLayout w:type="fixed"/>
        <w:tblCellMar>
          <w:left w:w="62" w:type="dxa"/>
          <w:right w:w="62" w:type="dxa"/>
        </w:tblCellMar>
        <w:tblLook w:val="0000"/>
      </w:tblPr>
      <w:tblGrid>
        <w:gridCol w:w="678"/>
        <w:gridCol w:w="1962"/>
        <w:gridCol w:w="770"/>
        <w:gridCol w:w="5610"/>
      </w:tblGrid>
      <w:tr w:rsidTr="001E00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2</w:t>
            </w:r>
          </w:p>
        </w:tc>
        <w:tc>
          <w:tcPr>
            <w:tcW w:w="1962" w:type="dxa"/>
            <w:vMerge w:val="restart"/>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Engineer the process</w:t>
            </w:r>
          </w:p>
        </w:tc>
        <w:tc>
          <w:tcPr>
            <w:tcW w:w="77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2.1</w:t>
            </w:r>
          </w:p>
        </w:tc>
        <w:tc>
          <w:tcPr>
            <w:tcW w:w="561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Make a preliminary selection of required equipment/technology/process for each process or product family</w:t>
            </w:r>
          </w:p>
        </w:tc>
      </w:tr>
      <w:tr w:rsidTr="001E00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2.2</w:t>
            </w:r>
          </w:p>
        </w:tc>
        <w:tc>
          <w:tcPr>
            <w:tcW w:w="561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 xml:space="preserve">Estimate required resource times for each family </w:t>
            </w:r>
          </w:p>
        </w:tc>
      </w:tr>
      <w:tr w:rsidTr="001E00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2.3</w:t>
            </w:r>
          </w:p>
        </w:tc>
        <w:tc>
          <w:tcPr>
            <w:tcW w:w="561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Calculate total resourcing required for each family</w:t>
            </w:r>
          </w:p>
        </w:tc>
      </w:tr>
      <w:tr w:rsidTr="001E00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2.4</w:t>
            </w:r>
          </w:p>
        </w:tc>
        <w:tc>
          <w:tcPr>
            <w:tcW w:w="561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Estimate appropriate lot size</w:t>
            </w:r>
          </w:p>
        </w:tc>
      </w:tr>
      <w:tr w:rsidTr="001E00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2.5</w:t>
            </w:r>
          </w:p>
        </w:tc>
        <w:tc>
          <w:tcPr>
            <w:tcW w:w="561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 xml:space="preserve">Determine viability of proposed families </w:t>
            </w:r>
          </w:p>
        </w:tc>
      </w:tr>
      <w:tr w:rsidTr="001E00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2.6</w:t>
            </w:r>
          </w:p>
        </w:tc>
        <w:tc>
          <w:tcPr>
            <w:tcW w:w="5610" w:type="dxa"/>
            <w:tcBorders>
              <w:top w:val="nil"/>
              <w:left w:val="nil"/>
              <w:bottom w:val="nil"/>
              <w:right w:val="nil"/>
            </w:tcBorders>
            <w:tcMar>
              <w:top w:w="0" w:type="dxa"/>
              <w:left w:w="62" w:type="dxa"/>
              <w:bottom w:w="0" w:type="dxa"/>
              <w:right w:w="62" w:type="dxa"/>
            </w:tcMar>
          </w:tcPr>
          <w:p w:rsidR="00000000" w:rsidRPr="001E005C" w:rsidP="001E005C">
            <w:pPr>
              <w:pStyle w:val="BodyText"/>
            </w:pPr>
            <w:r w:rsidRPr="001E005C">
              <w:t xml:space="preserve">Examine draft proposal for possible improvements in process consistent with the competitive systems and practices strategy of the organisation </w:t>
            </w:r>
          </w:p>
        </w:tc>
      </w:tr>
    </w:tbl>
    <w:p w:rsidR="00000000" w:rsidRPr="001E005C" w:rsidP="001E005C">
      <w:pPr>
        <w:pStyle w:val="BodyText"/>
      </w:pPr>
    </w:p>
    <w:tbl>
      <w:tblPr>
        <w:tblW w:w="0" w:type="auto"/>
        <w:tblLayout w:type="fixed"/>
        <w:tblCellMar>
          <w:left w:w="62" w:type="dxa"/>
          <w:right w:w="62" w:type="dxa"/>
        </w:tblCellMar>
        <w:tblLook w:val="0000"/>
      </w:tblPr>
      <w:tblGrid>
        <w:gridCol w:w="678"/>
        <w:gridCol w:w="1962"/>
        <w:gridCol w:w="770"/>
        <w:gridCol w:w="5610"/>
      </w:tblGrid>
      <w:tr w:rsidTr="001E00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3</w:t>
            </w:r>
          </w:p>
        </w:tc>
        <w:tc>
          <w:tcPr>
            <w:tcW w:w="1962" w:type="dxa"/>
            <w:vMerge w:val="restart"/>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Design the infrastructure</w:t>
            </w:r>
          </w:p>
        </w:tc>
        <w:tc>
          <w:tcPr>
            <w:tcW w:w="77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3.1</w:t>
            </w:r>
          </w:p>
        </w:tc>
        <w:tc>
          <w:tcPr>
            <w:tcW w:w="561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Consult on layout needs with all stakeholders</w:t>
            </w:r>
          </w:p>
        </w:tc>
      </w:tr>
      <w:tr w:rsidTr="001E00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3.2</w:t>
            </w:r>
          </w:p>
        </w:tc>
        <w:tc>
          <w:tcPr>
            <w:tcW w:w="561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 xml:space="preserve">Identify physical infrastructure required by system </w:t>
            </w:r>
          </w:p>
        </w:tc>
      </w:tr>
      <w:tr w:rsidTr="001E00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3.3</w:t>
            </w:r>
          </w:p>
        </w:tc>
        <w:tc>
          <w:tcPr>
            <w:tcW w:w="561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 xml:space="preserve">Identify information and control infrastructure required </w:t>
            </w:r>
          </w:p>
        </w:tc>
      </w:tr>
      <w:tr w:rsidTr="001E00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3.4</w:t>
            </w:r>
          </w:p>
        </w:tc>
        <w:tc>
          <w:tcPr>
            <w:tcW w:w="561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 xml:space="preserve">Identify work organisation required </w:t>
            </w:r>
          </w:p>
        </w:tc>
      </w:tr>
      <w:tr w:rsidTr="001E00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3.5</w:t>
            </w:r>
          </w:p>
        </w:tc>
        <w:tc>
          <w:tcPr>
            <w:tcW w:w="561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Identify occupational health and safety (OHS) and regulatory requirements to be taken into account</w:t>
            </w:r>
          </w:p>
        </w:tc>
      </w:tr>
      <w:tr w:rsidTr="001E00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3.6</w:t>
            </w:r>
          </w:p>
        </w:tc>
        <w:tc>
          <w:tcPr>
            <w:tcW w:w="561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Identify workforce development and training requirements</w:t>
            </w:r>
          </w:p>
        </w:tc>
      </w:tr>
      <w:tr w:rsidTr="001E00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3.7</w:t>
            </w:r>
          </w:p>
        </w:tc>
        <w:tc>
          <w:tcPr>
            <w:tcW w:w="5610" w:type="dxa"/>
            <w:tcBorders>
              <w:top w:val="nil"/>
              <w:left w:val="nil"/>
              <w:bottom w:val="nil"/>
              <w:right w:val="nil"/>
            </w:tcBorders>
            <w:tcMar>
              <w:top w:w="0" w:type="dxa"/>
              <w:left w:w="62" w:type="dxa"/>
              <w:bottom w:w="0" w:type="dxa"/>
              <w:right w:w="62" w:type="dxa"/>
            </w:tcMar>
          </w:tcPr>
          <w:p w:rsidR="00000000" w:rsidRPr="001E005C" w:rsidP="001E005C">
            <w:pPr>
              <w:pStyle w:val="BodyText"/>
            </w:pPr>
            <w:r w:rsidRPr="001E005C">
              <w:t>Check the availability of required infrastructure and compatibility with requirements</w:t>
            </w:r>
          </w:p>
        </w:tc>
      </w:tr>
    </w:tbl>
    <w:p w:rsidR="00000000" w:rsidRPr="001E005C" w:rsidP="001E005C">
      <w:pPr>
        <w:pStyle w:val="BodyText"/>
      </w:pPr>
    </w:p>
    <w:tbl>
      <w:tblPr>
        <w:tblW w:w="0" w:type="auto"/>
        <w:tblLayout w:type="fixed"/>
        <w:tblCellMar>
          <w:left w:w="62" w:type="dxa"/>
          <w:right w:w="62" w:type="dxa"/>
        </w:tblCellMar>
        <w:tblLook w:val="0000"/>
      </w:tblPr>
      <w:tblGrid>
        <w:gridCol w:w="678"/>
        <w:gridCol w:w="1962"/>
        <w:gridCol w:w="770"/>
        <w:gridCol w:w="5610"/>
      </w:tblGrid>
      <w:tr w:rsidTr="001E00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4</w:t>
            </w:r>
          </w:p>
        </w:tc>
        <w:tc>
          <w:tcPr>
            <w:tcW w:w="1962" w:type="dxa"/>
            <w:vMerge w:val="restart"/>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Layout the process</w:t>
            </w:r>
          </w:p>
        </w:tc>
        <w:tc>
          <w:tcPr>
            <w:tcW w:w="77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4.1</w:t>
            </w:r>
          </w:p>
        </w:tc>
        <w:tc>
          <w:tcPr>
            <w:tcW w:w="561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Draft proposed process flow map</w:t>
            </w:r>
          </w:p>
        </w:tc>
      </w:tr>
      <w:tr w:rsidTr="001E00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4.2</w:t>
            </w:r>
          </w:p>
        </w:tc>
        <w:tc>
          <w:tcPr>
            <w:tcW w:w="561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Draft proposed configuration diagram</w:t>
            </w:r>
          </w:p>
        </w:tc>
      </w:tr>
      <w:tr w:rsidTr="001E00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4.3</w:t>
            </w:r>
          </w:p>
        </w:tc>
        <w:tc>
          <w:tcPr>
            <w:tcW w:w="561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Draft proposed space plan/layout</w:t>
            </w:r>
          </w:p>
        </w:tc>
      </w:tr>
      <w:tr w:rsidTr="001E00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4.4</w:t>
            </w:r>
          </w:p>
        </w:tc>
        <w:tc>
          <w:tcPr>
            <w:tcW w:w="561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Check availability of services/structural suitability, as appropriate</w:t>
            </w:r>
          </w:p>
        </w:tc>
      </w:tr>
      <w:tr w:rsidTr="001E00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4.5</w:t>
            </w:r>
          </w:p>
        </w:tc>
        <w:tc>
          <w:tcPr>
            <w:tcW w:w="561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Validate proposed layout with all relevant stakeholders</w:t>
            </w:r>
          </w:p>
        </w:tc>
      </w:tr>
      <w:tr w:rsidTr="001E00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4.6</w:t>
            </w:r>
          </w:p>
        </w:tc>
        <w:tc>
          <w:tcPr>
            <w:tcW w:w="561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Layout the process/work cell</w:t>
            </w:r>
          </w:p>
        </w:tc>
      </w:tr>
      <w:tr w:rsidTr="001E00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4.7</w:t>
            </w:r>
          </w:p>
        </w:tc>
        <w:tc>
          <w:tcPr>
            <w:tcW w:w="561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Develop implementation plan in liaison with relevant stakeholders</w:t>
            </w:r>
          </w:p>
        </w:tc>
      </w:tr>
      <w:tr w:rsidTr="001E00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4.8</w:t>
            </w:r>
          </w:p>
        </w:tc>
        <w:tc>
          <w:tcPr>
            <w:tcW w:w="5610" w:type="dxa"/>
            <w:tcBorders>
              <w:top w:val="nil"/>
              <w:left w:val="nil"/>
              <w:bottom w:val="nil"/>
              <w:right w:val="nil"/>
            </w:tcBorders>
            <w:tcMar>
              <w:top w:w="0" w:type="dxa"/>
              <w:left w:w="62" w:type="dxa"/>
              <w:bottom w:w="0" w:type="dxa"/>
              <w:right w:w="62" w:type="dxa"/>
            </w:tcMar>
          </w:tcPr>
          <w:p w:rsidR="00000000" w:rsidRPr="001E005C" w:rsidP="001E005C">
            <w:pPr>
              <w:pStyle w:val="BodyText"/>
            </w:pPr>
            <w:r w:rsidRPr="001E005C">
              <w:t>Review layout after implementation</w:t>
            </w:r>
          </w:p>
        </w:tc>
      </w:tr>
    </w:tbl>
    <w:p w:rsidR="00ED6C5D" w:rsidP="001E005C">
      <w:pPr>
        <w:pStyle w:val="BodyText"/>
      </w:pPr>
    </w:p>
    <w:p w:rsidR="00ED6C5D" w:rsidP="001E005C">
      <w:pPr>
        <w:pStyle w:val="BodyText"/>
      </w:pPr>
    </w:p>
    <w:p w:rsidR="00000000" w:rsidRPr="001E005C" w:rsidP="001E005C">
      <w:pPr>
        <w:pStyle w:val="Heading1"/>
      </w:pPr>
      <w:bookmarkStart w:id="9" w:name="O_467455"/>
      <w:bookmarkEnd w:id="9"/>
      <w:r w:rsidRPr="001E005C">
        <w:t>Required Skills and Knowledge</w:t>
      </w:r>
    </w:p>
    <w:tbl>
      <w:tblPr>
        <w:tblW w:w="9462" w:type="dxa"/>
        <w:tblLayout w:type="fixed"/>
        <w:tblCellMar>
          <w:left w:w="62" w:type="dxa"/>
          <w:right w:w="62" w:type="dxa"/>
        </w:tblCellMar>
        <w:tblLook w:val="0000"/>
      </w:tblPr>
      <w:tblGrid>
        <w:gridCol w:w="9462"/>
      </w:tblGrid>
      <w:tr w:rsidTr="001E005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This section describes the skills and knowledge required for this unit.</w:t>
            </w:r>
          </w:p>
        </w:tc>
      </w:tr>
      <w:tr w:rsidTr="001E005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rPr>
                <w:rStyle w:val="SpecialBold"/>
              </w:rPr>
              <w:t>Required skills</w:t>
            </w:r>
          </w:p>
        </w:tc>
      </w:tr>
      <w:tr w:rsidTr="001E005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E005C" w:rsidP="001E005C">
            <w:pPr>
              <w:pStyle w:val="BodyText"/>
            </w:pPr>
            <w:r w:rsidRPr="001E005C">
              <w:t>Required skills include:</w:t>
            </w:r>
          </w:p>
          <w:p w:rsidR="00000000" w:rsidRPr="001E005C" w:rsidP="001E005C">
            <w:pPr>
              <w:pStyle w:val="ListBullet"/>
            </w:pPr>
            <w:r w:rsidRPr="001E005C">
              <w:t>communicating at all levels in the organisation and to individuals of different levels of literacy and numeracy</w:t>
            </w:r>
          </w:p>
          <w:p w:rsidR="00000000" w:rsidRPr="001E005C" w:rsidP="001E005C">
            <w:pPr>
              <w:pStyle w:val="ListBullet"/>
            </w:pPr>
            <w:r w:rsidRPr="001E005C">
              <w:t>undertaking self-directed p</w:t>
            </w:r>
            <w:r w:rsidRPr="001E005C">
              <w:t>roblem solving and decision-making on issues of a broad and/or highly specialised nature and in a wide variety of contexts</w:t>
            </w:r>
          </w:p>
          <w:p w:rsidR="00000000" w:rsidRPr="001E005C" w:rsidP="001E005C">
            <w:pPr>
              <w:pStyle w:val="ListBullet"/>
            </w:pPr>
            <w:r w:rsidRPr="001E005C">
              <w:t>producing process flow maps</w:t>
            </w:r>
          </w:p>
          <w:p w:rsidR="00000000" w:rsidRPr="001E005C" w:rsidP="001E005C">
            <w:pPr>
              <w:pStyle w:val="ListBullet"/>
            </w:pPr>
            <w:r w:rsidRPr="001E005C">
              <w:t>analysing the relationship between equipment, components, products, services and operators for existing a</w:t>
            </w:r>
            <w:r w:rsidRPr="001E005C">
              <w:t>nd future layouts</w:t>
            </w:r>
          </w:p>
          <w:p w:rsidR="00000000" w:rsidRPr="001E005C" w:rsidP="001E005C">
            <w:pPr>
              <w:pStyle w:val="ListBullet"/>
            </w:pPr>
            <w:r w:rsidRPr="001E005C">
              <w:t xml:space="preserve">problem solving layout-related problems to root cause </w:t>
            </w:r>
          </w:p>
          <w:p w:rsidR="00000000" w:rsidRPr="001E005C" w:rsidP="001E005C">
            <w:pPr>
              <w:pStyle w:val="ListBullet"/>
            </w:pPr>
            <w:r w:rsidRPr="001E005C">
              <w:t>planning and organising implementation plans, including communication to stakeholders and any necessary training</w:t>
            </w:r>
          </w:p>
          <w:p w:rsidR="00000000" w:rsidP="001E005C">
            <w:pPr>
              <w:pStyle w:val="ListBullet"/>
              <w:rPr>
                <w:lang w:val="en-NZ"/>
              </w:rPr>
            </w:pPr>
            <w:r w:rsidRPr="001E005C">
              <w:t>calculating</w:t>
            </w:r>
            <w:r w:rsidRPr="001E005C">
              <w:t xml:space="preserve"> and estimating size, volume and area and other layout related measures</w:t>
            </w:r>
          </w:p>
        </w:tc>
      </w:tr>
      <w:tr w:rsidTr="001E005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p>
        </w:tc>
      </w:tr>
      <w:tr w:rsidTr="001E005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rPr>
                <w:rStyle w:val="SpecialBold"/>
              </w:rPr>
              <w:t>Required knowledge</w:t>
            </w:r>
          </w:p>
        </w:tc>
      </w:tr>
      <w:tr w:rsidTr="001E005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E005C" w:rsidP="001E005C">
            <w:pPr>
              <w:pStyle w:val="BodyText"/>
            </w:pPr>
            <w:r w:rsidRPr="001E005C">
              <w:t>Required knowledge includes:</w:t>
            </w:r>
          </w:p>
          <w:p w:rsidR="00000000" w:rsidRPr="001E005C" w:rsidP="001E005C">
            <w:pPr>
              <w:pStyle w:val="ListBullet"/>
            </w:pPr>
            <w:r w:rsidRPr="001E005C">
              <w:t>typical customer requirements, including:</w:t>
            </w:r>
          </w:p>
          <w:p w:rsidR="00000000" w:rsidRPr="001E005C" w:rsidP="001E005C">
            <w:pPr>
              <w:pStyle w:val="ListBullet2"/>
            </w:pPr>
            <w:r w:rsidRPr="001E005C">
              <w:t>order size</w:t>
            </w:r>
          </w:p>
          <w:p w:rsidR="00000000" w:rsidRPr="001E005C" w:rsidP="001E005C">
            <w:pPr>
              <w:pStyle w:val="ListBullet2"/>
            </w:pPr>
            <w:r w:rsidRPr="001E005C">
              <w:t>order pattern</w:t>
            </w:r>
          </w:p>
          <w:p w:rsidR="00000000" w:rsidRPr="001E005C" w:rsidP="001E005C">
            <w:pPr>
              <w:pStyle w:val="ListBullet"/>
            </w:pPr>
            <w:r w:rsidRPr="001E005C">
              <w:t>processing requirements of products and jobs</w:t>
            </w:r>
          </w:p>
          <w:p w:rsidR="00000000" w:rsidRPr="001E005C" w:rsidP="001E005C">
            <w:pPr>
              <w:pStyle w:val="ListBullet"/>
            </w:pPr>
            <w:r w:rsidRPr="001E005C">
              <w:t>capabilities and maintenance requirements (e.g. access and services) of equipment</w:t>
            </w:r>
          </w:p>
          <w:p w:rsidR="00000000" w:rsidRPr="001E005C" w:rsidP="001E005C">
            <w:pPr>
              <w:pStyle w:val="ListBullet"/>
            </w:pPr>
            <w:r w:rsidRPr="001E005C">
              <w:t>abilities and skills of workforce</w:t>
            </w:r>
          </w:p>
          <w:p w:rsidR="00000000" w:rsidRPr="001E005C" w:rsidP="001E005C">
            <w:pPr>
              <w:pStyle w:val="ListBullet"/>
            </w:pPr>
            <w:r w:rsidRPr="001E005C">
              <w:t>OHS and regulatory requirements that may affect layout</w:t>
            </w:r>
          </w:p>
          <w:p w:rsidR="00000000" w:rsidRPr="001E005C" w:rsidP="001E005C">
            <w:pPr>
              <w:pStyle w:val="ListBullet"/>
            </w:pPr>
            <w:r w:rsidRPr="001E005C">
              <w:t>business requirements from layout</w:t>
            </w:r>
          </w:p>
        </w:tc>
      </w:tr>
    </w:tbl>
    <w:p w:rsidR="00ED6C5D" w:rsidP="001E005C">
      <w:pPr>
        <w:pStyle w:val="BodyText"/>
      </w:pPr>
    </w:p>
    <w:p w:rsidR="00ED6C5D" w:rsidP="001E005C">
      <w:pPr>
        <w:pStyle w:val="BodyText"/>
      </w:pPr>
    </w:p>
    <w:p w:rsidR="00000000" w:rsidRPr="001E005C" w:rsidP="001E005C">
      <w:pPr>
        <w:pStyle w:val="Heading1"/>
      </w:pPr>
      <w:bookmarkStart w:id="10" w:name="O_467456"/>
      <w:bookmarkEnd w:id="10"/>
      <w:r w:rsidRPr="001E005C">
        <w:t>Evidence Guide</w:t>
      </w:r>
    </w:p>
    <w:tbl>
      <w:tblPr>
        <w:tblW w:w="9462" w:type="dxa"/>
        <w:tblLayout w:type="fixed"/>
        <w:tblCellMar>
          <w:left w:w="62" w:type="dxa"/>
          <w:right w:w="62" w:type="dxa"/>
        </w:tblCellMar>
        <w:tblLook w:val="0000"/>
      </w:tblPr>
      <w:tblGrid>
        <w:gridCol w:w="3800"/>
        <w:gridCol w:w="5662"/>
      </w:tblGrid>
      <w:tr w:rsidTr="001E005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E005C">
            <w:pPr>
              <w:pStyle w:val="BodyText"/>
              <w:rPr>
                <w:lang w:val="en-NZ"/>
              </w:rPr>
            </w:pPr>
            <w:r w:rsidRPr="001E005C">
              <w:t>The evidence guide provides advice on assessment and must be read in conjunction with the performance criteria, required skills and knowledge, range statement and the Assessment Guidelines for the Training Package.</w:t>
            </w:r>
          </w:p>
        </w:tc>
      </w:tr>
      <w:tr w:rsidTr="001E005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05C">
            <w:pPr>
              <w:pStyle w:val="BodyText"/>
              <w:rPr>
                <w:lang w:val="en-NZ"/>
              </w:rPr>
            </w:pPr>
            <w:r w:rsidRPr="001E005C">
              <w:rPr>
                <w:rStyle w:val="SpecialBold"/>
              </w:rPr>
              <w:t>Critical aspects for assessment and evi</w:t>
            </w:r>
            <w:r w:rsidRPr="001E005C">
              <w:rPr>
                <w:rStyle w:val="SpecialBold"/>
              </w:rPr>
              <w:t>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05C" w:rsidP="001E005C">
            <w:pPr>
              <w:pStyle w:val="BodyText"/>
            </w:pPr>
            <w:r w:rsidRPr="001E005C">
              <w:t>A person who demonstrates competency in this unit must be able to provide evidence of their ability to:</w:t>
            </w:r>
          </w:p>
          <w:p w:rsidR="00000000" w:rsidRPr="001E005C" w:rsidP="001E005C">
            <w:pPr>
              <w:pStyle w:val="ListBullet"/>
            </w:pPr>
            <w:r w:rsidRPr="001E005C">
              <w:t>analyse products, operations and equipment and determine efficiencies that can be achieved by imp</w:t>
            </w:r>
            <w:r w:rsidRPr="001E005C">
              <w:t>roved layout</w:t>
            </w:r>
          </w:p>
          <w:p w:rsidR="00000000" w:rsidRPr="001E005C" w:rsidP="001E005C">
            <w:pPr>
              <w:pStyle w:val="ListBullet"/>
            </w:pPr>
            <w:r w:rsidRPr="001E005C">
              <w:t>determine OHS and regulatory impacts on a layout</w:t>
            </w:r>
          </w:p>
          <w:p w:rsidR="00000000" w:rsidRPr="001E005C" w:rsidP="001E005C">
            <w:pPr>
              <w:pStyle w:val="ListBullet"/>
            </w:pPr>
            <w:r w:rsidRPr="001E005C">
              <w:t xml:space="preserve">supervise implementation of layouts </w:t>
            </w:r>
          </w:p>
          <w:p w:rsidR="00000000" w:rsidP="001E005C">
            <w:pPr>
              <w:pStyle w:val="ListBullet"/>
              <w:rPr>
                <w:lang w:val="en-NZ"/>
              </w:rPr>
            </w:pPr>
            <w:r w:rsidRPr="001E005C">
              <w:t>analyse implemented layouts and suggest further improvements.</w:t>
            </w:r>
          </w:p>
        </w:tc>
      </w:tr>
      <w:tr w:rsidTr="001E005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05C">
            <w:pPr>
              <w:pStyle w:val="BodyText"/>
              <w:rPr>
                <w:lang w:val="en-NZ"/>
              </w:rPr>
            </w:pPr>
            <w:r w:rsidRPr="001E005C">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05C" w:rsidP="001E005C">
            <w:pPr>
              <w:pStyle w:val="BodyText"/>
            </w:pPr>
            <w:r w:rsidRPr="001E005C">
              <w:t>Assessment of performance must be undertaken in a workplace using or implementing one or more competitive systems and practices.</w:t>
            </w:r>
          </w:p>
          <w:p w:rsidR="00000000" w:rsidRPr="001E005C" w:rsidP="001E005C">
            <w:pPr>
              <w:pStyle w:val="BodyText"/>
            </w:pPr>
            <w:r w:rsidRPr="001E005C">
              <w:t>Access may be required to:</w:t>
            </w:r>
          </w:p>
          <w:p w:rsidR="00000000" w:rsidRPr="001E005C" w:rsidP="001E005C">
            <w:pPr>
              <w:pStyle w:val="ListBullet"/>
            </w:pPr>
            <w:r w:rsidRPr="001E005C">
              <w:t>workplace procedures and plans relevant to work area</w:t>
            </w:r>
          </w:p>
          <w:p w:rsidR="00000000" w:rsidRPr="001E005C" w:rsidP="001E005C">
            <w:pPr>
              <w:pStyle w:val="ListBullet"/>
            </w:pPr>
            <w:r w:rsidRPr="001E005C">
              <w:t>specifications and documentation relating to p</w:t>
            </w:r>
            <w:r w:rsidRPr="001E005C">
              <w:t>lanned, currently being implemented, or implemented changes to work processes and procedures relevant to the assessee</w:t>
            </w:r>
          </w:p>
          <w:p w:rsidR="00000000" w:rsidRPr="001E005C" w:rsidP="001E005C">
            <w:pPr>
              <w:pStyle w:val="ListBullet"/>
            </w:pPr>
            <w:r w:rsidRPr="001E005C">
              <w:t>documentation and information in relation to production, waste, overheads and hazard control/management</w:t>
            </w:r>
          </w:p>
          <w:p w:rsidR="00000000" w:rsidRPr="001E005C" w:rsidP="001E005C">
            <w:pPr>
              <w:pStyle w:val="ListBullet"/>
            </w:pPr>
            <w:r w:rsidRPr="001E005C">
              <w:t>reports from supervisors/managers</w:t>
            </w:r>
          </w:p>
          <w:p w:rsidR="00000000" w:rsidP="001E005C">
            <w:pPr>
              <w:pStyle w:val="ListBullet"/>
              <w:rPr>
                <w:lang w:val="en-NZ"/>
              </w:rPr>
            </w:pPr>
            <w:r w:rsidRPr="001E005C">
              <w:t>case studies and scenarios to assess responses to contingencies.</w:t>
            </w:r>
          </w:p>
        </w:tc>
      </w:tr>
      <w:tr w:rsidTr="001E005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05C">
            <w:pPr>
              <w:pStyle w:val="BodyText"/>
              <w:rPr>
                <w:lang w:val="en-NZ"/>
              </w:rPr>
            </w:pPr>
            <w:r w:rsidRPr="001E005C">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05C" w:rsidP="001E005C">
            <w:pPr>
              <w:pStyle w:val="BodyText"/>
            </w:pPr>
            <w:r w:rsidRPr="001E005C">
              <w:t>A holistic approach should be taken to the assessment.</w:t>
            </w:r>
          </w:p>
          <w:p w:rsidR="00000000" w:rsidRPr="001E005C" w:rsidP="001E005C">
            <w:pPr>
              <w:pStyle w:val="BodyText"/>
            </w:pPr>
            <w:r w:rsidRPr="001E005C">
              <w:t>Competence in this unit may be assessed by using a combination of the following to generate evidence:</w:t>
            </w:r>
          </w:p>
          <w:p w:rsidR="00000000" w:rsidRPr="001E005C" w:rsidP="001E005C">
            <w:pPr>
              <w:pStyle w:val="ListBullet"/>
            </w:pPr>
            <w:r w:rsidRPr="001E005C">
              <w:t>demonstrati</w:t>
            </w:r>
            <w:r w:rsidRPr="001E005C">
              <w:t>on in the workplace</w:t>
            </w:r>
          </w:p>
          <w:p w:rsidR="00000000" w:rsidRPr="001E005C" w:rsidP="001E005C">
            <w:pPr>
              <w:pStyle w:val="ListBullet"/>
            </w:pPr>
            <w:r w:rsidRPr="001E005C">
              <w:t>workplace projects</w:t>
            </w:r>
          </w:p>
          <w:p w:rsidR="00000000" w:rsidRPr="001E005C" w:rsidP="001E005C">
            <w:pPr>
              <w:pStyle w:val="ListBullet"/>
            </w:pPr>
            <w:r w:rsidRPr="001E005C">
              <w:t>suitable simulation</w:t>
            </w:r>
          </w:p>
          <w:p w:rsidR="00000000" w:rsidRPr="001E005C" w:rsidP="001E005C">
            <w:pPr>
              <w:pStyle w:val="ListBullet"/>
            </w:pPr>
            <w:r w:rsidRPr="001E005C">
              <w:t>case studies/scenarios (particularly for assessment of contingencies, improvement scenarios, and so on)</w:t>
            </w:r>
          </w:p>
          <w:p w:rsidR="00000000" w:rsidRPr="001E005C" w:rsidP="001E005C">
            <w:pPr>
              <w:pStyle w:val="ListBullet"/>
            </w:pPr>
            <w:r w:rsidRPr="001E005C">
              <w:t>targeted questioning</w:t>
            </w:r>
          </w:p>
          <w:p w:rsidR="00000000" w:rsidRPr="001E005C" w:rsidP="001E005C">
            <w:pPr>
              <w:pStyle w:val="ListBullet"/>
            </w:pPr>
            <w:r w:rsidRPr="001E005C">
              <w:t>reports from supervisors, peers and colleagues (third-party reports)</w:t>
            </w:r>
          </w:p>
          <w:p w:rsidR="00000000" w:rsidRPr="001E005C" w:rsidP="001E005C">
            <w:pPr>
              <w:pStyle w:val="ListBullet"/>
            </w:pPr>
            <w:r w:rsidRPr="001E005C">
              <w:t>portfolio of evidence</w:t>
            </w:r>
          </w:p>
          <w:p w:rsidR="00000000" w:rsidRPr="001E005C" w:rsidP="001E005C">
            <w:pPr>
              <w:pStyle w:val="BodyText"/>
            </w:pPr>
            <w:r w:rsidRPr="001E005C">
              <w:t>In all cases it is expected that practical assessment will be combined with targeted questioning to assess underpinning knowledge.</w:t>
            </w:r>
          </w:p>
          <w:p w:rsidR="00000000" w:rsidP="001E005C">
            <w:pPr>
              <w:pStyle w:val="BodyText"/>
              <w:rPr>
                <w:lang w:val="en-NZ"/>
              </w:rPr>
            </w:pPr>
            <w:r w:rsidRPr="001E005C">
              <w:t>Where applicable, reasonable adjustment must be made to work environments and training situations to ac</w:t>
            </w:r>
            <w:r w:rsidRPr="001E005C">
              <w:t>commodate ethnicity, age, gender, demographics and disability.</w:t>
            </w:r>
          </w:p>
        </w:tc>
      </w:tr>
      <w:tr w:rsidTr="001E005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05C">
            <w:pPr>
              <w:pStyle w:val="BodyText"/>
              <w:rPr>
                <w:lang w:val="en-NZ"/>
              </w:rPr>
            </w:pPr>
            <w:r w:rsidRPr="001E005C">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05C" w:rsidP="001E005C">
            <w:pPr>
              <w:pStyle w:val="BodyText"/>
            </w:pPr>
            <w:r w:rsidRPr="001E005C">
              <w:t>Assessment processes and techniques must be culturally appropriate and appropriate to the oracy, language and literacy capacity of the candidate and the wor</w:t>
            </w:r>
            <w:r w:rsidRPr="001E005C">
              <w:t>k being performed.</w:t>
            </w:r>
          </w:p>
        </w:tc>
      </w:tr>
    </w:tbl>
    <w:p w:rsidR="00ED6C5D" w:rsidP="001E005C">
      <w:pPr>
        <w:pStyle w:val="BodyText"/>
      </w:pPr>
    </w:p>
    <w:p w:rsidR="00ED6C5D" w:rsidP="001E005C">
      <w:pPr>
        <w:pStyle w:val="BodyText"/>
      </w:pPr>
    </w:p>
    <w:p w:rsidR="00000000" w:rsidRPr="001E005C" w:rsidP="001E005C">
      <w:pPr>
        <w:pStyle w:val="Heading1"/>
      </w:pPr>
      <w:bookmarkStart w:id="11" w:name="O_467457"/>
      <w:bookmarkEnd w:id="11"/>
      <w:r w:rsidRPr="001E005C">
        <w:t>Range Statement</w:t>
      </w:r>
    </w:p>
    <w:tbl>
      <w:tblPr>
        <w:tblW w:w="9462" w:type="dxa"/>
        <w:tblLayout w:type="fixed"/>
        <w:tblCellMar>
          <w:left w:w="62" w:type="dxa"/>
          <w:right w:w="62" w:type="dxa"/>
        </w:tblCellMar>
        <w:tblLook w:val="0000"/>
      </w:tblPr>
      <w:tblGrid>
        <w:gridCol w:w="3800"/>
        <w:gridCol w:w="5662"/>
      </w:tblGrid>
      <w:tr w:rsidTr="001E005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E005C">
            <w:pPr>
              <w:pStyle w:val="BodyText"/>
              <w:rPr>
                <w:lang w:val="en-NZ"/>
              </w:rPr>
            </w:pPr>
            <w:r w:rsidRPr="001E005C">
              <w:t xml:space="preserve">The range statement relates to the unit of competency as a whole. It allows for different work environments and situations that may affect </w:t>
            </w:r>
            <w:r w:rsidRPr="001E005C">
              <w:t>performance. Bold italicised wording, if used in the performance criteria, is detailed below. Essential operating conditions that may be present with training and assessment (depending on the work situation, needs of the candidate, accessibility of the ite</w:t>
            </w:r>
            <w:r w:rsidRPr="001E005C">
              <w:t>m, and local industry and regional contexts) may also be included.</w:t>
            </w:r>
          </w:p>
        </w:tc>
      </w:tr>
      <w:tr w:rsidTr="001E005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05C" w:rsidP="001E005C">
            <w:pPr>
              <w:pStyle w:val="BodyText"/>
            </w:pPr>
            <w:r w:rsidRPr="001E005C">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05C" w:rsidP="001E005C">
            <w:pPr>
              <w:pStyle w:val="BodyText"/>
            </w:pPr>
            <w:r w:rsidRPr="001E005C">
              <w:t>Competitive systems and practices may include, but are not limited to:</w:t>
            </w:r>
          </w:p>
          <w:p w:rsidR="00000000" w:rsidRPr="001E005C" w:rsidP="001E005C">
            <w:pPr>
              <w:pStyle w:val="ListBullet"/>
            </w:pPr>
            <w:r w:rsidRPr="001E005C">
              <w:t>lean operations</w:t>
            </w:r>
          </w:p>
          <w:p w:rsidR="00000000" w:rsidRPr="001E005C" w:rsidP="001E005C">
            <w:pPr>
              <w:pStyle w:val="ListBullet"/>
            </w:pPr>
            <w:r w:rsidRPr="001E005C">
              <w:t>agile operations</w:t>
            </w:r>
          </w:p>
          <w:p w:rsidR="00000000" w:rsidRPr="001E005C" w:rsidP="001E005C">
            <w:pPr>
              <w:pStyle w:val="ListBullet"/>
            </w:pPr>
            <w:r w:rsidRPr="001E005C">
              <w:t>preventative and predictive maintenance approac</w:t>
            </w:r>
            <w:r w:rsidRPr="001E005C">
              <w:t>hes</w:t>
            </w:r>
          </w:p>
          <w:p w:rsidR="00000000" w:rsidRPr="001E005C" w:rsidP="001E005C">
            <w:pPr>
              <w:pStyle w:val="ListBullet"/>
            </w:pPr>
            <w:r w:rsidRPr="001E005C">
              <w:t xml:space="preserve">monitoring and data gathering systems, such as Systems Control and Data Acquisition (SCADA) software, Enterprise Resource Planning (ERP) systems, Materials Resource Planning (MRP) and proprietary systems </w:t>
            </w:r>
          </w:p>
          <w:p w:rsidR="00000000" w:rsidRPr="001E005C" w:rsidP="001E005C">
            <w:pPr>
              <w:pStyle w:val="ListBullet"/>
            </w:pPr>
            <w:r w:rsidRPr="001E005C">
              <w:t xml:space="preserve">statistical process control systems, including </w:t>
            </w:r>
            <w:r w:rsidRPr="001E005C">
              <w:t>six sigma and three sigma</w:t>
            </w:r>
          </w:p>
          <w:p w:rsidR="00000000" w:rsidRPr="001E005C" w:rsidP="001E005C">
            <w:pPr>
              <w:pStyle w:val="ListBullet"/>
            </w:pPr>
            <w:r w:rsidRPr="001E005C">
              <w:t>Just in Time (JIT), kanban and other pull-related operations control systems</w:t>
            </w:r>
          </w:p>
          <w:p w:rsidR="00000000" w:rsidRPr="001E005C" w:rsidP="001E005C">
            <w:pPr>
              <w:pStyle w:val="ListBullet"/>
            </w:pPr>
            <w:r w:rsidRPr="001E005C">
              <w:t>supply, value, and demand chain monitoring and analysis</w:t>
            </w:r>
          </w:p>
          <w:p w:rsidR="00000000" w:rsidRPr="001E005C" w:rsidP="001E005C">
            <w:pPr>
              <w:pStyle w:val="ListBullet"/>
            </w:pPr>
            <w:r w:rsidRPr="001E005C">
              <w:t xml:space="preserve">5S </w:t>
            </w:r>
          </w:p>
          <w:p w:rsidR="00000000" w:rsidRPr="001E005C" w:rsidP="001E005C">
            <w:pPr>
              <w:pStyle w:val="ListBullet"/>
            </w:pPr>
            <w:r w:rsidRPr="001E005C">
              <w:t>continuous improvement (kaizen)</w:t>
            </w:r>
          </w:p>
          <w:p w:rsidR="00000000" w:rsidRPr="001E005C" w:rsidP="001E005C">
            <w:pPr>
              <w:pStyle w:val="ListBullet"/>
            </w:pPr>
            <w:r w:rsidRPr="001E005C">
              <w:t>breakthrough improvement (kaizen blitz)</w:t>
            </w:r>
          </w:p>
          <w:p w:rsidR="00000000" w:rsidRPr="001E005C" w:rsidP="001E005C">
            <w:pPr>
              <w:pStyle w:val="ListBullet"/>
            </w:pPr>
            <w:r w:rsidRPr="001E005C">
              <w:t>cause/effect diagrams</w:t>
            </w:r>
          </w:p>
          <w:p w:rsidR="00000000" w:rsidRPr="001E005C" w:rsidP="001E005C">
            <w:pPr>
              <w:pStyle w:val="ListBullet"/>
            </w:pPr>
            <w:r w:rsidRPr="001E005C">
              <w:t>overall equipment effectiveness (OEE)</w:t>
            </w:r>
          </w:p>
          <w:p w:rsidR="00000000" w:rsidRPr="001E005C" w:rsidP="001E005C">
            <w:pPr>
              <w:pStyle w:val="ListBullet"/>
            </w:pPr>
            <w:r w:rsidRPr="001E005C">
              <w:t>takt time</w:t>
            </w:r>
          </w:p>
          <w:p w:rsidR="00000000" w:rsidRPr="001E005C" w:rsidP="001E005C">
            <w:pPr>
              <w:pStyle w:val="ListBullet"/>
            </w:pPr>
            <w:r w:rsidRPr="001E005C">
              <w:t>process mapping</w:t>
            </w:r>
          </w:p>
          <w:p w:rsidR="00000000" w:rsidRPr="001E005C" w:rsidP="001E005C">
            <w:pPr>
              <w:pStyle w:val="ListBullet"/>
            </w:pPr>
            <w:r w:rsidRPr="001E005C">
              <w:t xml:space="preserve">problem solving </w:t>
            </w:r>
          </w:p>
          <w:p w:rsidR="00000000" w:rsidRPr="001E005C" w:rsidP="001E005C">
            <w:pPr>
              <w:pStyle w:val="ListBullet"/>
            </w:pPr>
            <w:r w:rsidRPr="001E005C">
              <w:t>run charts</w:t>
            </w:r>
          </w:p>
          <w:p w:rsidR="00000000" w:rsidRPr="001E005C" w:rsidP="001E005C">
            <w:pPr>
              <w:pStyle w:val="ListBullet"/>
            </w:pPr>
            <w:r w:rsidRPr="001E005C">
              <w:t>standard procedures</w:t>
            </w:r>
          </w:p>
          <w:p w:rsidR="00000000" w:rsidRPr="001E005C" w:rsidP="001E005C">
            <w:pPr>
              <w:pStyle w:val="ListBullet"/>
            </w:pPr>
            <w:r w:rsidRPr="001E005C">
              <w:t>current reality tree</w:t>
            </w:r>
          </w:p>
          <w:p w:rsidR="00000000" w:rsidRPr="001E005C" w:rsidP="001E005C">
            <w:pPr>
              <w:pStyle w:val="BodyText"/>
            </w:pPr>
            <w:r w:rsidRPr="001E005C">
              <w:t>Competitive systems and practices should be interpreted so as to take into account:</w:t>
            </w:r>
          </w:p>
          <w:p w:rsidR="00000000" w:rsidRPr="001E005C" w:rsidP="001E005C">
            <w:pPr>
              <w:pStyle w:val="ListBullet"/>
            </w:pPr>
            <w:r w:rsidRPr="001E005C">
              <w:t>the stage of implementation of compet</w:t>
            </w:r>
            <w:r w:rsidRPr="001E005C">
              <w:t>itive systems and practices</w:t>
            </w:r>
          </w:p>
          <w:p w:rsidR="00000000" w:rsidRPr="001E005C" w:rsidP="001E005C">
            <w:pPr>
              <w:pStyle w:val="ListBullet"/>
            </w:pPr>
            <w:r w:rsidRPr="001E005C">
              <w:t>the size of the enterprise</w:t>
            </w:r>
          </w:p>
          <w:p w:rsidR="00000000" w:rsidP="001E005C">
            <w:pPr>
              <w:pStyle w:val="ListBullet"/>
              <w:rPr>
                <w:lang w:val="en-NZ"/>
              </w:rPr>
            </w:pPr>
            <w:r w:rsidRPr="001E005C">
              <w:t>the work organisation, culture, regulatory environment and the industry sector</w:t>
            </w:r>
          </w:p>
        </w:tc>
      </w:tr>
      <w:tr w:rsidTr="001E005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05C">
            <w:pPr>
              <w:pStyle w:val="BodyText"/>
              <w:rPr>
                <w:lang w:val="en-NZ"/>
              </w:rPr>
            </w:pPr>
            <w:r w:rsidRPr="001E005C">
              <w:rPr>
                <w:rStyle w:val="SpecialBold"/>
              </w:rPr>
              <w:t>Profiles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05C" w:rsidP="001E005C">
            <w:pPr>
              <w:pStyle w:val="BodyText"/>
            </w:pPr>
            <w:r w:rsidRPr="001E005C">
              <w:t>Profiles of products may include:</w:t>
            </w:r>
          </w:p>
          <w:p w:rsidR="00000000" w:rsidRPr="001E005C" w:rsidP="001E005C">
            <w:pPr>
              <w:pStyle w:val="ListBullet"/>
            </w:pPr>
            <w:r w:rsidRPr="001E005C">
              <w:t>components/materials needed to manufacture</w:t>
            </w:r>
          </w:p>
          <w:p w:rsidR="00000000" w:rsidRPr="001E005C" w:rsidP="001E005C">
            <w:pPr>
              <w:pStyle w:val="ListBullet"/>
            </w:pPr>
            <w:r w:rsidRPr="001E005C">
              <w:t>equipment/technology/processes required to manufacture</w:t>
            </w:r>
          </w:p>
          <w:p w:rsidR="00000000" w:rsidP="001E005C">
            <w:pPr>
              <w:pStyle w:val="ListBullet"/>
              <w:rPr>
                <w:lang w:val="en-NZ"/>
              </w:rPr>
            </w:pPr>
            <w:r w:rsidRPr="001E005C">
              <w:t>volume of activity to manufacture forecast amount</w:t>
            </w:r>
          </w:p>
        </w:tc>
      </w:tr>
      <w:tr w:rsidTr="001E005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05C">
            <w:pPr>
              <w:pStyle w:val="BodyText"/>
              <w:rPr>
                <w:lang w:val="en-NZ"/>
              </w:rPr>
            </w:pPr>
            <w:r w:rsidRPr="001E005C">
              <w:rPr>
                <w:rStyle w:val="SpecialBold"/>
              </w:rPr>
              <w:t>Compatible families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05C" w:rsidP="001E005C">
            <w:pPr>
              <w:pStyle w:val="BodyText"/>
            </w:pPr>
            <w:r w:rsidRPr="001E005C">
              <w:t>Compatible families include:</w:t>
            </w:r>
          </w:p>
          <w:p w:rsidR="00000000" w:rsidP="001E005C">
            <w:pPr>
              <w:pStyle w:val="ListBullet"/>
              <w:rPr>
                <w:lang w:val="en-NZ"/>
              </w:rPr>
            </w:pPr>
            <w:r w:rsidRPr="001E005C">
              <w:t>products/classes requiring identical or similar operations equipment, technology or processes</w:t>
            </w:r>
          </w:p>
        </w:tc>
      </w:tr>
      <w:tr w:rsidTr="001E005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05C">
            <w:pPr>
              <w:pStyle w:val="BodyText"/>
              <w:rPr>
                <w:lang w:val="en-NZ"/>
              </w:rPr>
            </w:pPr>
            <w:r w:rsidRPr="001E005C">
              <w:rPr>
                <w:rStyle w:val="SpecialBold"/>
              </w:rPr>
              <w:t>Requi</w:t>
            </w:r>
            <w:r w:rsidRPr="001E005C">
              <w:rPr>
                <w:rStyle w:val="SpecialBold"/>
              </w:rPr>
              <w:t>red resource times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05C" w:rsidP="001E005C">
            <w:pPr>
              <w:pStyle w:val="BodyText"/>
            </w:pPr>
            <w:r w:rsidRPr="001E005C">
              <w:t>Required resource times may include:</w:t>
            </w:r>
          </w:p>
          <w:p w:rsidR="00000000" w:rsidRPr="001E005C" w:rsidP="001E005C">
            <w:pPr>
              <w:pStyle w:val="ListBullet"/>
            </w:pPr>
            <w:r w:rsidRPr="001E005C">
              <w:t>set-up time</w:t>
            </w:r>
          </w:p>
          <w:p w:rsidR="00000000" w:rsidRPr="001E005C" w:rsidP="001E005C">
            <w:pPr>
              <w:pStyle w:val="ListBullet"/>
            </w:pPr>
            <w:r w:rsidRPr="001E005C">
              <w:t>equipment time</w:t>
            </w:r>
          </w:p>
          <w:p w:rsidR="00000000" w:rsidRPr="001E005C" w:rsidP="001E005C">
            <w:pPr>
              <w:pStyle w:val="ListBullet"/>
            </w:pPr>
            <w:r w:rsidRPr="001E005C">
              <w:t>person time</w:t>
            </w:r>
          </w:p>
          <w:p w:rsidR="00000000" w:rsidP="001E005C">
            <w:pPr>
              <w:pStyle w:val="ListBullet"/>
              <w:rPr>
                <w:lang w:val="en-NZ"/>
              </w:rPr>
            </w:pPr>
            <w:r w:rsidRPr="001E005C">
              <w:t>process time</w:t>
            </w:r>
          </w:p>
        </w:tc>
      </w:tr>
      <w:tr w:rsidTr="001E005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05C">
            <w:pPr>
              <w:pStyle w:val="BodyText"/>
              <w:rPr>
                <w:lang w:val="en-NZ"/>
              </w:rPr>
            </w:pPr>
            <w:r w:rsidRPr="001E005C">
              <w:rPr>
                <w:rStyle w:val="SpecialBold"/>
              </w:rPr>
              <w:t>Lot size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05C" w:rsidP="001E005C">
            <w:pPr>
              <w:pStyle w:val="BodyText"/>
            </w:pPr>
            <w:r w:rsidRPr="001E005C">
              <w:t>Lot size may include:</w:t>
            </w:r>
          </w:p>
          <w:p w:rsidR="00000000" w:rsidRPr="001E005C" w:rsidP="001E005C">
            <w:pPr>
              <w:pStyle w:val="ListBullet"/>
            </w:pPr>
            <w:r w:rsidRPr="001E005C">
              <w:t>external lot size</w:t>
            </w:r>
          </w:p>
          <w:p w:rsidR="00000000" w:rsidRPr="001E005C" w:rsidP="001E005C">
            <w:pPr>
              <w:pStyle w:val="ListBullet"/>
            </w:pPr>
            <w:r w:rsidRPr="001E005C">
              <w:t>internal lot size</w:t>
            </w:r>
          </w:p>
          <w:p w:rsidR="00000000" w:rsidRPr="001E005C" w:rsidP="001E005C">
            <w:pPr>
              <w:pStyle w:val="ListBullet"/>
            </w:pPr>
            <w:r w:rsidRPr="001E005C">
              <w:t>transfer batch size</w:t>
            </w:r>
          </w:p>
          <w:p w:rsidR="00000000" w:rsidP="001E005C">
            <w:pPr>
              <w:pStyle w:val="ListBullet"/>
              <w:rPr>
                <w:lang w:val="en-NZ"/>
              </w:rPr>
            </w:pPr>
            <w:r w:rsidRPr="001E005C">
              <w:t>kanban size</w:t>
            </w:r>
          </w:p>
        </w:tc>
      </w:tr>
      <w:tr w:rsidTr="001E005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05C">
            <w:pPr>
              <w:pStyle w:val="BodyText"/>
              <w:rPr>
                <w:lang w:val="en-NZ"/>
              </w:rPr>
            </w:pPr>
            <w:r w:rsidRPr="001E005C">
              <w:rPr>
                <w:rStyle w:val="SpecialBold"/>
              </w:rPr>
              <w:t>Viability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05C" w:rsidP="001E005C">
            <w:pPr>
              <w:pStyle w:val="BodyText"/>
            </w:pPr>
            <w:r w:rsidRPr="001E005C">
              <w:t>Viability includes:</w:t>
            </w:r>
          </w:p>
          <w:p w:rsidR="00000000" w:rsidRPr="001E005C" w:rsidP="001E005C">
            <w:pPr>
              <w:pStyle w:val="ListBullet"/>
            </w:pPr>
            <w:r w:rsidRPr="001E005C">
              <w:t>appropriate calculated processing times</w:t>
            </w:r>
          </w:p>
          <w:p w:rsidR="00000000" w:rsidRPr="001E005C" w:rsidP="001E005C">
            <w:pPr>
              <w:pStyle w:val="ListBullet"/>
            </w:pPr>
            <w:r w:rsidRPr="001E005C">
              <w:t>adequacy of equipment utilisation</w:t>
            </w:r>
          </w:p>
          <w:p w:rsidR="00000000" w:rsidRPr="001E005C" w:rsidP="001E005C">
            <w:pPr>
              <w:pStyle w:val="ListBullet"/>
            </w:pPr>
            <w:r w:rsidRPr="001E005C">
              <w:t>acceptable maintenance implications</w:t>
            </w:r>
          </w:p>
          <w:p w:rsidR="00000000" w:rsidRPr="001E005C" w:rsidP="001E005C">
            <w:pPr>
              <w:pStyle w:val="ListBullet"/>
            </w:pPr>
            <w:r w:rsidRPr="001E005C">
              <w:t>ability to meet OHS requirements</w:t>
            </w:r>
          </w:p>
          <w:p w:rsidR="00000000" w:rsidRPr="001E005C" w:rsidP="001E005C">
            <w:pPr>
              <w:pStyle w:val="ListBullet"/>
            </w:pPr>
            <w:r w:rsidRPr="001E005C">
              <w:t>ability to meet environmental requirements</w:t>
            </w:r>
          </w:p>
          <w:p w:rsidR="00000000" w:rsidRPr="001E005C" w:rsidP="001E005C">
            <w:pPr>
              <w:pStyle w:val="ListBullet"/>
            </w:pPr>
            <w:r w:rsidRPr="001E005C">
              <w:t>compliance with any legislative and regulatory requirements</w:t>
            </w:r>
          </w:p>
          <w:p w:rsidR="00000000" w:rsidP="001E005C">
            <w:pPr>
              <w:pStyle w:val="ListBullet"/>
              <w:rPr>
                <w:lang w:val="en-NZ"/>
              </w:rPr>
            </w:pPr>
            <w:r w:rsidRPr="001E005C">
              <w:t>acceptable to stakeholders</w:t>
            </w:r>
          </w:p>
        </w:tc>
      </w:tr>
      <w:tr w:rsidTr="001E005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05C">
            <w:pPr>
              <w:pStyle w:val="BodyText"/>
              <w:rPr>
                <w:lang w:val="en-NZ"/>
              </w:rPr>
            </w:pPr>
            <w:r w:rsidRPr="001E005C">
              <w:rPr>
                <w:rStyle w:val="SpecialBold"/>
              </w:rPr>
              <w:t>Stakeholders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05C" w:rsidP="001E005C">
            <w:pPr>
              <w:pStyle w:val="BodyText"/>
            </w:pPr>
            <w:r w:rsidRPr="001E005C">
              <w:t>Stakeholders include:</w:t>
            </w:r>
          </w:p>
          <w:p w:rsidR="00000000" w:rsidRPr="001E005C" w:rsidP="001E005C">
            <w:pPr>
              <w:pStyle w:val="ListBullet"/>
            </w:pPr>
            <w:r w:rsidRPr="001E005C">
              <w:t>customers</w:t>
            </w:r>
          </w:p>
          <w:p w:rsidR="00000000" w:rsidRPr="001E005C" w:rsidP="001E005C">
            <w:pPr>
              <w:pStyle w:val="ListBullet"/>
            </w:pPr>
            <w:r w:rsidRPr="001E005C">
              <w:t>employees</w:t>
            </w:r>
          </w:p>
          <w:p w:rsidR="00000000" w:rsidRPr="001E005C" w:rsidP="001E005C">
            <w:pPr>
              <w:pStyle w:val="ListBullet"/>
            </w:pPr>
            <w:r w:rsidRPr="001E005C">
              <w:t>equipment suppliers and contractors (especially if new equipment required)</w:t>
            </w:r>
          </w:p>
          <w:p w:rsidR="00000000" w:rsidRPr="001E005C" w:rsidP="001E005C">
            <w:pPr>
              <w:pStyle w:val="BodyText"/>
            </w:pPr>
            <w:r w:rsidRPr="001E005C">
              <w:t>Depending on the process and location, stakeholders may also include:</w:t>
            </w:r>
          </w:p>
          <w:p w:rsidR="00000000" w:rsidRPr="001E005C" w:rsidP="001E005C">
            <w:pPr>
              <w:pStyle w:val="ListBullet"/>
            </w:pPr>
            <w:r w:rsidRPr="001E005C">
              <w:t>regulatory authorities</w:t>
            </w:r>
          </w:p>
          <w:p w:rsidR="00000000" w:rsidRPr="001E005C" w:rsidP="001E005C">
            <w:pPr>
              <w:pStyle w:val="ListBullet"/>
            </w:pPr>
            <w:r w:rsidRPr="001E005C">
              <w:t>loc</w:t>
            </w:r>
            <w:r w:rsidRPr="001E005C">
              <w:t>al community representatives</w:t>
            </w:r>
          </w:p>
          <w:p w:rsidR="00000000" w:rsidP="001E005C">
            <w:pPr>
              <w:pStyle w:val="ListBullet"/>
              <w:rPr>
                <w:lang w:val="en-NZ"/>
              </w:rPr>
            </w:pPr>
            <w:r w:rsidRPr="001E005C">
              <w:t>utilities (e.g. water and power)</w:t>
            </w:r>
          </w:p>
        </w:tc>
      </w:tr>
      <w:tr w:rsidTr="001E005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05C">
            <w:pPr>
              <w:pStyle w:val="BodyText"/>
              <w:rPr>
                <w:lang w:val="en-NZ"/>
              </w:rPr>
            </w:pPr>
            <w:r w:rsidRPr="001E005C">
              <w:rPr>
                <w:rStyle w:val="SpecialBold"/>
              </w:rPr>
              <w:t>Physical infrastructure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05C" w:rsidP="001E005C">
            <w:pPr>
              <w:pStyle w:val="BodyText"/>
            </w:pPr>
            <w:r w:rsidRPr="001E005C">
              <w:t>Physical infrastructure may include:</w:t>
            </w:r>
          </w:p>
          <w:p w:rsidR="00000000" w:rsidRPr="001E005C" w:rsidP="001E005C">
            <w:pPr>
              <w:pStyle w:val="ListBullet"/>
            </w:pPr>
            <w:r w:rsidRPr="001E005C">
              <w:t>containers</w:t>
            </w:r>
          </w:p>
          <w:p w:rsidR="00000000" w:rsidRPr="001E005C" w:rsidP="001E005C">
            <w:pPr>
              <w:pStyle w:val="ListBullet"/>
            </w:pPr>
            <w:r w:rsidRPr="001E005C">
              <w:t>material handling equipment</w:t>
            </w:r>
          </w:p>
          <w:p w:rsidR="00000000" w:rsidP="001E005C">
            <w:pPr>
              <w:pStyle w:val="ListBullet"/>
              <w:rPr>
                <w:lang w:val="en-NZ"/>
              </w:rPr>
            </w:pPr>
            <w:r w:rsidRPr="001E005C">
              <w:t>utilities supply (e.g. steam, air, gas, electricity and water)</w:t>
            </w:r>
          </w:p>
        </w:tc>
      </w:tr>
      <w:tr w:rsidTr="001E005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05C">
            <w:pPr>
              <w:pStyle w:val="BodyText"/>
              <w:rPr>
                <w:lang w:val="en-NZ"/>
              </w:rPr>
            </w:pPr>
            <w:r w:rsidRPr="001E005C">
              <w:rPr>
                <w:rStyle w:val="SpecialBold"/>
              </w:rPr>
              <w:t>Information and control infrastructure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05C" w:rsidP="001E005C">
            <w:pPr>
              <w:pStyle w:val="BodyText"/>
            </w:pPr>
            <w:r w:rsidRPr="001E005C">
              <w:t>Information and control infrastructure may include:</w:t>
            </w:r>
          </w:p>
          <w:p w:rsidR="00000000" w:rsidRPr="001E005C" w:rsidP="001E005C">
            <w:pPr>
              <w:pStyle w:val="ListBullet"/>
            </w:pPr>
            <w:r w:rsidRPr="001E005C">
              <w:t>quality assurance</w:t>
            </w:r>
          </w:p>
          <w:p w:rsidR="00000000" w:rsidRPr="001E005C" w:rsidP="001E005C">
            <w:pPr>
              <w:pStyle w:val="ListBullet"/>
            </w:pPr>
            <w:r w:rsidRPr="001E005C">
              <w:t>statistical process control (SPC)/six sigma</w:t>
            </w:r>
          </w:p>
          <w:p w:rsidR="00000000" w:rsidRPr="001E005C" w:rsidP="001E005C">
            <w:pPr>
              <w:pStyle w:val="ListBullet"/>
            </w:pPr>
            <w:r w:rsidRPr="001E005C">
              <w:t>planning systems/software</w:t>
            </w:r>
          </w:p>
          <w:p w:rsidR="00000000" w:rsidP="001E005C">
            <w:pPr>
              <w:pStyle w:val="ListBullet"/>
              <w:rPr>
                <w:lang w:val="en-NZ"/>
              </w:rPr>
            </w:pPr>
            <w:r w:rsidRPr="001E005C">
              <w:t>data collection and control systems/software</w:t>
            </w:r>
          </w:p>
        </w:tc>
      </w:tr>
      <w:tr w:rsidTr="001E005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05C" w:rsidP="001E005C">
            <w:pPr>
              <w:pStyle w:val="BodyText"/>
            </w:pPr>
            <w:r w:rsidRPr="001E005C">
              <w:rPr>
                <w:rStyle w:val="SpecialBold"/>
              </w:rPr>
              <w:t>Work organisation</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05C" w:rsidP="001E005C">
            <w:pPr>
              <w:pStyle w:val="BodyText"/>
            </w:pPr>
            <w:r w:rsidRPr="001E005C">
              <w:t>Work organi</w:t>
            </w:r>
            <w:r w:rsidRPr="001E005C">
              <w:t>sation includes:</w:t>
            </w:r>
          </w:p>
          <w:p w:rsidR="00000000" w:rsidRPr="001E005C" w:rsidP="001E005C">
            <w:pPr>
              <w:pStyle w:val="ListBullet"/>
            </w:pPr>
            <w:r w:rsidRPr="001E005C">
              <w:t>number of personnel</w:t>
            </w:r>
          </w:p>
          <w:p w:rsidR="00000000" w:rsidRPr="001E005C" w:rsidP="001E005C">
            <w:pPr>
              <w:pStyle w:val="ListBullet"/>
            </w:pPr>
            <w:r w:rsidRPr="001E005C">
              <w:t>skills mix of workforce</w:t>
            </w:r>
          </w:p>
        </w:tc>
      </w:tr>
    </w:tbl>
    <w:p w:rsidR="00ED6C5D" w:rsidP="001E005C">
      <w:pPr>
        <w:pStyle w:val="BodyText"/>
      </w:pPr>
    </w:p>
    <w:p w:rsidR="00ED6C5D" w:rsidP="001E005C">
      <w:pPr>
        <w:pStyle w:val="BodyText"/>
      </w:pPr>
    </w:p>
    <w:p w:rsidR="00000000" w:rsidRPr="001E005C" w:rsidP="001E005C">
      <w:pPr>
        <w:pStyle w:val="Heading1"/>
      </w:pPr>
      <w:bookmarkStart w:id="12" w:name="O_467458"/>
      <w:bookmarkEnd w:id="12"/>
      <w:r w:rsidRPr="001E005C">
        <w:t>Unit Sector(s)</w:t>
      </w:r>
    </w:p>
    <w:tbl>
      <w:tblPr>
        <w:tblW w:w="9354" w:type="dxa"/>
        <w:tblLayout w:type="fixed"/>
        <w:tblCellMar>
          <w:left w:w="62" w:type="dxa"/>
          <w:right w:w="62" w:type="dxa"/>
        </w:tblCellMar>
        <w:tblLook w:val="0000"/>
      </w:tblPr>
      <w:tblGrid>
        <w:gridCol w:w="2592"/>
        <w:gridCol w:w="6762"/>
      </w:tblGrid>
      <w:tr w:rsidTr="001E005C">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1E005C">
            <w:pPr>
              <w:pStyle w:val="BodyText"/>
              <w:rPr>
                <w:lang w:val="en-NZ"/>
              </w:rPr>
            </w:pPr>
            <w:r w:rsidRPr="001E005C">
              <w:t>Unit sector</w:t>
            </w:r>
          </w:p>
        </w:tc>
        <w:tc>
          <w:tcPr>
            <w:tcW w:w="6762" w:type="dxa"/>
            <w:tcBorders>
              <w:top w:val="nil"/>
              <w:left w:val="nil"/>
              <w:bottom w:val="nil"/>
              <w:right w:val="nil"/>
            </w:tcBorders>
            <w:tcMar>
              <w:top w:w="0" w:type="dxa"/>
              <w:left w:w="62" w:type="dxa"/>
              <w:bottom w:w="0" w:type="dxa"/>
              <w:right w:w="62" w:type="dxa"/>
            </w:tcMar>
          </w:tcPr>
          <w:p w:rsidR="00000000" w:rsidRPr="001E005C" w:rsidP="001E005C">
            <w:pPr>
              <w:pStyle w:val="BodyText"/>
            </w:pPr>
            <w:r w:rsidRPr="001E005C">
              <w:t>Competitive systems and practices</w:t>
            </w:r>
          </w:p>
        </w:tc>
      </w:tr>
    </w:tbl>
    <w:p w:rsidR="00000000" w:rsidRPr="001E005C" w:rsidP="001E005C">
      <w:pPr>
        <w:pStyle w:val="BodyText"/>
      </w:pPr>
    </w:p>
    <w:p w:rsidR="00000000" w:rsidRPr="001E005C" w:rsidP="001E005C">
      <w:pPr>
        <w:pStyle w:val="AllowPageBreak"/>
      </w:pPr>
    </w:p>
    <w:p w:rsidR="00000000" w:rsidRPr="001E005C" w:rsidP="001E005C">
      <w:pPr>
        <w:pStyle w:val="Heading1"/>
      </w:pPr>
      <w:bookmarkStart w:id="13" w:name="O_467459"/>
      <w:bookmarkEnd w:id="13"/>
      <w:r w:rsidRPr="001E005C">
        <w:t>Custom Content Section</w:t>
      </w:r>
    </w:p>
    <w:p w:rsidR="00000000" w:rsidRPr="001E005C" w:rsidP="001E005C">
      <w:pPr>
        <w:pStyle w:val="BodyText"/>
      </w:pPr>
      <w:r w:rsidRPr="001E005C">
        <w:t>Not applicable.</w:t>
      </w:r>
    </w:p>
    <w:p w:rsidR="00000000" w:rsidRPr="001E005C" w:rsidP="001E005C"/>
    <w:sectPr w:rsidSect="001E00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0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6C5D" w:rsidP="00ED6C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0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C5D" w:rsidP="001E00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D6C5D" w:rsidP="001E00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D6C5D" w:rsidP="001E00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0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6C5D" w:rsidP="00ED6C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0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C5D" w:rsidP="001E005C">
    <w:pPr>
      <w:pStyle w:val="Header"/>
      <w:framePr w:wrap="around"/>
    </w:pPr>
    <w:r>
      <w:fldChar w:fldCharType="begin"/>
    </w:r>
    <w:r>
      <w:instrText xml:space="preserve"> TITLE   \* MERGEFORMAT </w:instrText>
    </w:r>
    <w:r>
      <w:fldChar w:fldCharType="separate"/>
    </w:r>
    <w:r>
      <w:t>MSS405022A Design a process layout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6C5D" w:rsidP="001E00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AC5F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98E8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6A39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0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005C"/>
    <w:pPr>
      <w:spacing w:before="360" w:after="60"/>
      <w:outlineLvl w:val="0"/>
    </w:pPr>
    <w:rPr>
      <w:sz w:val="32"/>
    </w:rPr>
  </w:style>
  <w:style w:type="paragraph" w:styleId="Heading2">
    <w:name w:val="heading 2"/>
    <w:basedOn w:val="HeadingBase"/>
    <w:next w:val="BodyText"/>
    <w:link w:val="Heading2Char"/>
    <w:qFormat/>
    <w:rsid w:val="001E005C"/>
    <w:pPr>
      <w:keepLines/>
      <w:spacing w:before="240" w:after="120"/>
      <w:outlineLvl w:val="1"/>
    </w:pPr>
    <w:rPr>
      <w:sz w:val="28"/>
      <w:szCs w:val="40"/>
    </w:rPr>
  </w:style>
  <w:style w:type="paragraph" w:styleId="Heading3">
    <w:name w:val="heading 3"/>
    <w:basedOn w:val="HeadingBase"/>
    <w:next w:val="BodyText"/>
    <w:link w:val="Heading3Char"/>
    <w:qFormat/>
    <w:rsid w:val="001E005C"/>
    <w:pPr>
      <w:spacing w:before="180" w:after="120"/>
      <w:outlineLvl w:val="2"/>
    </w:pPr>
    <w:rPr>
      <w:spacing w:val="-10"/>
      <w:kern w:val="32"/>
    </w:rPr>
  </w:style>
  <w:style w:type="paragraph" w:styleId="Heading4">
    <w:name w:val="heading 4"/>
    <w:basedOn w:val="HeadingBase"/>
    <w:next w:val="BodyText"/>
    <w:link w:val="Heading4Char"/>
    <w:qFormat/>
    <w:rsid w:val="001E005C"/>
    <w:pPr>
      <w:spacing w:before="160" w:after="120"/>
      <w:outlineLvl w:val="3"/>
    </w:pPr>
    <w:rPr>
      <w:sz w:val="22"/>
    </w:rPr>
  </w:style>
  <w:style w:type="paragraph" w:styleId="Heading5">
    <w:name w:val="heading 5"/>
    <w:basedOn w:val="HeadingBase"/>
    <w:next w:val="Normal"/>
    <w:link w:val="Heading5Char"/>
    <w:qFormat/>
    <w:rsid w:val="001E005C"/>
    <w:pPr>
      <w:spacing w:before="80"/>
      <w:outlineLvl w:val="4"/>
    </w:pPr>
    <w:rPr>
      <w:color w:val="918585"/>
      <w:sz w:val="20"/>
    </w:rPr>
  </w:style>
  <w:style w:type="paragraph" w:styleId="Heading6">
    <w:name w:val="heading 6"/>
    <w:basedOn w:val="HeadingBase"/>
    <w:next w:val="Normal"/>
    <w:link w:val="Heading6Char"/>
    <w:qFormat/>
    <w:rsid w:val="001E005C"/>
    <w:pPr>
      <w:spacing w:before="60"/>
      <w:outlineLvl w:val="5"/>
    </w:pPr>
    <w:rPr>
      <w:color w:val="918585"/>
      <w:sz w:val="20"/>
    </w:rPr>
  </w:style>
  <w:style w:type="paragraph" w:styleId="Heading7">
    <w:name w:val="heading 7"/>
    <w:basedOn w:val="Normal"/>
    <w:next w:val="Normal"/>
    <w:link w:val="Heading7Char"/>
    <w:qFormat/>
    <w:rsid w:val="001E005C"/>
    <w:pPr>
      <w:ind w:left="720"/>
      <w:outlineLvl w:val="6"/>
    </w:pPr>
    <w:rPr>
      <w:i/>
    </w:rPr>
  </w:style>
  <w:style w:type="paragraph" w:styleId="Heading8">
    <w:name w:val="heading 8"/>
    <w:basedOn w:val="Normal"/>
    <w:next w:val="Normal"/>
    <w:link w:val="Heading8Char"/>
    <w:qFormat/>
    <w:rsid w:val="001E005C"/>
    <w:pPr>
      <w:ind w:left="720"/>
      <w:outlineLvl w:val="7"/>
    </w:pPr>
    <w:rPr>
      <w:i/>
    </w:rPr>
  </w:style>
  <w:style w:type="paragraph" w:styleId="Heading9">
    <w:name w:val="heading 9"/>
    <w:basedOn w:val="Normal"/>
    <w:next w:val="Normal"/>
    <w:link w:val="Heading9Char"/>
    <w:qFormat/>
    <w:rsid w:val="001E005C"/>
    <w:pPr>
      <w:ind w:left="720"/>
      <w:outlineLvl w:val="8"/>
    </w:pPr>
    <w:rPr>
      <w:i/>
    </w:rPr>
  </w:style>
  <w:style w:type="character" w:default="1" w:styleId="DefaultParagraphFont">
    <w:name w:val="Default Paragraph Font"/>
    <w:uiPriority w:val="1"/>
    <w:unhideWhenUsed/>
    <w:rsid w:val="001E00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005C"/>
  </w:style>
  <w:style w:type="character" w:customStyle="1" w:styleId="Heading1Char">
    <w:name w:val="Heading 1 Char"/>
    <w:basedOn w:val="DefaultParagraphFont"/>
    <w:link w:val="Heading1"/>
    <w:rsid w:val="001E005C"/>
    <w:rPr>
      <w:rFonts w:ascii="Times New Roman" w:eastAsia="Times New Roman" w:hAnsi="Times New Roman" w:cs="Times New Roman"/>
      <w:b/>
      <w:sz w:val="32"/>
      <w:szCs w:val="20"/>
      <w:lang w:eastAsia="en-US"/>
    </w:rPr>
  </w:style>
  <w:style w:type="paragraph" w:styleId="BodyText">
    <w:name w:val="Body Text"/>
    <w:basedOn w:val="Normal"/>
    <w:link w:val="BodyTextChar"/>
    <w:rsid w:val="001E00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005C"/>
    <w:rPr>
      <w:rFonts w:ascii="Times New Roman" w:eastAsia="Times New Roman" w:hAnsi="Times New Roman" w:cs="Times New Roman"/>
      <w:sz w:val="24"/>
      <w:lang w:val="en-US" w:eastAsia="en-US"/>
    </w:rPr>
  </w:style>
  <w:style w:type="paragraph" w:styleId="Footer">
    <w:name w:val="footer"/>
    <w:basedOn w:val="Normal"/>
    <w:link w:val="FooterChar"/>
    <w:rsid w:val="001E00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005C"/>
    <w:rPr>
      <w:rFonts w:ascii="Times New Roman" w:eastAsia="Times New Roman" w:hAnsi="Times New Roman" w:cs="Times New Roman"/>
      <w:sz w:val="16"/>
      <w:lang w:val="en-US" w:eastAsia="en-US"/>
    </w:rPr>
  </w:style>
  <w:style w:type="paragraph" w:styleId="ListBullet">
    <w:name w:val="List Bullet"/>
    <w:basedOn w:val="List"/>
    <w:rsid w:val="001E005C"/>
    <w:pPr>
      <w:numPr>
        <w:numId w:val="13"/>
      </w:numPr>
      <w:tabs>
        <w:tab w:val="clear" w:pos="340"/>
      </w:tabs>
      <w:spacing w:before="40" w:after="40"/>
    </w:pPr>
  </w:style>
  <w:style w:type="character" w:customStyle="1" w:styleId="SpecialBold">
    <w:name w:val="Special Bold"/>
    <w:basedOn w:val="DefaultParagraphFont"/>
    <w:rsid w:val="001E005C"/>
    <w:rPr>
      <w:b/>
      <w:spacing w:val="0"/>
    </w:rPr>
  </w:style>
  <w:style w:type="paragraph" w:styleId="ListBullet2">
    <w:name w:val="List Bullet 2"/>
    <w:basedOn w:val="List2"/>
    <w:rsid w:val="001E005C"/>
    <w:pPr>
      <w:numPr>
        <w:numId w:val="14"/>
      </w:numPr>
      <w:tabs>
        <w:tab w:val="clear" w:pos="680"/>
      </w:tabs>
    </w:pPr>
  </w:style>
  <w:style w:type="paragraph" w:styleId="Header">
    <w:name w:val="header"/>
    <w:basedOn w:val="Normal"/>
    <w:link w:val="HeaderChar"/>
    <w:rsid w:val="001E00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00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005C"/>
    <w:pPr>
      <w:spacing w:before="240" w:after="120"/>
      <w:outlineLvl w:val="0"/>
    </w:pPr>
    <w:rPr>
      <w:rFonts w:ascii="Times New Roman" w:hAnsi="Times New Roman"/>
      <w:b/>
      <w:sz w:val="28"/>
    </w:rPr>
  </w:style>
  <w:style w:type="paragraph" w:customStyle="1" w:styleId="AllowPageBreak">
    <w:name w:val="AllowPageBreak"/>
    <w:rsid w:val="001E00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00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00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00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00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00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00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00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005C"/>
    <w:rPr>
      <w:rFonts w:ascii="Courier New" w:eastAsia="Times New Roman" w:hAnsi="Courier New" w:cs="Times New Roman"/>
      <w:i/>
      <w:szCs w:val="20"/>
      <w:lang w:val="en-US" w:eastAsia="en-US"/>
    </w:rPr>
  </w:style>
  <w:style w:type="paragraph" w:customStyle="1" w:styleId="HeadingBase">
    <w:name w:val="Heading Base"/>
    <w:rsid w:val="001E00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005C"/>
    <w:pPr>
      <w:tabs>
        <w:tab w:val="right" w:leader="dot" w:pos="9072"/>
      </w:tabs>
      <w:ind w:left="567"/>
    </w:pPr>
    <w:rPr>
      <w:szCs w:val="22"/>
    </w:rPr>
  </w:style>
  <w:style w:type="paragraph" w:customStyle="1" w:styleId="TOCBase">
    <w:name w:val="TOC Base"/>
    <w:rsid w:val="001E00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005C"/>
    <w:pPr>
      <w:tabs>
        <w:tab w:val="right" w:leader="dot" w:pos="9072"/>
      </w:tabs>
      <w:spacing w:before="40" w:after="40"/>
      <w:ind w:left="284"/>
    </w:pPr>
    <w:rPr>
      <w:rFonts w:ascii="Times New Roman" w:hAnsi="Times New Roman"/>
    </w:rPr>
  </w:style>
  <w:style w:type="paragraph" w:styleId="TOC1">
    <w:name w:val="toc 1"/>
    <w:basedOn w:val="TOCBase"/>
    <w:next w:val="Normal"/>
    <w:rsid w:val="001E00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005C"/>
    <w:pPr>
      <w:spacing w:before="5040"/>
      <w:jc w:val="center"/>
    </w:pPr>
    <w:rPr>
      <w:sz w:val="48"/>
      <w:szCs w:val="72"/>
      <w:lang w:val="en-US"/>
    </w:rPr>
  </w:style>
  <w:style w:type="character" w:customStyle="1" w:styleId="TitleChar">
    <w:name w:val="Title Char"/>
    <w:basedOn w:val="DefaultParagraphFont"/>
    <w:link w:val="Title"/>
    <w:rsid w:val="001E00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005C"/>
    <w:pPr>
      <w:tabs>
        <w:tab w:val="left" w:pos="3600"/>
        <w:tab w:val="left" w:pos="3958"/>
      </w:tabs>
    </w:pPr>
  </w:style>
  <w:style w:type="paragraph" w:styleId="List">
    <w:name w:val="List"/>
    <w:basedOn w:val="BodyText"/>
    <w:next w:val="BodyText"/>
    <w:rsid w:val="001E005C"/>
    <w:pPr>
      <w:tabs>
        <w:tab w:val="left" w:pos="340"/>
      </w:tabs>
      <w:spacing w:before="60" w:after="60"/>
      <w:ind w:left="340" w:hanging="340"/>
    </w:pPr>
  </w:style>
  <w:style w:type="paragraph" w:customStyle="1" w:styleId="Note">
    <w:name w:val="Note"/>
    <w:basedOn w:val="BodyText"/>
    <w:rsid w:val="001E00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005C"/>
    <w:pPr>
      <w:framePr w:wrap="auto" w:hAnchor="text" w:y="6049"/>
    </w:pPr>
    <w:rPr>
      <w:color w:val="000000"/>
      <w:sz w:val="40"/>
    </w:rPr>
  </w:style>
  <w:style w:type="paragraph" w:customStyle="1" w:styleId="TOCTitle">
    <w:name w:val="TOCTitle"/>
    <w:basedOn w:val="Heading1"/>
    <w:rsid w:val="001E005C"/>
    <w:pPr>
      <w:spacing w:after="240"/>
      <w:jc w:val="center"/>
      <w:outlineLvl w:val="9"/>
    </w:pPr>
    <w:rPr>
      <w:caps/>
    </w:rPr>
  </w:style>
  <w:style w:type="paragraph" w:customStyle="1" w:styleId="Version">
    <w:name w:val="Version"/>
    <w:rsid w:val="001E00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005C"/>
    <w:pPr>
      <w:keepNext w:val="0"/>
      <w:tabs>
        <w:tab w:val="right" w:pos="4176"/>
      </w:tabs>
      <w:ind w:left="198" w:hanging="198"/>
    </w:pPr>
    <w:rPr>
      <w:rFonts w:ascii="Garamond" w:hAnsi="Garamond"/>
    </w:rPr>
  </w:style>
  <w:style w:type="paragraph" w:styleId="IndexHeading">
    <w:name w:val="index heading"/>
    <w:basedOn w:val="Normal"/>
    <w:next w:val="Index1"/>
    <w:semiHidden/>
    <w:rsid w:val="001E005C"/>
    <w:pPr>
      <w:spacing w:before="120" w:after="120"/>
    </w:pPr>
    <w:rPr>
      <w:rFonts w:ascii="Arial" w:hAnsi="Arial"/>
      <w:b/>
      <w:color w:val="918585"/>
      <w:sz w:val="24"/>
    </w:rPr>
  </w:style>
  <w:style w:type="paragraph" w:customStyle="1" w:styleId="Chapter">
    <w:name w:val="Chapter"/>
    <w:basedOn w:val="Normal"/>
    <w:rsid w:val="001E005C"/>
    <w:pPr>
      <w:spacing w:before="240"/>
    </w:pPr>
    <w:rPr>
      <w:rFonts w:ascii="Times New Roman" w:hAnsi="Times New Roman"/>
      <w:smallCaps/>
      <w:spacing w:val="80"/>
      <w:sz w:val="28"/>
    </w:rPr>
  </w:style>
  <w:style w:type="paragraph" w:customStyle="1" w:styleId="InChapter">
    <w:name w:val="InChapter"/>
    <w:basedOn w:val="Heading3"/>
    <w:rsid w:val="001E005C"/>
    <w:pPr>
      <w:spacing w:after="240"/>
      <w:outlineLvl w:val="9"/>
    </w:pPr>
    <w:rPr>
      <w:noProof/>
    </w:rPr>
  </w:style>
  <w:style w:type="paragraph" w:styleId="Index2">
    <w:name w:val="index 2"/>
    <w:basedOn w:val="Normal"/>
    <w:next w:val="Normal"/>
    <w:semiHidden/>
    <w:rsid w:val="001E005C"/>
    <w:pPr>
      <w:tabs>
        <w:tab w:val="right" w:pos="4176"/>
      </w:tabs>
      <w:ind w:left="568" w:hanging="284"/>
    </w:pPr>
    <w:rPr>
      <w:rFonts w:ascii="Garamond" w:hAnsi="Garamond"/>
    </w:rPr>
  </w:style>
  <w:style w:type="paragraph" w:customStyle="1" w:styleId="Byline">
    <w:name w:val="Byline"/>
    <w:rsid w:val="001E00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005C"/>
    <w:pPr>
      <w:tabs>
        <w:tab w:val="clear" w:pos="3600"/>
        <w:tab w:val="clear" w:pos="3958"/>
      </w:tabs>
      <w:jc w:val="right"/>
    </w:pPr>
  </w:style>
  <w:style w:type="character" w:styleId="Emphasis">
    <w:name w:val="Emphasis"/>
    <w:basedOn w:val="DefaultParagraphFont"/>
    <w:qFormat/>
    <w:rsid w:val="001E005C"/>
    <w:rPr>
      <w:i/>
    </w:rPr>
  </w:style>
  <w:style w:type="paragraph" w:styleId="Caption">
    <w:name w:val="caption"/>
    <w:basedOn w:val="BodyText"/>
    <w:next w:val="Normal"/>
    <w:qFormat/>
    <w:rsid w:val="001E005C"/>
    <w:pPr>
      <w:framePr w:w="2268" w:hSpace="181" w:vSpace="181" w:wrap="around" w:vAnchor="text" w:hAnchor="page" w:x="1135" w:y="285" w:anchorLock="1"/>
    </w:pPr>
    <w:rPr>
      <w:i/>
    </w:rPr>
  </w:style>
  <w:style w:type="paragraph" w:customStyle="1" w:styleId="MiniTOCTitle">
    <w:name w:val="MiniTOCTitle"/>
    <w:basedOn w:val="Heading4"/>
    <w:rsid w:val="001E005C"/>
    <w:pPr>
      <w:spacing w:before="240"/>
      <w:outlineLvl w:val="9"/>
    </w:pPr>
    <w:rPr>
      <w:noProof/>
      <w:sz w:val="24"/>
    </w:rPr>
  </w:style>
  <w:style w:type="paragraph" w:customStyle="1" w:styleId="MiniTOCItem">
    <w:name w:val="MiniTOCItem"/>
    <w:basedOn w:val="ListBullet"/>
    <w:rsid w:val="001E005C"/>
    <w:pPr>
      <w:numPr>
        <w:numId w:val="0"/>
      </w:numPr>
      <w:tabs>
        <w:tab w:val="right" w:leader="dot" w:pos="6521"/>
      </w:tabs>
      <w:spacing w:before="0" w:after="0"/>
    </w:pPr>
  </w:style>
  <w:style w:type="paragraph" w:customStyle="1" w:styleId="TOFTitle">
    <w:name w:val="TOFTitle"/>
    <w:basedOn w:val="TOCTitle"/>
    <w:rsid w:val="001E005C"/>
  </w:style>
  <w:style w:type="paragraph" w:styleId="TableofFigures">
    <w:name w:val="table of figures"/>
    <w:basedOn w:val="Normal"/>
    <w:next w:val="Normal"/>
    <w:semiHidden/>
    <w:rsid w:val="001E005C"/>
    <w:pPr>
      <w:tabs>
        <w:tab w:val="right" w:leader="dot" w:pos="9072"/>
      </w:tabs>
      <w:ind w:left="970" w:hanging="403"/>
    </w:pPr>
    <w:rPr>
      <w:rFonts w:ascii="Times New Roman" w:hAnsi="Times New Roman"/>
      <w:b/>
    </w:rPr>
  </w:style>
  <w:style w:type="paragraph" w:styleId="ListNumber">
    <w:name w:val="List Number"/>
    <w:basedOn w:val="List"/>
    <w:rsid w:val="001E005C"/>
    <w:pPr>
      <w:numPr>
        <w:numId w:val="11"/>
      </w:numPr>
    </w:pPr>
  </w:style>
  <w:style w:type="character" w:customStyle="1" w:styleId="WingdingSymbols">
    <w:name w:val="Wingding Symbols"/>
    <w:rsid w:val="001E005C"/>
    <w:rPr>
      <w:rFonts w:ascii="Wingdings" w:hAnsi="Wingdings"/>
    </w:rPr>
  </w:style>
  <w:style w:type="paragraph" w:customStyle="1" w:styleId="TableHeading">
    <w:name w:val="Table Heading"/>
    <w:basedOn w:val="HeadingBase"/>
    <w:rsid w:val="001E005C"/>
    <w:pPr>
      <w:keepLines/>
      <w:pBdr>
        <w:bottom w:val="single" w:sz="6" w:space="1" w:color="918585"/>
      </w:pBdr>
      <w:spacing w:before="240"/>
    </w:pPr>
  </w:style>
  <w:style w:type="character" w:customStyle="1" w:styleId="HotSpot">
    <w:name w:val="HotSpot"/>
    <w:rsid w:val="001E005C"/>
    <w:rPr>
      <w:color w:val="0033CC"/>
      <w:u w:val="none"/>
    </w:rPr>
  </w:style>
  <w:style w:type="paragraph" w:customStyle="1" w:styleId="BodyTextRight">
    <w:name w:val="Body Text Right"/>
    <w:basedOn w:val="BodyText"/>
    <w:rsid w:val="001E005C"/>
    <w:pPr>
      <w:spacing w:before="0" w:after="0"/>
      <w:jc w:val="right"/>
    </w:pPr>
  </w:style>
  <w:style w:type="paragraph" w:styleId="Index3">
    <w:name w:val="index 3"/>
    <w:basedOn w:val="ListNumber2"/>
    <w:next w:val="Normal"/>
    <w:semiHidden/>
    <w:rsid w:val="001E005C"/>
    <w:pPr>
      <w:numPr>
        <w:numId w:val="0"/>
      </w:numPr>
      <w:tabs>
        <w:tab w:val="right" w:leader="dot" w:pos="4176"/>
      </w:tabs>
    </w:pPr>
  </w:style>
  <w:style w:type="paragraph" w:styleId="ListNumber2">
    <w:name w:val="List Number 2"/>
    <w:basedOn w:val="List2"/>
    <w:rsid w:val="001E005C"/>
    <w:pPr>
      <w:numPr>
        <w:numId w:val="10"/>
      </w:numPr>
      <w:tabs>
        <w:tab w:val="clear" w:pos="1060"/>
      </w:tabs>
    </w:pPr>
  </w:style>
  <w:style w:type="paragraph" w:customStyle="1" w:styleId="MarginNote">
    <w:name w:val="Margin Note"/>
    <w:basedOn w:val="BodyText"/>
    <w:rsid w:val="001E00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00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00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005C"/>
    <w:rPr>
      <w:sz w:val="32"/>
    </w:rPr>
  </w:style>
  <w:style w:type="paragraph" w:customStyle="1" w:styleId="HeadingProcedure">
    <w:name w:val="Heading Procedure"/>
    <w:basedOn w:val="HeadingBase"/>
    <w:next w:val="Normal"/>
    <w:rsid w:val="001E005C"/>
    <w:pPr>
      <w:tabs>
        <w:tab w:val="left" w:pos="0"/>
      </w:tabs>
      <w:spacing w:before="120" w:after="60"/>
    </w:pPr>
    <w:rPr>
      <w:i/>
      <w:color w:val="918585"/>
      <w:sz w:val="22"/>
    </w:rPr>
  </w:style>
  <w:style w:type="paragraph" w:customStyle="1" w:styleId="TableBodyText">
    <w:name w:val="Table Body Text"/>
    <w:basedOn w:val="BodyText"/>
    <w:rsid w:val="001E005C"/>
    <w:pPr>
      <w:spacing w:before="60" w:after="60"/>
    </w:pPr>
  </w:style>
  <w:style w:type="paragraph" w:styleId="ListContinue">
    <w:name w:val="List Continue"/>
    <w:basedOn w:val="List"/>
    <w:rsid w:val="001E005C"/>
    <w:pPr>
      <w:ind w:firstLine="0"/>
    </w:pPr>
  </w:style>
  <w:style w:type="paragraph" w:customStyle="1" w:styleId="ListNote">
    <w:name w:val="List Note"/>
    <w:basedOn w:val="List"/>
    <w:rsid w:val="001E005C"/>
    <w:pPr>
      <w:pBdr>
        <w:top w:val="single" w:sz="6" w:space="2" w:color="918585"/>
        <w:bottom w:val="single" w:sz="6" w:space="2" w:color="918585"/>
      </w:pBdr>
      <w:tabs>
        <w:tab w:val="left" w:pos="1021"/>
      </w:tabs>
      <w:ind w:firstLine="0"/>
    </w:pPr>
  </w:style>
  <w:style w:type="paragraph" w:customStyle="1" w:styleId="Warning">
    <w:name w:val="Warning"/>
    <w:basedOn w:val="BodyText"/>
    <w:rsid w:val="001E005C"/>
    <w:pPr>
      <w:shd w:val="clear" w:color="auto" w:fill="D9D9D9"/>
      <w:tabs>
        <w:tab w:val="left" w:pos="992"/>
      </w:tabs>
      <w:ind w:left="119" w:right="119"/>
    </w:pPr>
    <w:rPr>
      <w:sz w:val="20"/>
    </w:rPr>
  </w:style>
  <w:style w:type="paragraph" w:customStyle="1" w:styleId="MarginIcons">
    <w:name w:val="Margin Icons"/>
    <w:basedOn w:val="BodyText"/>
    <w:rsid w:val="001E00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005C"/>
    <w:rPr>
      <w:rFonts w:ascii="Courier New" w:hAnsi="Courier New"/>
    </w:rPr>
  </w:style>
  <w:style w:type="paragraph" w:customStyle="1" w:styleId="NoteBullet">
    <w:name w:val="Note Bullet"/>
    <w:basedOn w:val="Note"/>
    <w:rsid w:val="001E005C"/>
    <w:pPr>
      <w:tabs>
        <w:tab w:val="clear" w:pos="680"/>
      </w:tabs>
      <w:spacing w:before="60" w:after="60"/>
    </w:pPr>
  </w:style>
  <w:style w:type="paragraph" w:customStyle="1" w:styleId="SubHeading2">
    <w:name w:val="SubHeading2"/>
    <w:basedOn w:val="HeadingBase"/>
    <w:rsid w:val="001E005C"/>
    <w:pPr>
      <w:spacing w:before="240" w:after="60"/>
    </w:pPr>
    <w:rPr>
      <w:sz w:val="20"/>
    </w:rPr>
  </w:style>
  <w:style w:type="paragraph" w:customStyle="1" w:styleId="SubHeading1">
    <w:name w:val="SubHeading1"/>
    <w:basedOn w:val="HeadingBase"/>
    <w:rsid w:val="001E005C"/>
    <w:pPr>
      <w:spacing w:before="240" w:after="60"/>
    </w:pPr>
    <w:rPr>
      <w:color w:val="918585"/>
      <w:sz w:val="22"/>
    </w:rPr>
  </w:style>
  <w:style w:type="paragraph" w:customStyle="1" w:styleId="SideHeading">
    <w:name w:val="Side Heading"/>
    <w:basedOn w:val="HeadingBase"/>
    <w:rsid w:val="001E00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005C"/>
    <w:pPr>
      <w:numPr>
        <w:numId w:val="12"/>
      </w:numPr>
    </w:pPr>
  </w:style>
  <w:style w:type="paragraph" w:styleId="PlainText">
    <w:name w:val="Plain Text"/>
    <w:basedOn w:val="Normal"/>
    <w:link w:val="PlainTextChar"/>
    <w:rsid w:val="001E005C"/>
    <w:rPr>
      <w:sz w:val="20"/>
    </w:rPr>
  </w:style>
  <w:style w:type="character" w:customStyle="1" w:styleId="PlainTextChar">
    <w:name w:val="Plain Text Char"/>
    <w:basedOn w:val="DefaultParagraphFont"/>
    <w:link w:val="PlainText"/>
    <w:rsid w:val="001E00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005C"/>
    <w:rPr>
      <w:b/>
      <w:smallCaps/>
    </w:rPr>
  </w:style>
  <w:style w:type="paragraph" w:customStyle="1" w:styleId="TableListNumber">
    <w:name w:val="Table List Number"/>
    <w:basedOn w:val="ListNumber"/>
    <w:rsid w:val="001E005C"/>
    <w:pPr>
      <w:numPr>
        <w:numId w:val="0"/>
      </w:numPr>
    </w:pPr>
  </w:style>
  <w:style w:type="paragraph" w:styleId="TOC4">
    <w:name w:val="toc 4"/>
    <w:basedOn w:val="TOCBase"/>
    <w:next w:val="Normal"/>
    <w:semiHidden/>
    <w:rsid w:val="001E005C"/>
    <w:pPr>
      <w:tabs>
        <w:tab w:val="right" w:leader="dot" w:pos="9071"/>
      </w:tabs>
      <w:ind w:left="1701"/>
    </w:pPr>
  </w:style>
  <w:style w:type="paragraph" w:customStyle="1" w:styleId="ListAlpha">
    <w:name w:val="List Alpha"/>
    <w:basedOn w:val="List"/>
    <w:rsid w:val="001E005C"/>
    <w:pPr>
      <w:numPr>
        <w:numId w:val="9"/>
      </w:numPr>
    </w:pPr>
  </w:style>
  <w:style w:type="paragraph" w:customStyle="1" w:styleId="ListAlpha2">
    <w:name w:val="List Alpha 2"/>
    <w:basedOn w:val="List2"/>
    <w:rsid w:val="001E005C"/>
    <w:pPr>
      <w:numPr>
        <w:numId w:val="8"/>
      </w:numPr>
    </w:pPr>
  </w:style>
  <w:style w:type="paragraph" w:styleId="List2">
    <w:name w:val="List 2"/>
    <w:basedOn w:val="BodyText"/>
    <w:rsid w:val="001E005C"/>
    <w:pPr>
      <w:tabs>
        <w:tab w:val="left" w:pos="680"/>
      </w:tabs>
      <w:spacing w:before="60" w:after="60"/>
      <w:ind w:left="680" w:hanging="340"/>
    </w:pPr>
  </w:style>
  <w:style w:type="paragraph" w:styleId="List3">
    <w:name w:val="List 3"/>
    <w:basedOn w:val="BodyText"/>
    <w:rsid w:val="001E005C"/>
    <w:pPr>
      <w:tabs>
        <w:tab w:val="left" w:pos="1021"/>
      </w:tabs>
      <w:spacing w:before="60" w:after="60"/>
      <w:ind w:left="1020" w:hanging="340"/>
    </w:pPr>
  </w:style>
  <w:style w:type="paragraph" w:styleId="List4">
    <w:name w:val="List 4"/>
    <w:basedOn w:val="BodyText"/>
    <w:rsid w:val="001E005C"/>
    <w:pPr>
      <w:tabs>
        <w:tab w:val="left" w:pos="1361"/>
      </w:tabs>
      <w:spacing w:before="60" w:after="60"/>
      <w:ind w:left="1361" w:hanging="340"/>
    </w:pPr>
  </w:style>
  <w:style w:type="paragraph" w:styleId="List5">
    <w:name w:val="List 5"/>
    <w:basedOn w:val="BodyText"/>
    <w:rsid w:val="001E005C"/>
    <w:pPr>
      <w:tabs>
        <w:tab w:val="left" w:pos="1701"/>
      </w:tabs>
      <w:spacing w:before="60" w:after="60"/>
      <w:ind w:left="1701" w:hanging="340"/>
    </w:pPr>
  </w:style>
  <w:style w:type="paragraph" w:styleId="ListBullet3">
    <w:name w:val="List Bullet 3"/>
    <w:basedOn w:val="List3"/>
    <w:rsid w:val="001E005C"/>
    <w:pPr>
      <w:numPr>
        <w:numId w:val="15"/>
      </w:numPr>
      <w:tabs>
        <w:tab w:val="clear" w:pos="1021"/>
      </w:tabs>
      <w:ind w:left="1037" w:hanging="357"/>
    </w:pPr>
  </w:style>
  <w:style w:type="paragraph" w:styleId="ListBullet4">
    <w:name w:val="List Bullet 4"/>
    <w:basedOn w:val="List4"/>
    <w:rsid w:val="001E005C"/>
    <w:pPr>
      <w:numPr>
        <w:numId w:val="3"/>
      </w:numPr>
    </w:pPr>
  </w:style>
  <w:style w:type="paragraph" w:styleId="ListBullet5">
    <w:name w:val="List Bullet 5"/>
    <w:basedOn w:val="List5"/>
    <w:rsid w:val="001E005C"/>
    <w:pPr>
      <w:numPr>
        <w:numId w:val="4"/>
      </w:numPr>
    </w:pPr>
  </w:style>
  <w:style w:type="paragraph" w:styleId="ListContinue2">
    <w:name w:val="List Continue 2"/>
    <w:basedOn w:val="List2"/>
    <w:rsid w:val="001E005C"/>
    <w:pPr>
      <w:ind w:firstLine="0"/>
    </w:pPr>
  </w:style>
  <w:style w:type="paragraph" w:styleId="ListContinue3">
    <w:name w:val="List Continue 3"/>
    <w:basedOn w:val="List3"/>
    <w:rsid w:val="001E005C"/>
    <w:pPr>
      <w:ind w:left="1021" w:firstLine="0"/>
    </w:pPr>
  </w:style>
  <w:style w:type="paragraph" w:styleId="ListContinue4">
    <w:name w:val="List Continue 4"/>
    <w:basedOn w:val="List4"/>
    <w:rsid w:val="001E005C"/>
    <w:pPr>
      <w:ind w:firstLine="0"/>
    </w:pPr>
  </w:style>
  <w:style w:type="paragraph" w:styleId="ListContinue5">
    <w:name w:val="List Continue 5"/>
    <w:basedOn w:val="List5"/>
    <w:rsid w:val="001E005C"/>
    <w:pPr>
      <w:ind w:firstLine="0"/>
    </w:pPr>
  </w:style>
  <w:style w:type="paragraph" w:styleId="ListNumber3">
    <w:name w:val="List Number 3"/>
    <w:basedOn w:val="List3"/>
    <w:rsid w:val="001E005C"/>
    <w:pPr>
      <w:numPr>
        <w:numId w:val="5"/>
      </w:numPr>
    </w:pPr>
  </w:style>
  <w:style w:type="paragraph" w:styleId="ListNumber4">
    <w:name w:val="List Number 4"/>
    <w:basedOn w:val="List4"/>
    <w:rsid w:val="001E005C"/>
    <w:pPr>
      <w:numPr>
        <w:numId w:val="6"/>
      </w:numPr>
    </w:pPr>
  </w:style>
  <w:style w:type="paragraph" w:styleId="ListNumber5">
    <w:name w:val="List Number 5"/>
    <w:basedOn w:val="List5"/>
    <w:rsid w:val="001E005C"/>
    <w:pPr>
      <w:numPr>
        <w:numId w:val="7"/>
      </w:numPr>
    </w:pPr>
  </w:style>
  <w:style w:type="paragraph" w:styleId="BlockText">
    <w:name w:val="Block Text"/>
    <w:basedOn w:val="Normal"/>
    <w:rsid w:val="001E005C"/>
    <w:pPr>
      <w:spacing w:after="120"/>
      <w:ind w:left="1440" w:right="1440"/>
    </w:pPr>
  </w:style>
  <w:style w:type="character" w:customStyle="1" w:styleId="Subscript">
    <w:name w:val="Subscript"/>
    <w:basedOn w:val="DefaultParagraphFont"/>
    <w:rsid w:val="001E005C"/>
    <w:rPr>
      <w:sz w:val="16"/>
      <w:vertAlign w:val="subscript"/>
    </w:rPr>
  </w:style>
  <w:style w:type="character" w:customStyle="1" w:styleId="Superscript">
    <w:name w:val="Superscript"/>
    <w:basedOn w:val="DefaultParagraphFont"/>
    <w:rsid w:val="001E005C"/>
    <w:rPr>
      <w:sz w:val="16"/>
      <w:vertAlign w:val="superscript"/>
    </w:rPr>
  </w:style>
  <w:style w:type="character" w:customStyle="1" w:styleId="Symbols">
    <w:name w:val="Symbols"/>
    <w:basedOn w:val="DefaultParagraphFont"/>
    <w:rsid w:val="001E005C"/>
    <w:rPr>
      <w:rFonts w:ascii="Symbol" w:hAnsi="Symbol"/>
    </w:rPr>
  </w:style>
  <w:style w:type="character" w:customStyle="1" w:styleId="MenuOptions">
    <w:name w:val="Menu Options"/>
    <w:basedOn w:val="DefaultParagraphFont"/>
    <w:rsid w:val="001E005C"/>
    <w:rPr>
      <w:rFonts w:ascii="Arial Narrow" w:hAnsi="Arial Narrow"/>
      <w:smallCaps/>
    </w:rPr>
  </w:style>
  <w:style w:type="character" w:customStyle="1" w:styleId="Buttons">
    <w:name w:val="Buttons"/>
    <w:basedOn w:val="DefaultParagraphFont"/>
    <w:rsid w:val="001E005C"/>
    <w:rPr>
      <w:b/>
    </w:rPr>
  </w:style>
  <w:style w:type="character" w:customStyle="1" w:styleId="Underlined">
    <w:name w:val="Underlined"/>
    <w:basedOn w:val="DefaultParagraphFont"/>
    <w:rsid w:val="001E005C"/>
    <w:rPr>
      <w:u w:val="single"/>
    </w:rPr>
  </w:style>
  <w:style w:type="paragraph" w:customStyle="1" w:styleId="TableBodyTextRight">
    <w:name w:val="Table Body Text Right"/>
    <w:basedOn w:val="TableBodyText"/>
    <w:rsid w:val="001E005C"/>
    <w:pPr>
      <w:widowControl w:val="0"/>
      <w:autoSpaceDE w:val="0"/>
      <w:autoSpaceDN w:val="0"/>
      <w:adjustRightInd w:val="0"/>
      <w:jc w:val="right"/>
    </w:pPr>
    <w:rPr>
      <w:rFonts w:cs="Arial"/>
      <w:szCs w:val="18"/>
    </w:rPr>
  </w:style>
  <w:style w:type="paragraph" w:customStyle="1" w:styleId="CopyrightText">
    <w:name w:val="Copyright Text"/>
    <w:basedOn w:val="BodyText"/>
    <w:rsid w:val="001E005C"/>
    <w:rPr>
      <w:sz w:val="18"/>
    </w:rPr>
  </w:style>
  <w:style w:type="paragraph" w:customStyle="1" w:styleId="BodySmallRight">
    <w:name w:val="Body Small Right"/>
    <w:basedOn w:val="BodyTextRight"/>
    <w:rsid w:val="001E005C"/>
    <w:rPr>
      <w:sz w:val="18"/>
      <w:szCs w:val="18"/>
    </w:rPr>
  </w:style>
  <w:style w:type="paragraph" w:customStyle="1" w:styleId="MarginEdition">
    <w:name w:val="Margin Edition"/>
    <w:basedOn w:val="MarginNote"/>
    <w:rsid w:val="001E005C"/>
    <w:pPr>
      <w:spacing w:before="0" w:after="0"/>
    </w:pPr>
    <w:rPr>
      <w:rFonts w:ascii="Times New Roman" w:hAnsi="Times New Roman"/>
      <w:color w:val="999999"/>
    </w:rPr>
  </w:style>
  <w:style w:type="paragraph" w:customStyle="1" w:styleId="Spacer">
    <w:name w:val="Spacer"/>
    <w:basedOn w:val="Normal"/>
    <w:rsid w:val="001E005C"/>
    <w:rPr>
      <w:sz w:val="2"/>
      <w:szCs w:val="2"/>
    </w:rPr>
  </w:style>
  <w:style w:type="character" w:customStyle="1" w:styleId="Small">
    <w:name w:val="Small"/>
    <w:basedOn w:val="DefaultParagraphFont"/>
    <w:rsid w:val="001E005C"/>
    <w:rPr>
      <w:sz w:val="16"/>
    </w:rPr>
  </w:style>
  <w:style w:type="paragraph" w:customStyle="1" w:styleId="WideTable">
    <w:name w:val="Wide Table"/>
    <w:basedOn w:val="Normal"/>
    <w:rsid w:val="001E005C"/>
    <w:pPr>
      <w:ind w:left="-1418"/>
    </w:pPr>
    <w:rPr>
      <w:sz w:val="2"/>
      <w:szCs w:val="2"/>
    </w:rPr>
  </w:style>
  <w:style w:type="character" w:styleId="PageNumber">
    <w:name w:val="page number"/>
    <w:basedOn w:val="DefaultParagraphFont"/>
    <w:rsid w:val="001E005C"/>
  </w:style>
  <w:style w:type="paragraph" w:styleId="Quote">
    <w:name w:val="Quote"/>
    <w:basedOn w:val="Heading1"/>
    <w:link w:val="QuoteChar"/>
    <w:qFormat/>
    <w:rsid w:val="001E005C"/>
    <w:rPr>
      <w:b w:val="0"/>
      <w:sz w:val="72"/>
      <w:szCs w:val="72"/>
      <w:lang w:val="en-NZ"/>
    </w:rPr>
  </w:style>
  <w:style w:type="character" w:customStyle="1" w:styleId="QuoteChar">
    <w:name w:val="Quote Char"/>
    <w:basedOn w:val="DefaultParagraphFont"/>
    <w:link w:val="Quote"/>
    <w:rsid w:val="001E00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005C"/>
    <w:pPr>
      <w:pageBreakBefore/>
    </w:pPr>
  </w:style>
  <w:style w:type="paragraph" w:customStyle="1" w:styleId="Border">
    <w:name w:val="Border"/>
    <w:basedOn w:val="Normal"/>
    <w:qFormat/>
    <w:rsid w:val="001E00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005C"/>
    <w:rPr>
      <w:b/>
      <w:bCs/>
      <w:i/>
      <w:iCs/>
      <w:color w:val="auto"/>
    </w:rPr>
  </w:style>
  <w:style w:type="paragraph" w:styleId="IntenseQuote">
    <w:name w:val="Intense Quote"/>
    <w:basedOn w:val="Normal"/>
    <w:next w:val="Normal"/>
    <w:link w:val="IntenseQuoteChar"/>
    <w:uiPriority w:val="30"/>
    <w:qFormat/>
    <w:rsid w:val="001E00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00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005C"/>
    <w:rPr>
      <w:smallCaps/>
      <w:color w:val="auto"/>
      <w:u w:val="single"/>
    </w:rPr>
  </w:style>
  <w:style w:type="character" w:styleId="IntenseReference">
    <w:name w:val="Intense Reference"/>
    <w:basedOn w:val="DefaultParagraphFont"/>
    <w:uiPriority w:val="32"/>
    <w:qFormat/>
    <w:rsid w:val="001E005C"/>
    <w:rPr>
      <w:b/>
      <w:bCs/>
      <w:smallCaps/>
      <w:color w:val="auto"/>
      <w:spacing w:val="5"/>
      <w:u w:val="single"/>
    </w:rPr>
  </w:style>
  <w:style w:type="paragraph" w:customStyle="1" w:styleId="2ColumnHeading">
    <w:name w:val="2Column Heading"/>
    <w:basedOn w:val="BodyText"/>
    <w:qFormat/>
    <w:rsid w:val="001E005C"/>
    <w:pPr>
      <w:spacing w:after="60"/>
      <w:ind w:left="-2268"/>
    </w:pPr>
    <w:rPr>
      <w:b/>
    </w:rPr>
  </w:style>
  <w:style w:type="paragraph" w:customStyle="1" w:styleId="Heading1TOC">
    <w:name w:val="Heading1 TOC"/>
    <w:basedOn w:val="Normal"/>
    <w:qFormat/>
    <w:rsid w:val="001E005C"/>
    <w:pPr>
      <w:spacing w:before="240" w:after="120"/>
    </w:pPr>
    <w:rPr>
      <w:rFonts w:ascii="Times New Roman" w:hAnsi="Times New Roman"/>
      <w:b/>
      <w:sz w:val="32"/>
    </w:rPr>
  </w:style>
  <w:style w:type="paragraph" w:customStyle="1" w:styleId="Heading2TOC">
    <w:name w:val="Heading2 TOC"/>
    <w:basedOn w:val="Normal"/>
    <w:qFormat/>
    <w:rsid w:val="001E005C"/>
    <w:pPr>
      <w:spacing w:before="240" w:after="60"/>
    </w:pPr>
    <w:rPr>
      <w:rFonts w:ascii="Times New Roman" w:hAnsi="Times New Roman"/>
      <w:b/>
      <w:sz w:val="28"/>
    </w:rPr>
  </w:style>
  <w:style w:type="character" w:customStyle="1" w:styleId="Underline">
    <w:name w:val="Underline"/>
    <w:basedOn w:val="DefaultParagraphFont"/>
    <w:qFormat/>
    <w:rsid w:val="001E005C"/>
    <w:rPr>
      <w:u w:val="single"/>
    </w:rPr>
  </w:style>
  <w:style w:type="character" w:customStyle="1" w:styleId="BoldandItalics">
    <w:name w:val="Bold and Italics"/>
    <w:qFormat/>
    <w:rsid w:val="001E005C"/>
    <w:rPr>
      <w:b/>
      <w:i/>
      <w:u w:val="none"/>
    </w:rPr>
  </w:style>
  <w:style w:type="paragraph" w:styleId="BalloonText">
    <w:name w:val="Balloon Text"/>
    <w:basedOn w:val="Normal"/>
    <w:link w:val="BalloonTextChar"/>
    <w:rsid w:val="001E005C"/>
    <w:rPr>
      <w:rFonts w:ascii="Tahoma" w:hAnsi="Tahoma" w:cs="Tahoma"/>
      <w:sz w:val="16"/>
      <w:szCs w:val="16"/>
    </w:rPr>
  </w:style>
  <w:style w:type="character" w:customStyle="1" w:styleId="BalloonTextChar">
    <w:name w:val="Balloon Text Char"/>
    <w:basedOn w:val="DefaultParagraphFont"/>
    <w:link w:val="BalloonText"/>
    <w:rsid w:val="001E00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00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00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1410</Words>
  <Characters>9102</Characters>
  <Application>Microsoft Office Word</Application>
  <DocSecurity>0</DocSecurity>
  <Lines>372</Lines>
  <Paragraphs>216</Paragraphs>
  <ScaleCrop>false</ScaleCrop>
  <Company>Author-it Software Corporation Ltd.</Company>
  <LinksUpToDate>false</LinksUpToDate>
  <CharactersWithSpaces>10393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MSS405022A Design a process layout</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2012-05-26T18:49:00Z</dcterms:created>
  <dcterms:modified xsi:type="dcterms:W3CDTF">2012-05-26T18:49:00Z</dcterms:modified>
</cp:coreProperties>
</file>