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E1AA6" w:rsidP="005E1AA6">
      <w:pPr>
        <w:pStyle w:val="Title"/>
      </w:pPr>
      <w:r>
        <w:fldChar w:fldCharType="begin"/>
      </w:r>
      <w:r>
        <w:instrText xml:space="preserve"> TITLE   \* MERGEFORMAT </w:instrText>
      </w:r>
      <w:r>
        <w:fldChar w:fldCharType="separate"/>
      </w:r>
      <w:r>
        <w:t>MSS404082A Assist in implementing a proactive maintenance strategy</w:t>
      </w:r>
      <w:r>
        <w:fldChar w:fldCharType="end"/>
      </w:r>
    </w:p>
    <w:p w:rsidR="005E1AA6" w:rsidP="005E1AA6">
      <w:pPr>
        <w:pStyle w:val="Version"/>
        <w:sectPr w:rsidSect="003239C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239C2" w:rsidP="003239C2">
      <w:pPr>
        <w:pStyle w:val="SuperHeading"/>
      </w:pPr>
      <w:r w:rsidRPr="003239C2">
        <w:t>MSS404082A Assist in implementing a proactive maintenance strategy</w:t>
      </w:r>
    </w:p>
    <w:p w:rsidR="00000000" w:rsidRPr="003239C2" w:rsidP="003239C2">
      <w:pPr>
        <w:pStyle w:val="Heading1"/>
      </w:pPr>
      <w:bookmarkStart w:id="1" w:name="O_467207"/>
      <w:bookmarkEnd w:id="1"/>
      <w:r w:rsidRPr="003239C2">
        <w:t>Modification History</w:t>
      </w:r>
    </w:p>
    <w:p w:rsidR="00000000" w:rsidRPr="003239C2" w:rsidP="003239C2">
      <w:pPr>
        <w:pStyle w:val="BodyText"/>
      </w:pPr>
      <w:r w:rsidRPr="003239C2">
        <w:t>New unit, superseding MSACMT482A Assist in implementing a proactive maintenance strategy - Equivalent</w:t>
      </w:r>
    </w:p>
    <w:p w:rsidR="00000000" w:rsidRPr="003239C2" w:rsidP="003239C2">
      <w:pPr>
        <w:pStyle w:val="AllowPageBreak"/>
      </w:pPr>
    </w:p>
    <w:p w:rsidR="00000000" w:rsidRPr="003239C2" w:rsidP="003239C2">
      <w:pPr>
        <w:pStyle w:val="Heading1"/>
      </w:pPr>
      <w:bookmarkStart w:id="2" w:name="O_467208"/>
      <w:bookmarkEnd w:id="2"/>
      <w:r w:rsidRPr="003239C2">
        <w:t>Unit Descriptor</w:t>
      </w:r>
    </w:p>
    <w:p w:rsidR="005E1AA6" w:rsidP="003239C2">
      <w:pPr>
        <w:pStyle w:val="BodyText"/>
      </w:pPr>
      <w:r w:rsidRPr="003239C2">
        <w:t xml:space="preserve">This unit of </w:t>
      </w:r>
      <w:r w:rsidRPr="003239C2">
        <w:t>competency covers the skills and knowledge required by a maintenance person to assist in the implementation of a proactive maintenance strategy in an organisation. This unit includes the interaction between a maintenance worker and operators, as appropriat</w:t>
      </w:r>
      <w:r w:rsidRPr="003239C2">
        <w:t>e.</w:t>
      </w:r>
    </w:p>
    <w:p w:rsidR="005E1AA6" w:rsidP="003239C2">
      <w:pPr>
        <w:pStyle w:val="BodyText"/>
      </w:pPr>
    </w:p>
    <w:p w:rsidR="00000000" w:rsidRPr="003239C2" w:rsidP="003239C2">
      <w:pPr>
        <w:pStyle w:val="Heading1"/>
      </w:pPr>
      <w:bookmarkStart w:id="3" w:name="O_467209"/>
      <w:bookmarkEnd w:id="3"/>
      <w:r w:rsidRPr="003239C2">
        <w:t>Application of the Unit</w:t>
      </w:r>
    </w:p>
    <w:p w:rsidR="00000000" w:rsidRPr="003239C2" w:rsidP="003239C2">
      <w:pPr>
        <w:pStyle w:val="BodyText"/>
      </w:pPr>
      <w:r w:rsidRPr="003239C2">
        <w:t>This unit applies to a maintenance person in an organisation that has adopted or is implementing total preventative/productive maintenance (TPM), reliability centred maintenance (RCM) or similar strategies. As p</w:t>
      </w:r>
      <w:r w:rsidRPr="003239C2">
        <w:t>art of this, the maintenance person is expected to assist in the implementation by determining appropriate maintenance related schedules and also by providing maintenance related assistance to non-maintenance personnel, such as assisting production personn</w:t>
      </w:r>
      <w:r w:rsidRPr="003239C2">
        <w:t xml:space="preserve">el to fulfil their role in the TPM/RCM strategy. </w:t>
      </w:r>
    </w:p>
    <w:p w:rsidR="005E1AA6" w:rsidP="003239C2">
      <w:pPr>
        <w:pStyle w:val="BodyText"/>
      </w:pPr>
      <w:r w:rsidRPr="003239C2">
        <w:t>This unit requires the application of skills associated with problem solving and initiative and enterprise in order to analyse maintenance requirements. Communication, teamwork and planning and organising s</w:t>
      </w:r>
      <w:r w:rsidRPr="003239C2">
        <w:t>kills will be required to implement reliability strategies. This requires aspects of self-management to ensure improvement of own performance and learning.</w:t>
      </w:r>
    </w:p>
    <w:p w:rsidR="005E1AA6" w:rsidP="003239C2">
      <w:pPr>
        <w:pStyle w:val="BodyText"/>
      </w:pPr>
    </w:p>
    <w:p w:rsidR="00000000" w:rsidRPr="003239C2" w:rsidP="003239C2">
      <w:pPr>
        <w:pStyle w:val="Heading1"/>
      </w:pPr>
      <w:bookmarkStart w:id="4" w:name="O_467210"/>
      <w:bookmarkEnd w:id="4"/>
      <w:r w:rsidRPr="003239C2">
        <w:t>Licensing/Regulatory Information</w:t>
      </w:r>
    </w:p>
    <w:p w:rsidR="00000000" w:rsidRPr="003239C2" w:rsidP="003239C2">
      <w:pPr>
        <w:pStyle w:val="BodyText"/>
      </w:pPr>
      <w:r w:rsidRPr="003239C2">
        <w:t>Not applicable.</w:t>
      </w:r>
    </w:p>
    <w:p w:rsidR="00000000" w:rsidRPr="003239C2" w:rsidP="003239C2">
      <w:pPr>
        <w:pStyle w:val="AllowPageBreak"/>
      </w:pPr>
    </w:p>
    <w:p w:rsidR="00000000" w:rsidRPr="003239C2" w:rsidP="003239C2">
      <w:pPr>
        <w:pStyle w:val="Heading1"/>
      </w:pPr>
      <w:bookmarkStart w:id="5" w:name="O_467211"/>
      <w:bookmarkEnd w:id="5"/>
      <w:r w:rsidRPr="003239C2">
        <w:t>Pre-Requisites</w:t>
      </w:r>
    </w:p>
    <w:p w:rsidR="00000000" w:rsidRPr="003239C2" w:rsidP="003239C2">
      <w:pPr>
        <w:pStyle w:val="BodyText"/>
      </w:pPr>
      <w:r w:rsidRPr="003239C2">
        <w:t>Not applicable.</w:t>
      </w:r>
    </w:p>
    <w:p w:rsidR="00000000" w:rsidRPr="003239C2" w:rsidP="003239C2">
      <w:pPr>
        <w:pStyle w:val="AllowPageBreak"/>
      </w:pPr>
    </w:p>
    <w:p w:rsidR="00000000" w:rsidRPr="003239C2" w:rsidP="003239C2">
      <w:pPr>
        <w:pStyle w:val="Heading1"/>
      </w:pPr>
      <w:bookmarkStart w:id="6" w:name="O_467212"/>
      <w:bookmarkEnd w:id="6"/>
      <w:r w:rsidRPr="003239C2">
        <w:t>Employability Skills Information</w:t>
      </w:r>
    </w:p>
    <w:p w:rsidR="005E1AA6" w:rsidP="003239C2">
      <w:pPr>
        <w:pStyle w:val="BodyText"/>
      </w:pPr>
      <w:r w:rsidRPr="003239C2">
        <w:t>This unit contains employability skills.</w:t>
      </w:r>
    </w:p>
    <w:p w:rsidR="005E1AA6" w:rsidP="003239C2">
      <w:pPr>
        <w:pStyle w:val="BodyText"/>
      </w:pPr>
    </w:p>
    <w:p w:rsidR="00000000" w:rsidRPr="003239C2" w:rsidP="003239C2">
      <w:pPr>
        <w:pStyle w:val="Heading1"/>
      </w:pPr>
      <w:bookmarkStart w:id="7" w:name="O_467213"/>
      <w:bookmarkEnd w:id="7"/>
      <w:r w:rsidRPr="003239C2">
        <w:t>Elements and Performance Criteria Pre-Content</w:t>
      </w:r>
    </w:p>
    <w:tbl>
      <w:tblPr>
        <w:tblW w:w="0" w:type="auto"/>
        <w:tblLayout w:type="fixed"/>
        <w:tblCellMar>
          <w:left w:w="62" w:type="dxa"/>
          <w:right w:w="62" w:type="dxa"/>
        </w:tblCellMar>
        <w:tblLook w:val="0000"/>
      </w:tblPr>
      <w:tblGrid>
        <w:gridCol w:w="2640"/>
        <w:gridCol w:w="6380"/>
      </w:tblGrid>
      <w:tr w:rsidTr="003239C2">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3239C2">
            <w:pPr>
              <w:pStyle w:val="BodyText"/>
              <w:rPr>
                <w:lang w:val="en-NZ"/>
              </w:rPr>
            </w:pPr>
            <w:r w:rsidRPr="003239C2">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3239C2" w:rsidP="003239C2">
            <w:pPr>
              <w:pStyle w:val="BodyText"/>
            </w:pPr>
            <w:r w:rsidRPr="003239C2">
              <w:t>Performance criteria describe the performance needed to demonstrate achievement of the element. Where bold italicised text is used, further information is detailed in the required skills and knowledge section and the range statement. Assessment of performa</w:t>
            </w:r>
            <w:r w:rsidRPr="003239C2">
              <w:t>nce is to be consistent with the evidence guide.</w:t>
            </w:r>
          </w:p>
        </w:tc>
      </w:tr>
    </w:tbl>
    <w:p w:rsidR="00000000" w:rsidRPr="003239C2" w:rsidP="003239C2">
      <w:pPr>
        <w:pStyle w:val="BodyText"/>
      </w:pPr>
    </w:p>
    <w:p w:rsidR="00000000" w:rsidRPr="003239C2" w:rsidP="003239C2">
      <w:pPr>
        <w:pStyle w:val="AllowPageBreak"/>
      </w:pPr>
    </w:p>
    <w:p w:rsidR="00000000" w:rsidRPr="003239C2" w:rsidP="003239C2">
      <w:pPr>
        <w:pStyle w:val="Heading1"/>
      </w:pPr>
      <w:bookmarkStart w:id="8" w:name="O_467214"/>
      <w:bookmarkEnd w:id="8"/>
      <w:r w:rsidRPr="003239C2">
        <w:t>Elements and Performance Criteria</w:t>
      </w:r>
    </w:p>
    <w:p w:rsidR="00000000" w:rsidRPr="003239C2" w:rsidP="003239C2">
      <w:pPr>
        <w:pStyle w:val="BodyText"/>
      </w:pPr>
    </w:p>
    <w:tbl>
      <w:tblPr>
        <w:tblW w:w="0" w:type="auto"/>
        <w:tblLayout w:type="fixed"/>
        <w:tblCellMar>
          <w:left w:w="62" w:type="dxa"/>
          <w:right w:w="62" w:type="dxa"/>
        </w:tblCellMar>
        <w:tblLook w:val="0000"/>
      </w:tblPr>
      <w:tblGrid>
        <w:gridCol w:w="678"/>
        <w:gridCol w:w="1962"/>
        <w:gridCol w:w="770"/>
        <w:gridCol w:w="5610"/>
      </w:tblGrid>
      <w:tr w:rsidTr="003239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3239C2">
            <w:pPr>
              <w:pStyle w:val="BodyText"/>
              <w:rPr>
                <w:lang w:val="en-NZ"/>
              </w:rPr>
            </w:pPr>
            <w:r w:rsidRPr="003239C2">
              <w:t>1</w:t>
            </w:r>
          </w:p>
        </w:tc>
        <w:tc>
          <w:tcPr>
            <w:tcW w:w="1962" w:type="dxa"/>
            <w:vMerge w:val="restart"/>
            <w:tcBorders>
              <w:top w:val="nil"/>
              <w:left w:val="nil"/>
              <w:bottom w:val="nil"/>
              <w:right w:val="nil"/>
            </w:tcBorders>
            <w:tcMar>
              <w:top w:w="0" w:type="dxa"/>
              <w:left w:w="62" w:type="dxa"/>
              <w:bottom w:w="0" w:type="dxa"/>
              <w:right w:w="62" w:type="dxa"/>
            </w:tcMar>
          </w:tcPr>
          <w:p w:rsidR="00000000" w:rsidP="003239C2">
            <w:pPr>
              <w:pStyle w:val="BodyText"/>
              <w:rPr>
                <w:lang w:val="en-NZ"/>
              </w:rPr>
            </w:pPr>
            <w:r w:rsidRPr="003239C2">
              <w:t>Develop components of reliability strategy for a work/plant area</w:t>
            </w:r>
          </w:p>
        </w:tc>
        <w:tc>
          <w:tcPr>
            <w:tcW w:w="770" w:type="dxa"/>
            <w:tcBorders>
              <w:top w:val="nil"/>
              <w:left w:val="nil"/>
              <w:bottom w:val="nil"/>
              <w:right w:val="nil"/>
            </w:tcBorders>
            <w:tcMar>
              <w:top w:w="0" w:type="dxa"/>
              <w:left w:w="62" w:type="dxa"/>
              <w:bottom w:w="0" w:type="dxa"/>
              <w:right w:w="62" w:type="dxa"/>
            </w:tcMar>
          </w:tcPr>
          <w:p w:rsidR="00000000" w:rsidP="003239C2">
            <w:pPr>
              <w:pStyle w:val="BodyText"/>
              <w:rPr>
                <w:lang w:val="en-NZ"/>
              </w:rPr>
            </w:pPr>
            <w:r w:rsidRPr="003239C2">
              <w:t>1.1</w:t>
            </w:r>
          </w:p>
        </w:tc>
        <w:tc>
          <w:tcPr>
            <w:tcW w:w="5610" w:type="dxa"/>
            <w:tcBorders>
              <w:top w:val="nil"/>
              <w:left w:val="nil"/>
              <w:bottom w:val="nil"/>
              <w:right w:val="nil"/>
            </w:tcBorders>
            <w:tcMar>
              <w:top w:w="0" w:type="dxa"/>
              <w:left w:w="62" w:type="dxa"/>
              <w:bottom w:w="0" w:type="dxa"/>
              <w:right w:w="62" w:type="dxa"/>
            </w:tcMar>
          </w:tcPr>
          <w:p w:rsidR="00000000" w:rsidP="003239C2">
            <w:pPr>
              <w:pStyle w:val="BodyText"/>
              <w:rPr>
                <w:lang w:val="en-NZ"/>
              </w:rPr>
            </w:pPr>
            <w:r w:rsidRPr="003239C2">
              <w:t xml:space="preserve">Determine manufacturer's recommended inspection, servicing and related schedules for relevant plant </w:t>
            </w:r>
          </w:p>
        </w:tc>
      </w:tr>
      <w:tr w:rsidTr="003239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39C2">
            <w:pPr>
              <w:pStyle w:val="BodyText"/>
              <w:rPr>
                <w:lang w:val="en-NZ"/>
              </w:rPr>
            </w:pPr>
            <w:r w:rsidRPr="003239C2">
              <w:t>1.2</w:t>
            </w:r>
          </w:p>
        </w:tc>
        <w:tc>
          <w:tcPr>
            <w:tcW w:w="5610" w:type="dxa"/>
            <w:tcBorders>
              <w:top w:val="nil"/>
              <w:left w:val="nil"/>
              <w:bottom w:val="nil"/>
              <w:right w:val="nil"/>
            </w:tcBorders>
            <w:tcMar>
              <w:top w:w="0" w:type="dxa"/>
              <w:left w:w="62" w:type="dxa"/>
              <w:bottom w:w="0" w:type="dxa"/>
              <w:right w:w="62" w:type="dxa"/>
            </w:tcMar>
          </w:tcPr>
          <w:p w:rsidR="00000000" w:rsidP="003239C2">
            <w:pPr>
              <w:pStyle w:val="BodyText"/>
              <w:rPr>
                <w:lang w:val="en-NZ"/>
              </w:rPr>
            </w:pPr>
            <w:r w:rsidRPr="003239C2">
              <w:t>Consult with relevant people with regard to appropriate inspections, services and schedules</w:t>
            </w:r>
          </w:p>
        </w:tc>
      </w:tr>
      <w:tr w:rsidTr="003239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39C2">
            <w:pPr>
              <w:pStyle w:val="BodyText"/>
              <w:rPr>
                <w:lang w:val="en-NZ"/>
              </w:rPr>
            </w:pPr>
            <w:r w:rsidRPr="003239C2">
              <w:t>1.3</w:t>
            </w:r>
          </w:p>
        </w:tc>
        <w:tc>
          <w:tcPr>
            <w:tcW w:w="5610" w:type="dxa"/>
            <w:tcBorders>
              <w:top w:val="nil"/>
              <w:left w:val="nil"/>
              <w:bottom w:val="nil"/>
              <w:right w:val="nil"/>
            </w:tcBorders>
            <w:tcMar>
              <w:top w:w="0" w:type="dxa"/>
              <w:left w:w="62" w:type="dxa"/>
              <w:bottom w:w="0" w:type="dxa"/>
              <w:right w:w="62" w:type="dxa"/>
            </w:tcMar>
          </w:tcPr>
          <w:p w:rsidR="00000000" w:rsidP="003239C2">
            <w:pPr>
              <w:pStyle w:val="BodyText"/>
              <w:rPr>
                <w:lang w:val="en-NZ"/>
              </w:rPr>
            </w:pPr>
            <w:r w:rsidRPr="003239C2">
              <w:t>Discuss any conflicts with relevant people and se</w:t>
            </w:r>
            <w:r w:rsidRPr="003239C2">
              <w:t>ek resolution of conflicts</w:t>
            </w:r>
          </w:p>
        </w:tc>
      </w:tr>
      <w:tr w:rsidTr="003239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39C2">
            <w:pPr>
              <w:pStyle w:val="BodyText"/>
              <w:rPr>
                <w:lang w:val="en-NZ"/>
              </w:rPr>
            </w:pPr>
            <w:r w:rsidRPr="003239C2">
              <w:t>1.4</w:t>
            </w:r>
          </w:p>
        </w:tc>
        <w:tc>
          <w:tcPr>
            <w:tcW w:w="5610" w:type="dxa"/>
            <w:tcBorders>
              <w:top w:val="nil"/>
              <w:left w:val="nil"/>
              <w:bottom w:val="nil"/>
              <w:right w:val="nil"/>
            </w:tcBorders>
            <w:tcMar>
              <w:top w:w="0" w:type="dxa"/>
              <w:left w:w="62" w:type="dxa"/>
              <w:bottom w:w="0" w:type="dxa"/>
              <w:right w:w="62" w:type="dxa"/>
            </w:tcMar>
          </w:tcPr>
          <w:p w:rsidR="00000000" w:rsidP="003239C2">
            <w:pPr>
              <w:pStyle w:val="BodyText"/>
              <w:rPr>
                <w:lang w:val="en-NZ"/>
              </w:rPr>
            </w:pPr>
            <w:r w:rsidRPr="003239C2">
              <w:t>Develop schedules in liaison with relevant people</w:t>
            </w:r>
          </w:p>
        </w:tc>
      </w:tr>
      <w:tr w:rsidTr="003239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39C2">
            <w:pPr>
              <w:pStyle w:val="BodyText"/>
              <w:rPr>
                <w:lang w:val="en-NZ"/>
              </w:rPr>
            </w:pPr>
            <w:r w:rsidRPr="003239C2">
              <w:t>1.5</w:t>
            </w:r>
          </w:p>
        </w:tc>
        <w:tc>
          <w:tcPr>
            <w:tcW w:w="5610" w:type="dxa"/>
            <w:tcBorders>
              <w:top w:val="nil"/>
              <w:left w:val="nil"/>
              <w:bottom w:val="nil"/>
              <w:right w:val="nil"/>
            </w:tcBorders>
            <w:tcMar>
              <w:top w:w="0" w:type="dxa"/>
              <w:left w:w="62" w:type="dxa"/>
              <w:bottom w:w="0" w:type="dxa"/>
              <w:right w:w="62" w:type="dxa"/>
            </w:tcMar>
          </w:tcPr>
          <w:p w:rsidR="00000000" w:rsidRPr="003239C2" w:rsidP="003239C2">
            <w:pPr>
              <w:pStyle w:val="BodyText"/>
            </w:pPr>
            <w:r w:rsidRPr="003239C2">
              <w:t>Identify inspections and servicing which may be done by operations personnel in liaison with relevant stakeholders</w:t>
            </w:r>
          </w:p>
        </w:tc>
      </w:tr>
    </w:tbl>
    <w:p w:rsidR="00000000" w:rsidRPr="003239C2" w:rsidP="003239C2">
      <w:pPr>
        <w:pStyle w:val="BodyText"/>
      </w:pPr>
    </w:p>
    <w:tbl>
      <w:tblPr>
        <w:tblW w:w="0" w:type="auto"/>
        <w:tblLayout w:type="fixed"/>
        <w:tblCellMar>
          <w:left w:w="62" w:type="dxa"/>
          <w:right w:w="62" w:type="dxa"/>
        </w:tblCellMar>
        <w:tblLook w:val="0000"/>
      </w:tblPr>
      <w:tblGrid>
        <w:gridCol w:w="678"/>
        <w:gridCol w:w="1962"/>
        <w:gridCol w:w="770"/>
        <w:gridCol w:w="5610"/>
      </w:tblGrid>
      <w:tr w:rsidTr="003239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3239C2">
            <w:pPr>
              <w:pStyle w:val="BodyText"/>
              <w:rPr>
                <w:lang w:val="en-NZ"/>
              </w:rPr>
            </w:pPr>
            <w:r w:rsidRPr="003239C2">
              <w:t>2</w:t>
            </w:r>
          </w:p>
        </w:tc>
        <w:tc>
          <w:tcPr>
            <w:tcW w:w="1962" w:type="dxa"/>
            <w:vMerge w:val="restart"/>
            <w:tcBorders>
              <w:top w:val="nil"/>
              <w:left w:val="nil"/>
              <w:bottom w:val="nil"/>
              <w:right w:val="nil"/>
            </w:tcBorders>
            <w:tcMar>
              <w:top w:w="0" w:type="dxa"/>
              <w:left w:w="62" w:type="dxa"/>
              <w:bottom w:w="0" w:type="dxa"/>
              <w:right w:w="62" w:type="dxa"/>
            </w:tcMar>
          </w:tcPr>
          <w:p w:rsidR="00000000" w:rsidP="003239C2">
            <w:pPr>
              <w:pStyle w:val="BodyText"/>
              <w:rPr>
                <w:lang w:val="en-NZ"/>
              </w:rPr>
            </w:pPr>
            <w:r w:rsidRPr="003239C2">
              <w:t>Assess current practice for maintenance implications</w:t>
            </w:r>
          </w:p>
        </w:tc>
        <w:tc>
          <w:tcPr>
            <w:tcW w:w="770" w:type="dxa"/>
            <w:tcBorders>
              <w:top w:val="nil"/>
              <w:left w:val="nil"/>
              <w:bottom w:val="nil"/>
              <w:right w:val="nil"/>
            </w:tcBorders>
            <w:tcMar>
              <w:top w:w="0" w:type="dxa"/>
              <w:left w:w="62" w:type="dxa"/>
              <w:bottom w:w="0" w:type="dxa"/>
              <w:right w:w="62" w:type="dxa"/>
            </w:tcMar>
          </w:tcPr>
          <w:p w:rsidR="00000000" w:rsidP="003239C2">
            <w:pPr>
              <w:pStyle w:val="BodyText"/>
              <w:rPr>
                <w:lang w:val="en-NZ"/>
              </w:rPr>
            </w:pPr>
            <w:r w:rsidRPr="003239C2">
              <w:t>2.1</w:t>
            </w:r>
          </w:p>
        </w:tc>
        <w:tc>
          <w:tcPr>
            <w:tcW w:w="5610" w:type="dxa"/>
            <w:tcBorders>
              <w:top w:val="nil"/>
              <w:left w:val="nil"/>
              <w:bottom w:val="nil"/>
              <w:right w:val="nil"/>
            </w:tcBorders>
            <w:tcMar>
              <w:top w:w="0" w:type="dxa"/>
              <w:left w:w="62" w:type="dxa"/>
              <w:bottom w:w="0" w:type="dxa"/>
              <w:right w:w="62" w:type="dxa"/>
            </w:tcMar>
          </w:tcPr>
          <w:p w:rsidR="00000000" w:rsidP="003239C2">
            <w:pPr>
              <w:pStyle w:val="BodyText"/>
              <w:rPr>
                <w:lang w:val="en-NZ"/>
              </w:rPr>
            </w:pPr>
            <w:r w:rsidRPr="003239C2">
              <w:t>Identify the overall equipment effectiveness (OEE) or other organisation targets for equipment/plant</w:t>
            </w:r>
          </w:p>
        </w:tc>
      </w:tr>
      <w:tr w:rsidTr="003239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39C2">
            <w:pPr>
              <w:pStyle w:val="BodyText"/>
              <w:rPr>
                <w:lang w:val="en-NZ"/>
              </w:rPr>
            </w:pPr>
            <w:r w:rsidRPr="003239C2">
              <w:t>2.2</w:t>
            </w:r>
          </w:p>
        </w:tc>
        <w:tc>
          <w:tcPr>
            <w:tcW w:w="5610" w:type="dxa"/>
            <w:tcBorders>
              <w:top w:val="nil"/>
              <w:left w:val="nil"/>
              <w:bottom w:val="nil"/>
              <w:right w:val="nil"/>
            </w:tcBorders>
            <w:tcMar>
              <w:top w:w="0" w:type="dxa"/>
              <w:left w:w="62" w:type="dxa"/>
              <w:bottom w:w="0" w:type="dxa"/>
              <w:right w:w="62" w:type="dxa"/>
            </w:tcMar>
          </w:tcPr>
          <w:p w:rsidR="00000000" w:rsidP="003239C2">
            <w:pPr>
              <w:pStyle w:val="BodyText"/>
              <w:rPr>
                <w:lang w:val="en-NZ"/>
              </w:rPr>
            </w:pPr>
            <w:r w:rsidRPr="003239C2">
              <w:t xml:space="preserve">Evaluate procedures for plant/equipment reliability implications </w:t>
            </w:r>
          </w:p>
        </w:tc>
      </w:tr>
      <w:tr w:rsidTr="003239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39C2">
            <w:pPr>
              <w:pStyle w:val="BodyText"/>
              <w:rPr>
                <w:lang w:val="en-NZ"/>
              </w:rPr>
            </w:pPr>
            <w:r w:rsidRPr="003239C2">
              <w:t>2.3</w:t>
            </w:r>
          </w:p>
        </w:tc>
        <w:tc>
          <w:tcPr>
            <w:tcW w:w="5610" w:type="dxa"/>
            <w:tcBorders>
              <w:top w:val="nil"/>
              <w:left w:val="nil"/>
              <w:bottom w:val="nil"/>
              <w:right w:val="nil"/>
            </w:tcBorders>
            <w:tcMar>
              <w:top w:w="0" w:type="dxa"/>
              <w:left w:w="62" w:type="dxa"/>
              <w:bottom w:w="0" w:type="dxa"/>
              <w:right w:w="62" w:type="dxa"/>
            </w:tcMar>
          </w:tcPr>
          <w:p w:rsidR="00000000" w:rsidP="003239C2">
            <w:pPr>
              <w:pStyle w:val="BodyText"/>
              <w:rPr>
                <w:lang w:val="en-NZ"/>
              </w:rPr>
            </w:pPr>
            <w:r w:rsidRPr="003239C2">
              <w:t>Discuss current practices with relevant people to determine any plant/equipment reliability implications</w:t>
            </w:r>
          </w:p>
        </w:tc>
      </w:tr>
      <w:tr w:rsidTr="003239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39C2">
            <w:pPr>
              <w:pStyle w:val="BodyText"/>
              <w:rPr>
                <w:lang w:val="en-NZ"/>
              </w:rPr>
            </w:pPr>
            <w:r w:rsidRPr="003239C2">
              <w:t>2.4</w:t>
            </w:r>
          </w:p>
        </w:tc>
        <w:tc>
          <w:tcPr>
            <w:tcW w:w="5610" w:type="dxa"/>
            <w:tcBorders>
              <w:top w:val="nil"/>
              <w:left w:val="nil"/>
              <w:bottom w:val="nil"/>
              <w:right w:val="nil"/>
            </w:tcBorders>
            <w:tcMar>
              <w:top w:w="0" w:type="dxa"/>
              <w:left w:w="62" w:type="dxa"/>
              <w:bottom w:w="0" w:type="dxa"/>
              <w:right w:w="62" w:type="dxa"/>
            </w:tcMar>
          </w:tcPr>
          <w:p w:rsidR="00000000" w:rsidRPr="003239C2" w:rsidP="003239C2">
            <w:pPr>
              <w:pStyle w:val="BodyText"/>
            </w:pPr>
            <w:r w:rsidRPr="003239C2">
              <w:t>Recommend changes to improve plant/equipment reliability in accordance with procedures</w:t>
            </w:r>
          </w:p>
        </w:tc>
      </w:tr>
    </w:tbl>
    <w:p w:rsidR="00000000" w:rsidRPr="003239C2" w:rsidP="003239C2">
      <w:pPr>
        <w:pStyle w:val="BodyText"/>
      </w:pPr>
    </w:p>
    <w:tbl>
      <w:tblPr>
        <w:tblW w:w="0" w:type="auto"/>
        <w:tblLayout w:type="fixed"/>
        <w:tblCellMar>
          <w:left w:w="62" w:type="dxa"/>
          <w:right w:w="62" w:type="dxa"/>
        </w:tblCellMar>
        <w:tblLook w:val="0000"/>
      </w:tblPr>
      <w:tblGrid>
        <w:gridCol w:w="678"/>
        <w:gridCol w:w="1962"/>
        <w:gridCol w:w="770"/>
        <w:gridCol w:w="5610"/>
      </w:tblGrid>
      <w:tr w:rsidTr="003239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3239C2">
            <w:pPr>
              <w:pStyle w:val="BodyText"/>
              <w:rPr>
                <w:lang w:val="en-NZ"/>
              </w:rPr>
            </w:pPr>
            <w:r w:rsidRPr="003239C2">
              <w:t>3</w:t>
            </w:r>
          </w:p>
        </w:tc>
        <w:tc>
          <w:tcPr>
            <w:tcW w:w="1962" w:type="dxa"/>
            <w:vMerge w:val="restart"/>
            <w:tcBorders>
              <w:top w:val="nil"/>
              <w:left w:val="nil"/>
              <w:bottom w:val="nil"/>
              <w:right w:val="nil"/>
            </w:tcBorders>
            <w:tcMar>
              <w:top w:w="0" w:type="dxa"/>
              <w:left w:w="62" w:type="dxa"/>
              <w:bottom w:w="0" w:type="dxa"/>
              <w:right w:w="62" w:type="dxa"/>
            </w:tcMar>
          </w:tcPr>
          <w:p w:rsidR="00000000" w:rsidP="003239C2">
            <w:pPr>
              <w:pStyle w:val="BodyText"/>
              <w:rPr>
                <w:lang w:val="en-NZ"/>
              </w:rPr>
            </w:pPr>
            <w:r w:rsidRPr="003239C2">
              <w:t>Assist in implementing the reliability strategy</w:t>
            </w:r>
          </w:p>
        </w:tc>
        <w:tc>
          <w:tcPr>
            <w:tcW w:w="770" w:type="dxa"/>
            <w:tcBorders>
              <w:top w:val="nil"/>
              <w:left w:val="nil"/>
              <w:bottom w:val="nil"/>
              <w:right w:val="nil"/>
            </w:tcBorders>
            <w:tcMar>
              <w:top w:w="0" w:type="dxa"/>
              <w:left w:w="62" w:type="dxa"/>
              <w:bottom w:w="0" w:type="dxa"/>
              <w:right w:w="62" w:type="dxa"/>
            </w:tcMar>
          </w:tcPr>
          <w:p w:rsidR="00000000" w:rsidP="003239C2">
            <w:pPr>
              <w:pStyle w:val="BodyText"/>
              <w:rPr>
                <w:lang w:val="en-NZ"/>
              </w:rPr>
            </w:pPr>
            <w:r w:rsidRPr="003239C2">
              <w:t>3.1</w:t>
            </w:r>
          </w:p>
        </w:tc>
        <w:tc>
          <w:tcPr>
            <w:tcW w:w="5610" w:type="dxa"/>
            <w:tcBorders>
              <w:top w:val="nil"/>
              <w:left w:val="nil"/>
              <w:bottom w:val="nil"/>
              <w:right w:val="nil"/>
            </w:tcBorders>
            <w:tcMar>
              <w:top w:w="0" w:type="dxa"/>
              <w:left w:w="62" w:type="dxa"/>
              <w:bottom w:w="0" w:type="dxa"/>
              <w:right w:w="62" w:type="dxa"/>
            </w:tcMar>
          </w:tcPr>
          <w:p w:rsidR="00000000" w:rsidP="003239C2">
            <w:pPr>
              <w:pStyle w:val="BodyText"/>
              <w:rPr>
                <w:lang w:val="en-NZ"/>
              </w:rPr>
            </w:pPr>
            <w:r w:rsidRPr="003239C2">
              <w:t>A</w:t>
            </w:r>
            <w:r w:rsidRPr="003239C2">
              <w:t>rrange for schedules to be incorporated in relevant work plans</w:t>
            </w:r>
          </w:p>
        </w:tc>
      </w:tr>
      <w:tr w:rsidTr="003239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39C2">
            <w:pPr>
              <w:pStyle w:val="BodyText"/>
              <w:rPr>
                <w:lang w:val="en-NZ"/>
              </w:rPr>
            </w:pPr>
            <w:r w:rsidRPr="003239C2">
              <w:t>3.2</w:t>
            </w:r>
          </w:p>
        </w:tc>
        <w:tc>
          <w:tcPr>
            <w:tcW w:w="5610" w:type="dxa"/>
            <w:tcBorders>
              <w:top w:val="nil"/>
              <w:left w:val="nil"/>
              <w:bottom w:val="nil"/>
              <w:right w:val="nil"/>
            </w:tcBorders>
            <w:tcMar>
              <w:top w:w="0" w:type="dxa"/>
              <w:left w:w="62" w:type="dxa"/>
              <w:bottom w:w="0" w:type="dxa"/>
              <w:right w:w="62" w:type="dxa"/>
            </w:tcMar>
          </w:tcPr>
          <w:p w:rsidR="00000000" w:rsidP="003239C2">
            <w:pPr>
              <w:pStyle w:val="BodyText"/>
              <w:rPr>
                <w:lang w:val="en-NZ"/>
              </w:rPr>
            </w:pPr>
            <w:r w:rsidRPr="003239C2">
              <w:t>Identify training needs in discussion with relevant personnel</w:t>
            </w:r>
          </w:p>
        </w:tc>
      </w:tr>
      <w:tr w:rsidTr="003239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39C2">
            <w:pPr>
              <w:pStyle w:val="BodyText"/>
              <w:rPr>
                <w:lang w:val="en-NZ"/>
              </w:rPr>
            </w:pPr>
            <w:r w:rsidRPr="003239C2">
              <w:t>3.3</w:t>
            </w:r>
          </w:p>
        </w:tc>
        <w:tc>
          <w:tcPr>
            <w:tcW w:w="5610" w:type="dxa"/>
            <w:tcBorders>
              <w:top w:val="nil"/>
              <w:left w:val="nil"/>
              <w:bottom w:val="nil"/>
              <w:right w:val="nil"/>
            </w:tcBorders>
            <w:tcMar>
              <w:top w:w="0" w:type="dxa"/>
              <w:left w:w="62" w:type="dxa"/>
              <w:bottom w:w="0" w:type="dxa"/>
              <w:right w:w="62" w:type="dxa"/>
            </w:tcMar>
          </w:tcPr>
          <w:p w:rsidR="00000000" w:rsidP="003239C2">
            <w:pPr>
              <w:pStyle w:val="BodyText"/>
              <w:rPr>
                <w:lang w:val="en-NZ"/>
              </w:rPr>
            </w:pPr>
            <w:r w:rsidRPr="003239C2">
              <w:t>Assist personnel to develop required skills for inspections/servicing within scope of authority</w:t>
            </w:r>
          </w:p>
        </w:tc>
      </w:tr>
      <w:tr w:rsidTr="003239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39C2">
            <w:pPr>
              <w:pStyle w:val="BodyText"/>
              <w:rPr>
                <w:lang w:val="en-NZ"/>
              </w:rPr>
            </w:pPr>
            <w:r w:rsidRPr="003239C2">
              <w:t>3.4</w:t>
            </w:r>
          </w:p>
        </w:tc>
        <w:tc>
          <w:tcPr>
            <w:tcW w:w="5610" w:type="dxa"/>
            <w:tcBorders>
              <w:top w:val="nil"/>
              <w:left w:val="nil"/>
              <w:bottom w:val="nil"/>
              <w:right w:val="nil"/>
            </w:tcBorders>
            <w:tcMar>
              <w:top w:w="0" w:type="dxa"/>
              <w:left w:w="62" w:type="dxa"/>
              <w:bottom w:w="0" w:type="dxa"/>
              <w:right w:w="62" w:type="dxa"/>
            </w:tcMar>
          </w:tcPr>
          <w:p w:rsidR="00000000" w:rsidP="003239C2">
            <w:pPr>
              <w:pStyle w:val="BodyText"/>
              <w:rPr>
                <w:lang w:val="en-NZ"/>
              </w:rPr>
            </w:pPr>
            <w:r w:rsidRPr="003239C2">
              <w:t>Collect data/information as required by own work plan</w:t>
            </w:r>
          </w:p>
        </w:tc>
      </w:tr>
      <w:tr w:rsidTr="003239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39C2">
            <w:pPr>
              <w:pStyle w:val="BodyText"/>
              <w:rPr>
                <w:lang w:val="en-NZ"/>
              </w:rPr>
            </w:pPr>
            <w:r w:rsidRPr="003239C2">
              <w:t>3.5</w:t>
            </w:r>
          </w:p>
        </w:tc>
        <w:tc>
          <w:tcPr>
            <w:tcW w:w="5610" w:type="dxa"/>
            <w:tcBorders>
              <w:top w:val="nil"/>
              <w:left w:val="nil"/>
              <w:bottom w:val="nil"/>
              <w:right w:val="nil"/>
            </w:tcBorders>
            <w:tcMar>
              <w:top w:w="0" w:type="dxa"/>
              <w:left w:w="62" w:type="dxa"/>
              <w:bottom w:w="0" w:type="dxa"/>
              <w:right w:w="62" w:type="dxa"/>
            </w:tcMar>
          </w:tcPr>
          <w:p w:rsidR="00000000" w:rsidP="003239C2">
            <w:pPr>
              <w:pStyle w:val="BodyText"/>
              <w:rPr>
                <w:lang w:val="en-NZ"/>
              </w:rPr>
            </w:pPr>
            <w:r w:rsidRPr="003239C2">
              <w:t>Compare data/information with performance indicators</w:t>
            </w:r>
          </w:p>
        </w:tc>
      </w:tr>
      <w:tr w:rsidTr="003239C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39C2">
            <w:pPr>
              <w:pStyle w:val="BodyText"/>
              <w:rPr>
                <w:lang w:val="en-NZ"/>
              </w:rPr>
            </w:pPr>
            <w:r w:rsidRPr="003239C2">
              <w:t>3.6</w:t>
            </w:r>
          </w:p>
        </w:tc>
        <w:tc>
          <w:tcPr>
            <w:tcW w:w="5610" w:type="dxa"/>
            <w:tcBorders>
              <w:top w:val="nil"/>
              <w:left w:val="nil"/>
              <w:bottom w:val="nil"/>
              <w:right w:val="nil"/>
            </w:tcBorders>
            <w:tcMar>
              <w:top w:w="0" w:type="dxa"/>
              <w:left w:w="62" w:type="dxa"/>
              <w:bottom w:w="0" w:type="dxa"/>
              <w:right w:w="62" w:type="dxa"/>
            </w:tcMar>
          </w:tcPr>
          <w:p w:rsidR="00000000" w:rsidRPr="003239C2" w:rsidP="003239C2">
            <w:pPr>
              <w:pStyle w:val="BodyText"/>
            </w:pPr>
            <w:r w:rsidRPr="003239C2">
              <w:t>Recommend improvements to reliability strategy in accordance with procedures</w:t>
            </w:r>
          </w:p>
        </w:tc>
      </w:tr>
    </w:tbl>
    <w:p w:rsidR="005E1AA6" w:rsidP="003239C2">
      <w:pPr>
        <w:pStyle w:val="BodyText"/>
      </w:pPr>
    </w:p>
    <w:p w:rsidR="005E1AA6" w:rsidP="003239C2">
      <w:pPr>
        <w:pStyle w:val="BodyText"/>
      </w:pPr>
    </w:p>
    <w:p w:rsidR="00000000" w:rsidRPr="003239C2" w:rsidP="003239C2">
      <w:pPr>
        <w:pStyle w:val="Heading1"/>
      </w:pPr>
      <w:bookmarkStart w:id="9" w:name="O_467215"/>
      <w:bookmarkEnd w:id="9"/>
      <w:r w:rsidRPr="003239C2">
        <w:t>Required Skills and Knowledge</w:t>
      </w:r>
    </w:p>
    <w:tbl>
      <w:tblPr>
        <w:tblW w:w="9462" w:type="dxa"/>
        <w:tblLayout w:type="fixed"/>
        <w:tblCellMar>
          <w:left w:w="62" w:type="dxa"/>
          <w:right w:w="62" w:type="dxa"/>
        </w:tblCellMar>
        <w:tblLook w:val="0000"/>
      </w:tblPr>
      <w:tblGrid>
        <w:gridCol w:w="9462"/>
      </w:tblGrid>
      <w:tr w:rsidTr="003239C2">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3239C2">
            <w:pPr>
              <w:pStyle w:val="BodyText"/>
              <w:rPr>
                <w:lang w:val="en-NZ"/>
              </w:rPr>
            </w:pPr>
            <w:r w:rsidRPr="003239C2">
              <w:t>This section describes the skills and knowledge required for this unit.</w:t>
            </w:r>
          </w:p>
        </w:tc>
      </w:tr>
      <w:tr w:rsidTr="003239C2">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3239C2">
            <w:pPr>
              <w:pStyle w:val="BodyText"/>
              <w:rPr>
                <w:lang w:val="en-NZ"/>
              </w:rPr>
            </w:pPr>
            <w:r w:rsidRPr="003239C2">
              <w:rPr>
                <w:rStyle w:val="SpecialBold"/>
              </w:rPr>
              <w:t>Required skills</w:t>
            </w:r>
          </w:p>
        </w:tc>
      </w:tr>
      <w:tr w:rsidTr="003239C2">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3239C2" w:rsidP="003239C2">
            <w:pPr>
              <w:pStyle w:val="BodyText"/>
            </w:pPr>
            <w:r w:rsidRPr="003239C2">
              <w:t>Required skills include:</w:t>
            </w:r>
          </w:p>
          <w:p w:rsidR="00000000" w:rsidRPr="003239C2" w:rsidP="003239C2">
            <w:pPr>
              <w:pStyle w:val="ListBullet"/>
            </w:pPr>
            <w:r w:rsidRPr="003239C2">
              <w:t xml:space="preserve">explaining concepts and processes of chosen proactive maintenance strategy used </w:t>
            </w:r>
            <w:r w:rsidRPr="003239C2">
              <w:t>by the organisation and distinguishing from traditional (breakdown) maintenance strategies</w:t>
            </w:r>
          </w:p>
          <w:p w:rsidR="00000000" w:rsidRPr="003239C2" w:rsidP="003239C2">
            <w:pPr>
              <w:pStyle w:val="ListBullet"/>
            </w:pPr>
            <w:r w:rsidRPr="003239C2">
              <w:t xml:space="preserve">communicating with operators, other maintenance personnel, team leaders and technical experts in a variety of situations and using different media </w:t>
            </w:r>
          </w:p>
          <w:p w:rsidR="00000000" w:rsidRPr="003239C2" w:rsidP="003239C2">
            <w:pPr>
              <w:pStyle w:val="ListBullet"/>
            </w:pPr>
            <w:r w:rsidRPr="003239C2">
              <w:t>adapting personal</w:t>
            </w:r>
            <w:r w:rsidRPr="003239C2">
              <w:t xml:space="preserve"> communication strategy to different levels of operator and team leader literacy and numeracy </w:t>
            </w:r>
          </w:p>
          <w:p w:rsidR="00000000" w:rsidRPr="003239C2" w:rsidP="003239C2">
            <w:pPr>
              <w:pStyle w:val="ListBullet"/>
            </w:pPr>
            <w:r w:rsidRPr="003239C2">
              <w:t>working in formal and ad-hoc teams to implement proactive maintenance</w:t>
            </w:r>
          </w:p>
          <w:p w:rsidR="00000000" w:rsidRPr="003239C2" w:rsidP="003239C2">
            <w:pPr>
              <w:pStyle w:val="ListBullet"/>
            </w:pPr>
            <w:r w:rsidRPr="003239C2">
              <w:t>solving problems to root cause</w:t>
            </w:r>
          </w:p>
          <w:p w:rsidR="00000000" w:rsidRPr="003239C2" w:rsidP="003239C2">
            <w:pPr>
              <w:pStyle w:val="ListBullet"/>
            </w:pPr>
            <w:r w:rsidRPr="003239C2">
              <w:t>planning proactive maintenance tasks to fit in with maintena</w:t>
            </w:r>
            <w:r w:rsidRPr="003239C2">
              <w:t>nce and production schedules and the needs of other staff</w:t>
            </w:r>
          </w:p>
          <w:p w:rsidR="00000000" w:rsidRPr="003239C2" w:rsidP="003239C2">
            <w:pPr>
              <w:pStyle w:val="ListBullet"/>
            </w:pPr>
            <w:r w:rsidRPr="003239C2">
              <w:t>assessing the ability of operations personnel with regard to inspections and servicing of equipment</w:t>
            </w:r>
          </w:p>
          <w:p w:rsidR="00000000" w:rsidP="003239C2">
            <w:pPr>
              <w:pStyle w:val="ListBullet"/>
              <w:rPr>
                <w:lang w:val="en-NZ"/>
              </w:rPr>
            </w:pPr>
            <w:r w:rsidRPr="003239C2">
              <w:t>reading and interpreting charts and diagrams, manufacturer manuals and specifications and operatin</w:t>
            </w:r>
            <w:r w:rsidRPr="003239C2">
              <w:t>g procedures</w:t>
            </w:r>
          </w:p>
        </w:tc>
      </w:tr>
      <w:tr w:rsidTr="003239C2">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3239C2">
            <w:pPr>
              <w:pStyle w:val="BodyText"/>
              <w:rPr>
                <w:lang w:val="en-NZ"/>
              </w:rPr>
            </w:pPr>
          </w:p>
        </w:tc>
      </w:tr>
      <w:tr w:rsidTr="003239C2">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3239C2">
            <w:pPr>
              <w:pStyle w:val="BodyText"/>
              <w:rPr>
                <w:lang w:val="en-NZ"/>
              </w:rPr>
            </w:pPr>
            <w:r w:rsidRPr="003239C2">
              <w:rPr>
                <w:rStyle w:val="SpecialBold"/>
              </w:rPr>
              <w:t>Required knowledge</w:t>
            </w:r>
          </w:p>
        </w:tc>
      </w:tr>
      <w:tr w:rsidTr="003239C2">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3239C2" w:rsidP="003239C2">
            <w:pPr>
              <w:pStyle w:val="BodyText"/>
            </w:pPr>
            <w:r w:rsidRPr="003239C2">
              <w:t>Required knowledge includes:</w:t>
            </w:r>
          </w:p>
          <w:p w:rsidR="00000000" w:rsidRPr="003239C2" w:rsidP="003239C2">
            <w:pPr>
              <w:pStyle w:val="ListBullet"/>
            </w:pPr>
            <w:r w:rsidRPr="003239C2">
              <w:t>requirements of the proactive maintenance strategy being implemented</w:t>
            </w:r>
          </w:p>
          <w:p w:rsidR="00000000" w:rsidRPr="003239C2" w:rsidP="003239C2">
            <w:pPr>
              <w:pStyle w:val="ListBullet"/>
            </w:pPr>
            <w:r w:rsidRPr="003239C2">
              <w:t>operating principles and procedures for equipment/plant subject to proactive maintenance strategy</w:t>
            </w:r>
          </w:p>
          <w:p w:rsidR="00000000" w:rsidRPr="003239C2" w:rsidP="003239C2">
            <w:pPr>
              <w:pStyle w:val="ListBullet"/>
            </w:pPr>
            <w:r w:rsidRPr="003239C2">
              <w:t>purpose and processes for data collection in proactive maintenance strategies</w:t>
            </w:r>
          </w:p>
          <w:p w:rsidR="00000000" w:rsidRPr="003239C2" w:rsidP="003239C2">
            <w:pPr>
              <w:pStyle w:val="ListBullet"/>
            </w:pPr>
            <w:r w:rsidRPr="003239C2">
              <w:t>procedures relevant to own job and organisation implementation of proactive maintenance</w:t>
            </w:r>
          </w:p>
          <w:p w:rsidR="00000000" w:rsidRPr="003239C2" w:rsidP="003239C2">
            <w:pPr>
              <w:pStyle w:val="ListBullet"/>
            </w:pPr>
            <w:r w:rsidRPr="003239C2">
              <w:t>methods of making/recommending improvements</w:t>
            </w:r>
          </w:p>
        </w:tc>
      </w:tr>
    </w:tbl>
    <w:p w:rsidR="005E1AA6" w:rsidP="003239C2">
      <w:pPr>
        <w:pStyle w:val="BodyText"/>
      </w:pPr>
    </w:p>
    <w:p w:rsidR="005E1AA6" w:rsidP="003239C2">
      <w:pPr>
        <w:pStyle w:val="BodyText"/>
      </w:pPr>
    </w:p>
    <w:p w:rsidR="00000000" w:rsidRPr="003239C2" w:rsidP="003239C2">
      <w:pPr>
        <w:pStyle w:val="Heading1"/>
      </w:pPr>
      <w:bookmarkStart w:id="10" w:name="O_467216"/>
      <w:bookmarkEnd w:id="10"/>
      <w:r w:rsidRPr="003239C2">
        <w:t>Evidence Guide</w:t>
      </w:r>
    </w:p>
    <w:tbl>
      <w:tblPr>
        <w:tblW w:w="9462" w:type="dxa"/>
        <w:tblLayout w:type="fixed"/>
        <w:tblCellMar>
          <w:left w:w="62" w:type="dxa"/>
          <w:right w:w="62" w:type="dxa"/>
        </w:tblCellMar>
        <w:tblLook w:val="0000"/>
      </w:tblPr>
      <w:tblGrid>
        <w:gridCol w:w="3800"/>
        <w:gridCol w:w="5662"/>
      </w:tblGrid>
      <w:tr w:rsidTr="003239C2">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3239C2">
            <w:pPr>
              <w:pStyle w:val="BodyText"/>
              <w:rPr>
                <w:lang w:val="en-NZ"/>
              </w:rPr>
            </w:pPr>
            <w:r w:rsidRPr="003239C2">
              <w:t>The evidenc</w:t>
            </w:r>
            <w:r w:rsidRPr="003239C2">
              <w:t>e guide provides advice on assessment and must be read in conjunction with the performance criteria, required skills and knowledge, range statement and the Assessment Guidelines for the Training Package.</w:t>
            </w:r>
          </w:p>
        </w:tc>
      </w:tr>
      <w:tr w:rsidTr="003239C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39C2">
            <w:pPr>
              <w:pStyle w:val="BodyText"/>
              <w:rPr>
                <w:lang w:val="en-NZ"/>
              </w:rPr>
            </w:pPr>
            <w:r w:rsidRPr="003239C2">
              <w:rPr>
                <w:rStyle w:val="SpecialBold"/>
              </w:rPr>
              <w:t>Critical aspects for assessment and evidence requi</w:t>
            </w:r>
            <w:r w:rsidRPr="003239C2">
              <w:rPr>
                <w:rStyle w:val="SpecialBold"/>
              </w:rPr>
              <w:t>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39C2" w:rsidP="003239C2">
            <w:pPr>
              <w:pStyle w:val="BodyText"/>
            </w:pPr>
            <w:r w:rsidRPr="003239C2">
              <w:t>A person who demonstrates competency in this unit must be able to provide evidence of the ability to:</w:t>
            </w:r>
          </w:p>
          <w:p w:rsidR="00000000" w:rsidRPr="003239C2" w:rsidP="003239C2">
            <w:pPr>
              <w:pStyle w:val="ListBullet"/>
            </w:pPr>
            <w:r w:rsidRPr="003239C2">
              <w:t>source information from manuals and other technical documentation or software</w:t>
            </w:r>
          </w:p>
          <w:p w:rsidR="00000000" w:rsidRPr="003239C2" w:rsidP="003239C2">
            <w:pPr>
              <w:pStyle w:val="ListBullet"/>
            </w:pPr>
            <w:r w:rsidRPr="003239C2">
              <w:t>effectively communicate with use</w:t>
            </w:r>
            <w:r w:rsidRPr="003239C2">
              <w:t xml:space="preserve">rs on equipment operational and maintenance history </w:t>
            </w:r>
          </w:p>
          <w:p w:rsidR="00000000" w:rsidRPr="003239C2" w:rsidP="003239C2">
            <w:pPr>
              <w:pStyle w:val="ListBullet"/>
            </w:pPr>
            <w:r w:rsidRPr="003239C2">
              <w:t>develop schedules for maintenance activities including seeking technical assistance, where appropriate</w:t>
            </w:r>
          </w:p>
          <w:p w:rsidR="00000000" w:rsidP="003239C2">
            <w:pPr>
              <w:pStyle w:val="ListBullet"/>
              <w:rPr>
                <w:lang w:val="en-NZ"/>
              </w:rPr>
            </w:pPr>
            <w:r w:rsidRPr="003239C2">
              <w:t>differentiate between proactive and traditional maintenance strategies.</w:t>
            </w:r>
          </w:p>
        </w:tc>
      </w:tr>
      <w:tr w:rsidTr="003239C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39C2">
            <w:pPr>
              <w:pStyle w:val="BodyText"/>
              <w:rPr>
                <w:lang w:val="en-NZ"/>
              </w:rPr>
            </w:pPr>
            <w:r w:rsidRPr="003239C2">
              <w:rPr>
                <w:rStyle w:val="SpecialBold"/>
              </w:rPr>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39C2" w:rsidP="003239C2">
            <w:pPr>
              <w:pStyle w:val="BodyText"/>
            </w:pPr>
            <w:r w:rsidRPr="003239C2">
              <w:t xml:space="preserve">Assessment of performance must be undertaken in a workplace using or implementing one or more competitive systems and practices. </w:t>
            </w:r>
          </w:p>
          <w:p w:rsidR="00000000" w:rsidRPr="003239C2" w:rsidP="003239C2">
            <w:pPr>
              <w:pStyle w:val="BodyText"/>
            </w:pPr>
            <w:r w:rsidRPr="003239C2">
              <w:t>Access may be required to:</w:t>
            </w:r>
          </w:p>
          <w:p w:rsidR="00000000" w:rsidRPr="003239C2" w:rsidP="003239C2">
            <w:pPr>
              <w:pStyle w:val="ListBullet"/>
            </w:pPr>
            <w:r w:rsidRPr="003239C2">
              <w:t>workplace procedures and plans relevant to work a</w:t>
            </w:r>
            <w:r w:rsidRPr="003239C2">
              <w:t>rea</w:t>
            </w:r>
          </w:p>
          <w:p w:rsidR="00000000" w:rsidRPr="003239C2" w:rsidP="003239C2">
            <w:pPr>
              <w:pStyle w:val="ListBullet"/>
            </w:pPr>
            <w:r w:rsidRPr="003239C2">
              <w:t>specifications and documentation relating to planned, currently being implemented, or implemented changes to work processes and procedures relevant to the assessee</w:t>
            </w:r>
          </w:p>
          <w:p w:rsidR="00000000" w:rsidRPr="003239C2" w:rsidP="003239C2">
            <w:pPr>
              <w:pStyle w:val="ListBullet"/>
            </w:pPr>
            <w:r w:rsidRPr="003239C2">
              <w:t>documentation and information in relation to production, waste, overheads and hazard con</w:t>
            </w:r>
            <w:r w:rsidRPr="003239C2">
              <w:t>trol/management</w:t>
            </w:r>
          </w:p>
          <w:p w:rsidR="00000000" w:rsidRPr="003239C2" w:rsidP="003239C2">
            <w:pPr>
              <w:pStyle w:val="ListBullet"/>
            </w:pPr>
            <w:r w:rsidRPr="003239C2">
              <w:t>reports from supervisors/managers</w:t>
            </w:r>
          </w:p>
          <w:p w:rsidR="00000000" w:rsidP="003239C2">
            <w:pPr>
              <w:pStyle w:val="ListBullet"/>
              <w:rPr>
                <w:lang w:val="en-NZ"/>
              </w:rPr>
            </w:pPr>
            <w:r w:rsidRPr="003239C2">
              <w:t>case studies and scenarios to assess responses to contingencies.</w:t>
            </w:r>
          </w:p>
        </w:tc>
      </w:tr>
      <w:tr w:rsidTr="003239C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39C2">
            <w:pPr>
              <w:pStyle w:val="BodyText"/>
              <w:rPr>
                <w:lang w:val="en-NZ"/>
              </w:rPr>
            </w:pPr>
            <w:r w:rsidRPr="003239C2">
              <w:rPr>
                <w:rStyle w:val="SpecialBold"/>
              </w:rPr>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39C2" w:rsidP="003239C2">
            <w:pPr>
              <w:pStyle w:val="BodyText"/>
            </w:pPr>
            <w:r w:rsidRPr="003239C2">
              <w:t>A holistic approach should be taken to the assessment.</w:t>
            </w:r>
          </w:p>
          <w:p w:rsidR="00000000" w:rsidRPr="003239C2" w:rsidP="003239C2">
            <w:pPr>
              <w:pStyle w:val="BodyText"/>
            </w:pPr>
            <w:r w:rsidRPr="003239C2">
              <w:t>Competence in this unit may be assessed by using a combination o</w:t>
            </w:r>
            <w:r w:rsidRPr="003239C2">
              <w:t>f the following to generate evidence:</w:t>
            </w:r>
          </w:p>
          <w:p w:rsidR="00000000" w:rsidRPr="003239C2" w:rsidP="003239C2">
            <w:pPr>
              <w:pStyle w:val="ListBullet"/>
            </w:pPr>
            <w:r w:rsidRPr="003239C2">
              <w:t>demonstration in the workplace</w:t>
            </w:r>
          </w:p>
          <w:p w:rsidR="00000000" w:rsidRPr="003239C2" w:rsidP="003239C2">
            <w:pPr>
              <w:pStyle w:val="ListBullet"/>
            </w:pPr>
            <w:r w:rsidRPr="003239C2">
              <w:t>workplace projects</w:t>
            </w:r>
          </w:p>
          <w:p w:rsidR="00000000" w:rsidRPr="003239C2" w:rsidP="003239C2">
            <w:pPr>
              <w:pStyle w:val="ListBullet"/>
            </w:pPr>
            <w:r w:rsidRPr="003239C2">
              <w:t>suitable simulation</w:t>
            </w:r>
          </w:p>
          <w:p w:rsidR="00000000" w:rsidRPr="003239C2" w:rsidP="003239C2">
            <w:pPr>
              <w:pStyle w:val="ListBullet"/>
            </w:pPr>
            <w:r w:rsidRPr="003239C2">
              <w:t>case studies/scenarios (particularly for assessment of contingencies, improvement scenarios, and so on)</w:t>
            </w:r>
          </w:p>
          <w:p w:rsidR="00000000" w:rsidRPr="003239C2" w:rsidP="003239C2">
            <w:pPr>
              <w:pStyle w:val="ListBullet"/>
            </w:pPr>
            <w:r w:rsidRPr="003239C2">
              <w:t xml:space="preserve">targeted questioning </w:t>
            </w:r>
          </w:p>
          <w:p w:rsidR="00000000" w:rsidRPr="003239C2" w:rsidP="003239C2">
            <w:pPr>
              <w:pStyle w:val="ListBullet"/>
            </w:pPr>
            <w:r w:rsidRPr="003239C2">
              <w:t>reports from supervisors, peers and colleagues (third-party reports)</w:t>
            </w:r>
          </w:p>
          <w:p w:rsidR="00000000" w:rsidRPr="003239C2" w:rsidP="003239C2">
            <w:pPr>
              <w:pStyle w:val="ListBullet"/>
            </w:pPr>
            <w:r w:rsidRPr="003239C2">
              <w:t>portfolio of evidence.</w:t>
            </w:r>
          </w:p>
          <w:p w:rsidR="00000000" w:rsidRPr="003239C2" w:rsidP="003239C2">
            <w:pPr>
              <w:pStyle w:val="BodyText"/>
            </w:pPr>
            <w:r w:rsidRPr="003239C2">
              <w:t>In all cases it is expected that practical assessment will be combined with targeted questioning to assess underpinning knowledge.</w:t>
            </w:r>
          </w:p>
          <w:p w:rsidR="00000000" w:rsidP="003239C2">
            <w:pPr>
              <w:pStyle w:val="BodyText"/>
              <w:rPr>
                <w:lang w:val="en-NZ"/>
              </w:rPr>
            </w:pPr>
            <w:r w:rsidRPr="003239C2">
              <w:t>Where applicable, reasonable adju</w:t>
            </w:r>
            <w:r w:rsidRPr="003239C2">
              <w:t>stment must be made to work environments and training situations to accommodate ethnicity, age, gender, demographics and disability.</w:t>
            </w:r>
          </w:p>
        </w:tc>
      </w:tr>
      <w:tr w:rsidTr="003239C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39C2">
            <w:pPr>
              <w:pStyle w:val="BodyText"/>
              <w:rPr>
                <w:lang w:val="en-NZ"/>
              </w:rPr>
            </w:pPr>
            <w:r w:rsidRPr="003239C2">
              <w:rPr>
                <w:rStyle w:val="SpecialBold"/>
              </w:rPr>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39C2" w:rsidP="003239C2">
            <w:pPr>
              <w:pStyle w:val="BodyText"/>
            </w:pPr>
            <w:r w:rsidRPr="003239C2">
              <w:t xml:space="preserve">Assessment processes and techniques must be culturally appropriate and appropriate to </w:t>
            </w:r>
            <w:r w:rsidRPr="003239C2">
              <w:t>the oracy, language and literacy capacity of the candidate and the work being performed.</w:t>
            </w:r>
          </w:p>
        </w:tc>
      </w:tr>
    </w:tbl>
    <w:p w:rsidR="005E1AA6" w:rsidP="003239C2">
      <w:pPr>
        <w:pStyle w:val="BodyText"/>
      </w:pPr>
    </w:p>
    <w:p w:rsidR="005E1AA6" w:rsidP="003239C2">
      <w:pPr>
        <w:pStyle w:val="BodyText"/>
      </w:pPr>
    </w:p>
    <w:p w:rsidR="00000000" w:rsidRPr="003239C2" w:rsidP="003239C2">
      <w:pPr>
        <w:pStyle w:val="Heading1"/>
      </w:pPr>
      <w:bookmarkStart w:id="11" w:name="O_467217"/>
      <w:bookmarkEnd w:id="11"/>
      <w:r w:rsidRPr="003239C2">
        <w:t>Range Statement</w:t>
      </w:r>
    </w:p>
    <w:tbl>
      <w:tblPr>
        <w:tblW w:w="9462" w:type="dxa"/>
        <w:tblLayout w:type="fixed"/>
        <w:tblCellMar>
          <w:left w:w="62" w:type="dxa"/>
          <w:right w:w="62" w:type="dxa"/>
        </w:tblCellMar>
        <w:tblLook w:val="0000"/>
      </w:tblPr>
      <w:tblGrid>
        <w:gridCol w:w="3800"/>
        <w:gridCol w:w="5662"/>
      </w:tblGrid>
      <w:tr w:rsidTr="003239C2">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3239C2">
            <w:pPr>
              <w:pStyle w:val="BodyText"/>
              <w:rPr>
                <w:lang w:val="en-NZ"/>
              </w:rPr>
            </w:pPr>
            <w:r w:rsidRPr="003239C2">
              <w:t>The range statement relates to the unit of competency as a whole. It allows for different work environments and situations that may affect performance. Bold italicised wording, if used in the performance criteria, is detailed below. Essential operating con</w:t>
            </w:r>
            <w:r w:rsidRPr="003239C2">
              <w:t>ditions that may be present with training and assessment (depending on the work situation, needs of the candidate, accessibility of the item, and local industry and regional contexts) may also be included.</w:t>
            </w:r>
          </w:p>
        </w:tc>
      </w:tr>
      <w:tr w:rsidTr="003239C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39C2" w:rsidP="003239C2">
            <w:pPr>
              <w:pStyle w:val="BodyText"/>
            </w:pPr>
            <w:r w:rsidRPr="003239C2">
              <w:rPr>
                <w:rStyle w:val="SpecialBold"/>
              </w:rPr>
              <w:t>Competitive systems and practices</w:t>
            </w:r>
          </w:p>
          <w:p w:rsidR="00000000">
            <w:pPr>
              <w:pStyle w:val="BodyText"/>
              <w:keepNext w:val="0"/>
              <w:keepLines w:val="0"/>
              <w:contextualSpacing w:val="0"/>
              <w:rPr>
                <w:rFonts w:ascii="Tahoma" w:hAnsi="Tahoma"/>
                <w:color w:val="000000"/>
                <w:sz w:val="20"/>
                <w:lang w:val="en-NZ"/>
              </w:rPr>
            </w:pP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39C2" w:rsidP="003239C2">
            <w:pPr>
              <w:pStyle w:val="BodyText"/>
            </w:pPr>
            <w:r w:rsidRPr="003239C2">
              <w:t>Competitive s</w:t>
            </w:r>
            <w:r w:rsidRPr="003239C2">
              <w:t>ystems and practices may include, but are not limited to:</w:t>
            </w:r>
          </w:p>
          <w:p w:rsidR="00000000" w:rsidRPr="003239C2" w:rsidP="003239C2">
            <w:pPr>
              <w:pStyle w:val="ListBullet"/>
            </w:pPr>
            <w:r w:rsidRPr="003239C2">
              <w:t>lean operations</w:t>
            </w:r>
          </w:p>
          <w:p w:rsidR="00000000" w:rsidRPr="003239C2" w:rsidP="003239C2">
            <w:pPr>
              <w:pStyle w:val="ListBullet"/>
            </w:pPr>
            <w:r w:rsidRPr="003239C2">
              <w:t>agile operations</w:t>
            </w:r>
          </w:p>
          <w:p w:rsidR="00000000" w:rsidRPr="003239C2" w:rsidP="003239C2">
            <w:pPr>
              <w:pStyle w:val="ListBullet"/>
            </w:pPr>
            <w:r w:rsidRPr="003239C2">
              <w:t>preventative and predictive maintenance approaches</w:t>
            </w:r>
          </w:p>
          <w:p w:rsidR="00000000" w:rsidRPr="003239C2" w:rsidP="003239C2">
            <w:pPr>
              <w:pStyle w:val="ListBullet"/>
            </w:pPr>
            <w:r w:rsidRPr="003239C2">
              <w:t xml:space="preserve">monitoring and data gathering systems, such as Systems Control and Data Acquisition (SCADA) software, Enterprise </w:t>
            </w:r>
            <w:r w:rsidRPr="003239C2">
              <w:t xml:space="preserve">Resource Planning (ERP) systems, Materials Resource Planning (MRP) and proprietary systems </w:t>
            </w:r>
          </w:p>
          <w:p w:rsidR="00000000" w:rsidRPr="003239C2" w:rsidP="003239C2">
            <w:pPr>
              <w:pStyle w:val="ListBullet"/>
            </w:pPr>
            <w:r w:rsidRPr="003239C2">
              <w:t>statistical process control systems, including six sigma and three sigma</w:t>
            </w:r>
          </w:p>
          <w:p w:rsidR="00000000" w:rsidRPr="003239C2" w:rsidP="003239C2">
            <w:pPr>
              <w:pStyle w:val="ListBullet"/>
            </w:pPr>
            <w:r w:rsidRPr="003239C2">
              <w:t>Just in Time (JIT), kanban and other pull-related operations control systems</w:t>
            </w:r>
          </w:p>
          <w:p w:rsidR="00000000" w:rsidRPr="003239C2" w:rsidP="003239C2">
            <w:pPr>
              <w:pStyle w:val="ListBullet"/>
            </w:pPr>
            <w:r w:rsidRPr="003239C2">
              <w:t>supply, value,</w:t>
            </w:r>
            <w:r w:rsidRPr="003239C2">
              <w:t xml:space="preserve"> and demand chain monitoring and analysis</w:t>
            </w:r>
          </w:p>
          <w:p w:rsidR="00000000" w:rsidRPr="003239C2" w:rsidP="003239C2">
            <w:pPr>
              <w:pStyle w:val="ListBullet"/>
            </w:pPr>
            <w:r w:rsidRPr="003239C2">
              <w:t xml:space="preserve">5S </w:t>
            </w:r>
          </w:p>
          <w:p w:rsidR="00000000" w:rsidRPr="003239C2" w:rsidP="003239C2">
            <w:pPr>
              <w:pStyle w:val="ListBullet"/>
            </w:pPr>
            <w:r w:rsidRPr="003239C2">
              <w:t>continuous improvement (kaizen)</w:t>
            </w:r>
          </w:p>
          <w:p w:rsidR="00000000" w:rsidRPr="003239C2" w:rsidP="003239C2">
            <w:pPr>
              <w:pStyle w:val="ListBullet"/>
            </w:pPr>
            <w:r w:rsidRPr="003239C2">
              <w:t>breakthrough improvement (kaizen blitz)</w:t>
            </w:r>
          </w:p>
          <w:p w:rsidR="00000000" w:rsidRPr="003239C2" w:rsidP="003239C2">
            <w:pPr>
              <w:pStyle w:val="ListBullet"/>
            </w:pPr>
            <w:r w:rsidRPr="003239C2">
              <w:t>cause/effect diagrams</w:t>
            </w:r>
          </w:p>
          <w:p w:rsidR="00000000" w:rsidRPr="003239C2" w:rsidP="003239C2">
            <w:pPr>
              <w:pStyle w:val="ListBullet"/>
            </w:pPr>
            <w:r w:rsidRPr="003239C2">
              <w:t>OEE</w:t>
            </w:r>
          </w:p>
          <w:p w:rsidR="00000000" w:rsidRPr="003239C2" w:rsidP="003239C2">
            <w:pPr>
              <w:pStyle w:val="ListBullet"/>
            </w:pPr>
            <w:r w:rsidRPr="003239C2">
              <w:t>takt time</w:t>
            </w:r>
          </w:p>
          <w:p w:rsidR="00000000" w:rsidRPr="003239C2" w:rsidP="003239C2">
            <w:pPr>
              <w:pStyle w:val="ListBullet"/>
            </w:pPr>
            <w:r w:rsidRPr="003239C2">
              <w:t>process mapping</w:t>
            </w:r>
          </w:p>
          <w:p w:rsidR="00000000" w:rsidRPr="003239C2" w:rsidP="003239C2">
            <w:pPr>
              <w:pStyle w:val="ListBullet"/>
            </w:pPr>
            <w:r w:rsidRPr="003239C2">
              <w:t xml:space="preserve">problem solving </w:t>
            </w:r>
          </w:p>
          <w:p w:rsidR="00000000" w:rsidRPr="003239C2" w:rsidP="003239C2">
            <w:pPr>
              <w:pStyle w:val="ListBullet"/>
            </w:pPr>
            <w:r w:rsidRPr="003239C2">
              <w:t>run charts</w:t>
            </w:r>
          </w:p>
          <w:p w:rsidR="00000000" w:rsidRPr="003239C2" w:rsidP="003239C2">
            <w:pPr>
              <w:pStyle w:val="ListBullet"/>
            </w:pPr>
            <w:r w:rsidRPr="003239C2">
              <w:t>standard procedures</w:t>
            </w:r>
          </w:p>
          <w:p w:rsidR="00000000" w:rsidRPr="003239C2" w:rsidP="003239C2">
            <w:pPr>
              <w:pStyle w:val="ListBullet"/>
            </w:pPr>
            <w:r w:rsidRPr="003239C2">
              <w:t>current reality tree</w:t>
            </w:r>
          </w:p>
          <w:p w:rsidR="00000000" w:rsidRPr="003239C2" w:rsidP="003239C2">
            <w:pPr>
              <w:pStyle w:val="BodyText"/>
            </w:pPr>
            <w:r w:rsidRPr="003239C2">
              <w:t>C</w:t>
            </w:r>
            <w:r w:rsidRPr="003239C2">
              <w:t>ompetitive systems and practices should be interpreted so as to take into account:</w:t>
            </w:r>
          </w:p>
          <w:p w:rsidR="00000000" w:rsidRPr="003239C2" w:rsidP="003239C2">
            <w:pPr>
              <w:pStyle w:val="ListBullet"/>
            </w:pPr>
            <w:r w:rsidRPr="003239C2">
              <w:t>the stage of implementation of competitive systems and practices</w:t>
            </w:r>
          </w:p>
          <w:p w:rsidR="00000000" w:rsidRPr="003239C2" w:rsidP="003239C2">
            <w:pPr>
              <w:pStyle w:val="ListBullet"/>
            </w:pPr>
            <w:r w:rsidRPr="003239C2">
              <w:t>the size of the enterprise, the work organisation, culture</w:t>
            </w:r>
          </w:p>
          <w:p w:rsidR="00000000" w:rsidP="003239C2">
            <w:pPr>
              <w:pStyle w:val="ListBullet"/>
              <w:rPr>
                <w:lang w:val="en-NZ"/>
              </w:rPr>
            </w:pPr>
            <w:r w:rsidRPr="003239C2">
              <w:t>regulatory environment and the industry sector</w:t>
            </w:r>
          </w:p>
        </w:tc>
      </w:tr>
      <w:tr w:rsidTr="003239C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39C2">
            <w:pPr>
              <w:pStyle w:val="BodyText"/>
              <w:rPr>
                <w:lang w:val="en-NZ"/>
              </w:rPr>
            </w:pPr>
            <w:r w:rsidRPr="003239C2">
              <w:rPr>
                <w:rStyle w:val="SpecialBold"/>
              </w:rPr>
              <w:t>TPM</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39C2">
            <w:pPr>
              <w:pStyle w:val="BodyText"/>
              <w:rPr>
                <w:lang w:val="en-NZ"/>
              </w:rPr>
            </w:pPr>
            <w:r w:rsidRPr="003239C2">
              <w:t>TPM is an application of total quality management to maintenance with the intention of increasing reliability, getting it right first time and increasing OEE</w:t>
            </w:r>
          </w:p>
        </w:tc>
      </w:tr>
      <w:tr w:rsidTr="003239C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39C2">
            <w:pPr>
              <w:pStyle w:val="BodyText"/>
              <w:rPr>
                <w:lang w:val="en-NZ"/>
              </w:rPr>
            </w:pPr>
            <w:r w:rsidRPr="003239C2">
              <w:rPr>
                <w:rStyle w:val="SpecialBold"/>
              </w:rPr>
              <w:t>RCM</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39C2">
            <w:pPr>
              <w:pStyle w:val="BodyText"/>
              <w:rPr>
                <w:lang w:val="en-NZ"/>
              </w:rPr>
            </w:pPr>
            <w:r w:rsidRPr="003239C2">
              <w:t>RCM moves maintenance from reactive, or even planned/programmed, towards a focus on uptim</w:t>
            </w:r>
            <w:r w:rsidRPr="003239C2">
              <w:t xml:space="preserve">e and </w:t>
            </w:r>
            <w:r w:rsidRPr="003239C2">
              <w:t>OEE</w:t>
            </w:r>
          </w:p>
        </w:tc>
      </w:tr>
      <w:tr w:rsidTr="003239C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39C2">
            <w:pPr>
              <w:pStyle w:val="BodyText"/>
              <w:rPr>
                <w:lang w:val="en-NZ"/>
              </w:rPr>
            </w:pPr>
            <w:r w:rsidRPr="003239C2">
              <w:rPr>
                <w:rStyle w:val="SpecialBold"/>
              </w:rPr>
              <w:t>Similar strategies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39C2" w:rsidP="003239C2">
            <w:pPr>
              <w:pStyle w:val="BodyText"/>
            </w:pPr>
            <w:r w:rsidRPr="003239C2">
              <w:t>Similar strategies may include:</w:t>
            </w:r>
          </w:p>
          <w:p w:rsidR="00000000" w:rsidRPr="003239C2" w:rsidP="003239C2">
            <w:pPr>
              <w:pStyle w:val="ListBullet"/>
            </w:pPr>
            <w:r w:rsidRPr="003239C2">
              <w:t>mean time between failure (MTBF) which is one key measure of the effectiveness of a maintenance procedure, and is an indicator as to whether root causes are being found and resolved. If MTBF is</w:t>
            </w:r>
            <w:r w:rsidRPr="003239C2">
              <w:t xml:space="preserve"> reducing, then it is an indicator that the maintenance regime is failing</w:t>
            </w:r>
          </w:p>
          <w:p w:rsidR="00000000" w:rsidRPr="003239C2" w:rsidP="003239C2">
            <w:pPr>
              <w:pStyle w:val="ListBullet"/>
            </w:pPr>
            <w:r w:rsidRPr="003239C2">
              <w:t>failure mode and effects analysis (FMEA) which is a systematic approach that identifies potential failure modes in a system, product, or equipment based operations caused by either d</w:t>
            </w:r>
            <w:r w:rsidRPr="003239C2">
              <w:t>esign or operation/process deficiencies. It also identifies critical or significant design or process characteristics that require special controls to prevent or detect failure modes. FMEA is a tool used to prevent problems from occurring</w:t>
            </w:r>
          </w:p>
          <w:p w:rsidR="00000000" w:rsidRPr="003239C2" w:rsidP="003239C2">
            <w:pPr>
              <w:pStyle w:val="ListBullet"/>
            </w:pPr>
            <w:r w:rsidRPr="003239C2">
              <w:t xml:space="preserve">industry sectors </w:t>
            </w:r>
            <w:r w:rsidRPr="003239C2">
              <w:t>have highly adapted forms of FMEA and which may practice traditional FMEA in say their routine maintenance while using another technique, such as Hazard and Operability Studies (HAZOP) for design and modification. HAZOP is a form of FMEA which has been pra</w:t>
            </w:r>
            <w:r w:rsidRPr="003239C2">
              <w:t>cticed by the process industries for over 30 years and examines the implications of changes in process conditions to process stability</w:t>
            </w:r>
          </w:p>
          <w:p w:rsidR="00000000" w:rsidP="003239C2">
            <w:pPr>
              <w:pStyle w:val="ListBullet"/>
              <w:rPr>
                <w:lang w:val="en-NZ"/>
              </w:rPr>
            </w:pPr>
            <w:r w:rsidRPr="003239C2">
              <w:t>condition monitoring which often involves quite sophisticated monitoring of equipment, including such things as vibration</w:t>
            </w:r>
            <w:r w:rsidRPr="003239C2">
              <w:t xml:space="preserve"> monitoring, instrumental analysis of lubricating oil, and so on, to determine the current state of the equipment, monitor the change in this condition and predict when it needs servicing/maintenance to maintain reliability.</w:t>
            </w:r>
          </w:p>
        </w:tc>
      </w:tr>
      <w:tr w:rsidTr="003239C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39C2">
            <w:pPr>
              <w:pStyle w:val="BodyText"/>
              <w:rPr>
                <w:lang w:val="en-NZ"/>
              </w:rPr>
            </w:pPr>
            <w:r w:rsidRPr="003239C2">
              <w:rPr>
                <w:rStyle w:val="SpecialBold"/>
              </w:rPr>
              <w:t>OEE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39C2" w:rsidP="003239C2">
            <w:pPr>
              <w:pStyle w:val="BodyText"/>
            </w:pPr>
            <w:r w:rsidRPr="003239C2">
              <w:t xml:space="preserve">OEE is the combination of </w:t>
            </w:r>
            <w:r w:rsidRPr="003239C2">
              <w:t>the main factors causing loss of productive capacity from equipment/plant and is:</w:t>
            </w:r>
          </w:p>
          <w:p w:rsidR="00000000" w:rsidRPr="003239C2" w:rsidP="003239C2">
            <w:pPr>
              <w:pStyle w:val="BodyText"/>
            </w:pPr>
            <w:r w:rsidRPr="003239C2">
              <w:rPr>
                <w:rStyle w:val="Emphasis"/>
              </w:rPr>
              <w:t>OEE = availability x performance x quality rate</w:t>
            </w:r>
          </w:p>
          <w:p w:rsidR="00000000" w:rsidRPr="003239C2" w:rsidP="003239C2">
            <w:pPr>
              <w:pStyle w:val="BodyText"/>
            </w:pPr>
            <w:r w:rsidRPr="003239C2">
              <w:t>where:</w:t>
            </w:r>
          </w:p>
          <w:p w:rsidR="00000000" w:rsidRPr="003239C2" w:rsidP="003239C2">
            <w:pPr>
              <w:pStyle w:val="ListBullet"/>
            </w:pPr>
            <w:r w:rsidRPr="003239C2">
              <w:t>availability takes into account losses due to breakdown, set-up and adjustments</w:t>
            </w:r>
          </w:p>
          <w:p w:rsidR="00000000" w:rsidRPr="003239C2" w:rsidP="003239C2">
            <w:pPr>
              <w:pStyle w:val="ListBullet"/>
            </w:pPr>
            <w:r w:rsidRPr="003239C2">
              <w:t>performance takes into account losses due to minor stoppages, reduced speed and idling</w:t>
            </w:r>
          </w:p>
          <w:p w:rsidR="00000000" w:rsidP="003239C2">
            <w:pPr>
              <w:pStyle w:val="ListBullet"/>
              <w:rPr>
                <w:lang w:val="en-NZ"/>
              </w:rPr>
            </w:pPr>
            <w:r w:rsidRPr="003239C2">
              <w:t>quality rate takes into account the losses due to rejects, reworks and start-up waste</w:t>
            </w:r>
          </w:p>
        </w:tc>
      </w:tr>
      <w:tr w:rsidTr="003239C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39C2">
            <w:pPr>
              <w:pStyle w:val="BodyText"/>
              <w:rPr>
                <w:lang w:val="en-NZ"/>
              </w:rPr>
            </w:pPr>
            <w:r w:rsidRPr="003239C2">
              <w:rPr>
                <w:rStyle w:val="SpecialBold"/>
              </w:rPr>
              <w:t>Uptime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39C2">
            <w:pPr>
              <w:pStyle w:val="BodyText"/>
              <w:rPr>
                <w:lang w:val="en-NZ"/>
              </w:rPr>
            </w:pPr>
            <w:r w:rsidRPr="003239C2">
              <w:t>Uptime refers to the overall availability of the plant (it is the inverse o</w:t>
            </w:r>
            <w:r w:rsidRPr="003239C2">
              <w:t>f downtime) or the unavailability of the plant. Ideal uptime is 100%</w:t>
            </w:r>
          </w:p>
        </w:tc>
      </w:tr>
      <w:tr w:rsidTr="003239C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39C2">
            <w:pPr>
              <w:pStyle w:val="BodyText"/>
              <w:rPr>
                <w:lang w:val="en-NZ"/>
              </w:rPr>
            </w:pPr>
            <w:r w:rsidRPr="003239C2">
              <w:rPr>
                <w:rStyle w:val="SpecialBold"/>
              </w:rPr>
              <w:t>Inspection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39C2" w:rsidP="003239C2">
            <w:pPr>
              <w:pStyle w:val="BodyText"/>
            </w:pPr>
            <w:r w:rsidRPr="003239C2">
              <w:t>Inspection may include:</w:t>
            </w:r>
          </w:p>
          <w:p w:rsidR="00000000" w:rsidRPr="003239C2" w:rsidP="003239C2">
            <w:pPr>
              <w:pStyle w:val="ListBullet"/>
            </w:pPr>
            <w:r w:rsidRPr="003239C2">
              <w:t>reading dials, gauges and meters</w:t>
            </w:r>
          </w:p>
          <w:p w:rsidR="00000000" w:rsidRPr="003239C2" w:rsidP="003239C2">
            <w:pPr>
              <w:pStyle w:val="ListBullet"/>
            </w:pPr>
            <w:r w:rsidRPr="003239C2">
              <w:t>observations, including those using sight, hearing, smell and feel</w:t>
            </w:r>
          </w:p>
          <w:p w:rsidR="00000000" w:rsidP="003239C2">
            <w:pPr>
              <w:pStyle w:val="ListBullet"/>
              <w:rPr>
                <w:lang w:val="en-NZ"/>
              </w:rPr>
            </w:pPr>
            <w:r w:rsidRPr="003239C2">
              <w:t>observations of product quality/faults/rejects</w:t>
            </w:r>
          </w:p>
        </w:tc>
      </w:tr>
      <w:tr w:rsidTr="003239C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39C2">
            <w:pPr>
              <w:pStyle w:val="BodyText"/>
              <w:rPr>
                <w:lang w:val="en-NZ"/>
              </w:rPr>
            </w:pPr>
            <w:r w:rsidRPr="003239C2">
              <w:rPr>
                <w:rStyle w:val="SpecialBold"/>
              </w:rPr>
              <w:t>Servicing</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39C2" w:rsidP="003239C2">
            <w:pPr>
              <w:pStyle w:val="BodyText"/>
            </w:pPr>
            <w:r w:rsidRPr="003239C2">
              <w:t>Servicing may include:</w:t>
            </w:r>
          </w:p>
          <w:p w:rsidR="00000000" w:rsidRPr="003239C2" w:rsidP="003239C2">
            <w:pPr>
              <w:pStyle w:val="ListBullet"/>
            </w:pPr>
            <w:r w:rsidRPr="003239C2">
              <w:t>cleaning</w:t>
            </w:r>
          </w:p>
          <w:p w:rsidR="00000000" w:rsidRPr="003239C2" w:rsidP="003239C2">
            <w:pPr>
              <w:pStyle w:val="ListBullet"/>
            </w:pPr>
            <w:r w:rsidRPr="003239C2">
              <w:t>lubricating</w:t>
            </w:r>
          </w:p>
          <w:p w:rsidR="00000000" w:rsidRPr="003239C2" w:rsidP="003239C2">
            <w:pPr>
              <w:pStyle w:val="ListBullet"/>
            </w:pPr>
            <w:r w:rsidRPr="003239C2">
              <w:t>topping up</w:t>
            </w:r>
          </w:p>
          <w:p w:rsidR="00000000" w:rsidP="003239C2">
            <w:pPr>
              <w:pStyle w:val="ListBullet"/>
              <w:rPr>
                <w:lang w:val="en-NZ"/>
              </w:rPr>
            </w:pPr>
            <w:r w:rsidRPr="003239C2">
              <w:t>adjusting</w:t>
            </w:r>
          </w:p>
        </w:tc>
      </w:tr>
      <w:tr w:rsidTr="003239C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39C2">
            <w:pPr>
              <w:pStyle w:val="BodyText"/>
              <w:rPr>
                <w:lang w:val="en-NZ"/>
              </w:rPr>
            </w:pPr>
            <w:r w:rsidRPr="003239C2">
              <w:rPr>
                <w:rStyle w:val="SpecialBold"/>
              </w:rPr>
              <w:t>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39C2" w:rsidP="003239C2">
            <w:pPr>
              <w:pStyle w:val="BodyText"/>
            </w:pPr>
            <w:r w:rsidRPr="003239C2">
              <w:t>Procedures may include:</w:t>
            </w:r>
          </w:p>
          <w:p w:rsidR="00000000" w:rsidRPr="003239C2" w:rsidP="003239C2">
            <w:pPr>
              <w:pStyle w:val="ListBullet"/>
            </w:pPr>
            <w:r w:rsidRPr="003239C2">
              <w:t>work instructions</w:t>
            </w:r>
          </w:p>
          <w:p w:rsidR="00000000" w:rsidRPr="003239C2" w:rsidP="003239C2">
            <w:pPr>
              <w:pStyle w:val="ListBullet"/>
            </w:pPr>
            <w:r w:rsidRPr="003239C2">
              <w:t>standard operating procedures</w:t>
            </w:r>
          </w:p>
          <w:p w:rsidR="00000000" w:rsidRPr="003239C2" w:rsidP="003239C2">
            <w:pPr>
              <w:pStyle w:val="ListBullet"/>
            </w:pPr>
            <w:r w:rsidRPr="003239C2">
              <w:t>formulas/recipes</w:t>
            </w:r>
          </w:p>
          <w:p w:rsidR="00000000" w:rsidRPr="003239C2" w:rsidP="003239C2">
            <w:pPr>
              <w:pStyle w:val="ListBullet"/>
            </w:pPr>
            <w:r w:rsidRPr="003239C2">
              <w:t>batch sheets</w:t>
            </w:r>
          </w:p>
          <w:p w:rsidR="00000000" w:rsidRPr="003239C2" w:rsidP="003239C2">
            <w:pPr>
              <w:pStyle w:val="ListBullet"/>
            </w:pPr>
            <w:r w:rsidRPr="003239C2">
              <w:t xml:space="preserve">temporary instructions and similar instructions provided for the </w:t>
            </w:r>
            <w:r w:rsidRPr="003239C2">
              <w:t>smooth running of the plant</w:t>
            </w:r>
          </w:p>
          <w:p w:rsidR="00000000" w:rsidRPr="003239C2" w:rsidP="003239C2">
            <w:pPr>
              <w:pStyle w:val="ListBullet"/>
            </w:pPr>
            <w:r w:rsidRPr="003239C2">
              <w:t xml:space="preserve">good operating practice as may be defined by industry codes of practice (e.g. good manufacturing practice (GMP) and responsible care) </w:t>
            </w:r>
          </w:p>
          <w:p w:rsidR="00000000" w:rsidRPr="003239C2" w:rsidP="003239C2">
            <w:pPr>
              <w:pStyle w:val="ListBullet"/>
            </w:pPr>
            <w:r w:rsidRPr="003239C2">
              <w:t>government regulations</w:t>
            </w:r>
          </w:p>
          <w:p w:rsidR="00000000" w:rsidRPr="003239C2" w:rsidP="003239C2">
            <w:pPr>
              <w:pStyle w:val="BodyText"/>
            </w:pPr>
            <w:r w:rsidRPr="003239C2">
              <w:t>Procedures may be:</w:t>
            </w:r>
          </w:p>
          <w:p w:rsidR="00000000" w:rsidRPr="003239C2" w:rsidP="003239C2">
            <w:pPr>
              <w:pStyle w:val="ListBullet"/>
            </w:pPr>
            <w:r w:rsidRPr="003239C2">
              <w:t>written, verbal, computer based or in some other format</w:t>
            </w:r>
          </w:p>
        </w:tc>
      </w:tr>
    </w:tbl>
    <w:p w:rsidR="005E1AA6" w:rsidP="003239C2">
      <w:pPr>
        <w:pStyle w:val="BodyText"/>
      </w:pPr>
    </w:p>
    <w:p w:rsidR="005E1AA6" w:rsidP="003239C2">
      <w:pPr>
        <w:pStyle w:val="BodyText"/>
      </w:pPr>
    </w:p>
    <w:p w:rsidR="00000000" w:rsidRPr="003239C2" w:rsidP="003239C2">
      <w:pPr>
        <w:pStyle w:val="Heading1"/>
      </w:pPr>
      <w:bookmarkStart w:id="12" w:name="O_467218"/>
      <w:bookmarkEnd w:id="12"/>
      <w:r w:rsidRPr="003239C2">
        <w:t>Unit Sector(s)</w:t>
      </w:r>
    </w:p>
    <w:tbl>
      <w:tblPr>
        <w:tblW w:w="9354" w:type="dxa"/>
        <w:tblLayout w:type="fixed"/>
        <w:tblCellMar>
          <w:left w:w="62" w:type="dxa"/>
          <w:right w:w="62" w:type="dxa"/>
        </w:tblCellMar>
        <w:tblLook w:val="0000"/>
      </w:tblPr>
      <w:tblGrid>
        <w:gridCol w:w="2592"/>
        <w:gridCol w:w="6762"/>
      </w:tblGrid>
      <w:tr w:rsidTr="003239C2">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3239C2">
            <w:pPr>
              <w:pStyle w:val="BodyText"/>
              <w:rPr>
                <w:lang w:val="en-NZ"/>
              </w:rPr>
            </w:pPr>
            <w:r w:rsidRPr="003239C2">
              <w:t>Unit sector</w:t>
            </w:r>
          </w:p>
        </w:tc>
        <w:tc>
          <w:tcPr>
            <w:tcW w:w="6762" w:type="dxa"/>
            <w:tcBorders>
              <w:top w:val="nil"/>
              <w:left w:val="nil"/>
              <w:bottom w:val="nil"/>
              <w:right w:val="nil"/>
            </w:tcBorders>
            <w:tcMar>
              <w:top w:w="0" w:type="dxa"/>
              <w:left w:w="62" w:type="dxa"/>
              <w:bottom w:w="0" w:type="dxa"/>
              <w:right w:w="62" w:type="dxa"/>
            </w:tcMar>
          </w:tcPr>
          <w:p w:rsidR="00000000" w:rsidRPr="003239C2" w:rsidP="003239C2">
            <w:pPr>
              <w:pStyle w:val="BodyText"/>
            </w:pPr>
            <w:r w:rsidRPr="003239C2">
              <w:t>Competitive systems and practices</w:t>
            </w:r>
          </w:p>
        </w:tc>
      </w:tr>
    </w:tbl>
    <w:p w:rsidR="00000000" w:rsidRPr="003239C2" w:rsidP="003239C2">
      <w:pPr>
        <w:pStyle w:val="BodyText"/>
      </w:pPr>
    </w:p>
    <w:p w:rsidR="00000000" w:rsidRPr="003239C2" w:rsidP="003239C2">
      <w:pPr>
        <w:pStyle w:val="AllowPageBreak"/>
      </w:pPr>
    </w:p>
    <w:p w:rsidR="00000000" w:rsidRPr="003239C2" w:rsidP="003239C2">
      <w:pPr>
        <w:pStyle w:val="Heading1"/>
      </w:pPr>
      <w:bookmarkStart w:id="13" w:name="O_467219"/>
      <w:bookmarkEnd w:id="13"/>
      <w:r w:rsidRPr="003239C2">
        <w:t>Custom Content Section</w:t>
      </w:r>
    </w:p>
    <w:p w:rsidR="00000000" w:rsidRPr="003239C2" w:rsidP="003239C2">
      <w:pPr>
        <w:pStyle w:val="BodyText"/>
      </w:pPr>
      <w:r w:rsidRPr="003239C2">
        <w:t>Not applicable.</w:t>
      </w:r>
    </w:p>
    <w:p w:rsidR="00000000" w:rsidRPr="003239C2" w:rsidP="003239C2"/>
    <w:sectPr w:rsidSect="003239C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9C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E1AA6" w:rsidP="005E1AA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9C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AA6" w:rsidP="003239C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5E1AA6" w:rsidP="003239C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E1AA6" w:rsidP="003239C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9C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E1AA6" w:rsidP="005E1AA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9C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AA6" w:rsidP="003239C2">
    <w:pPr>
      <w:pStyle w:val="Header"/>
      <w:framePr w:wrap="around"/>
    </w:pPr>
    <w:r>
      <w:fldChar w:fldCharType="begin"/>
    </w:r>
    <w:r>
      <w:instrText xml:space="preserve"> TITLE   \* MERGEFORMAT </w:instrText>
    </w:r>
    <w:r>
      <w:fldChar w:fldCharType="separate"/>
    </w:r>
    <w:r>
      <w:t>MSS404082A Assist in implementing a proactive maintenance strategy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E1AA6" w:rsidP="003239C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3D6C53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9F815D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39C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239C2"/>
    <w:pPr>
      <w:spacing w:before="360" w:after="60"/>
      <w:outlineLvl w:val="0"/>
    </w:pPr>
    <w:rPr>
      <w:sz w:val="32"/>
    </w:rPr>
  </w:style>
  <w:style w:type="paragraph" w:styleId="Heading2">
    <w:name w:val="heading 2"/>
    <w:basedOn w:val="HeadingBase"/>
    <w:next w:val="BodyText"/>
    <w:link w:val="Heading2Char"/>
    <w:qFormat/>
    <w:rsid w:val="003239C2"/>
    <w:pPr>
      <w:keepLines/>
      <w:spacing w:before="240" w:after="120"/>
      <w:outlineLvl w:val="1"/>
    </w:pPr>
    <w:rPr>
      <w:sz w:val="28"/>
      <w:szCs w:val="40"/>
    </w:rPr>
  </w:style>
  <w:style w:type="paragraph" w:styleId="Heading3">
    <w:name w:val="heading 3"/>
    <w:basedOn w:val="HeadingBase"/>
    <w:next w:val="BodyText"/>
    <w:link w:val="Heading3Char"/>
    <w:qFormat/>
    <w:rsid w:val="003239C2"/>
    <w:pPr>
      <w:spacing w:before="180" w:after="120"/>
      <w:outlineLvl w:val="2"/>
    </w:pPr>
    <w:rPr>
      <w:spacing w:val="-10"/>
      <w:kern w:val="32"/>
    </w:rPr>
  </w:style>
  <w:style w:type="paragraph" w:styleId="Heading4">
    <w:name w:val="heading 4"/>
    <w:basedOn w:val="HeadingBase"/>
    <w:next w:val="BodyText"/>
    <w:link w:val="Heading4Char"/>
    <w:qFormat/>
    <w:rsid w:val="003239C2"/>
    <w:pPr>
      <w:spacing w:before="160" w:after="120"/>
      <w:outlineLvl w:val="3"/>
    </w:pPr>
    <w:rPr>
      <w:sz w:val="22"/>
    </w:rPr>
  </w:style>
  <w:style w:type="paragraph" w:styleId="Heading5">
    <w:name w:val="heading 5"/>
    <w:basedOn w:val="HeadingBase"/>
    <w:next w:val="Normal"/>
    <w:link w:val="Heading5Char"/>
    <w:qFormat/>
    <w:rsid w:val="003239C2"/>
    <w:pPr>
      <w:spacing w:before="80"/>
      <w:outlineLvl w:val="4"/>
    </w:pPr>
    <w:rPr>
      <w:color w:val="918585"/>
      <w:sz w:val="20"/>
    </w:rPr>
  </w:style>
  <w:style w:type="paragraph" w:styleId="Heading6">
    <w:name w:val="heading 6"/>
    <w:basedOn w:val="HeadingBase"/>
    <w:next w:val="Normal"/>
    <w:link w:val="Heading6Char"/>
    <w:qFormat/>
    <w:rsid w:val="003239C2"/>
    <w:pPr>
      <w:spacing w:before="60"/>
      <w:outlineLvl w:val="5"/>
    </w:pPr>
    <w:rPr>
      <w:color w:val="918585"/>
      <w:sz w:val="20"/>
    </w:rPr>
  </w:style>
  <w:style w:type="paragraph" w:styleId="Heading7">
    <w:name w:val="heading 7"/>
    <w:basedOn w:val="Normal"/>
    <w:next w:val="Normal"/>
    <w:link w:val="Heading7Char"/>
    <w:qFormat/>
    <w:rsid w:val="003239C2"/>
    <w:pPr>
      <w:ind w:left="720"/>
      <w:outlineLvl w:val="6"/>
    </w:pPr>
    <w:rPr>
      <w:i/>
    </w:rPr>
  </w:style>
  <w:style w:type="paragraph" w:styleId="Heading8">
    <w:name w:val="heading 8"/>
    <w:basedOn w:val="Normal"/>
    <w:next w:val="Normal"/>
    <w:link w:val="Heading8Char"/>
    <w:qFormat/>
    <w:rsid w:val="003239C2"/>
    <w:pPr>
      <w:ind w:left="720"/>
      <w:outlineLvl w:val="7"/>
    </w:pPr>
    <w:rPr>
      <w:i/>
    </w:rPr>
  </w:style>
  <w:style w:type="paragraph" w:styleId="Heading9">
    <w:name w:val="heading 9"/>
    <w:basedOn w:val="Normal"/>
    <w:next w:val="Normal"/>
    <w:link w:val="Heading9Char"/>
    <w:qFormat/>
    <w:rsid w:val="003239C2"/>
    <w:pPr>
      <w:ind w:left="720"/>
      <w:outlineLvl w:val="8"/>
    </w:pPr>
    <w:rPr>
      <w:i/>
    </w:rPr>
  </w:style>
  <w:style w:type="character" w:default="1" w:styleId="DefaultParagraphFont">
    <w:name w:val="Default Paragraph Font"/>
    <w:uiPriority w:val="1"/>
    <w:unhideWhenUsed/>
    <w:rsid w:val="003239C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39C2"/>
  </w:style>
  <w:style w:type="character" w:customStyle="1" w:styleId="Heading1Char">
    <w:name w:val="Heading 1 Char"/>
    <w:basedOn w:val="DefaultParagraphFont"/>
    <w:link w:val="Heading1"/>
    <w:rsid w:val="003239C2"/>
    <w:rPr>
      <w:rFonts w:ascii="Times New Roman" w:eastAsia="Times New Roman" w:hAnsi="Times New Roman" w:cs="Times New Roman"/>
      <w:b/>
      <w:sz w:val="32"/>
      <w:szCs w:val="20"/>
      <w:lang w:eastAsia="en-US"/>
    </w:rPr>
  </w:style>
  <w:style w:type="paragraph" w:styleId="BodyText">
    <w:name w:val="Body Text"/>
    <w:basedOn w:val="Normal"/>
    <w:link w:val="BodyTextChar"/>
    <w:rsid w:val="003239C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239C2"/>
    <w:rPr>
      <w:rFonts w:ascii="Times New Roman" w:eastAsia="Times New Roman" w:hAnsi="Times New Roman" w:cs="Times New Roman"/>
      <w:sz w:val="24"/>
      <w:lang w:val="en-US" w:eastAsia="en-US"/>
    </w:rPr>
  </w:style>
  <w:style w:type="paragraph" w:styleId="Footer">
    <w:name w:val="footer"/>
    <w:basedOn w:val="Normal"/>
    <w:link w:val="FooterChar"/>
    <w:rsid w:val="003239C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239C2"/>
    <w:rPr>
      <w:rFonts w:ascii="Times New Roman" w:eastAsia="Times New Roman" w:hAnsi="Times New Roman" w:cs="Times New Roman"/>
      <w:sz w:val="16"/>
      <w:lang w:val="en-US" w:eastAsia="en-US"/>
    </w:rPr>
  </w:style>
  <w:style w:type="paragraph" w:styleId="ListBullet">
    <w:name w:val="List Bullet"/>
    <w:basedOn w:val="List"/>
    <w:rsid w:val="003239C2"/>
    <w:pPr>
      <w:numPr>
        <w:numId w:val="12"/>
      </w:numPr>
      <w:tabs>
        <w:tab w:val="clear" w:pos="340"/>
      </w:tabs>
      <w:spacing w:before="40" w:after="40"/>
    </w:pPr>
  </w:style>
  <w:style w:type="character" w:customStyle="1" w:styleId="SpecialBold">
    <w:name w:val="Special Bold"/>
    <w:basedOn w:val="DefaultParagraphFont"/>
    <w:rsid w:val="003239C2"/>
    <w:rPr>
      <w:b/>
      <w:spacing w:val="0"/>
    </w:rPr>
  </w:style>
  <w:style w:type="paragraph" w:styleId="Header">
    <w:name w:val="header"/>
    <w:basedOn w:val="Normal"/>
    <w:link w:val="HeaderChar"/>
    <w:rsid w:val="003239C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239C2"/>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3239C2"/>
    <w:rPr>
      <w:i/>
    </w:rPr>
  </w:style>
  <w:style w:type="paragraph" w:customStyle="1" w:styleId="SuperHeading">
    <w:name w:val="SuperHeading"/>
    <w:basedOn w:val="Normal"/>
    <w:rsid w:val="003239C2"/>
    <w:pPr>
      <w:spacing w:before="240" w:after="120"/>
      <w:outlineLvl w:val="0"/>
    </w:pPr>
    <w:rPr>
      <w:rFonts w:ascii="Times New Roman" w:hAnsi="Times New Roman"/>
      <w:b/>
      <w:sz w:val="28"/>
    </w:rPr>
  </w:style>
  <w:style w:type="paragraph" w:customStyle="1" w:styleId="AllowPageBreak">
    <w:name w:val="AllowPageBreak"/>
    <w:rsid w:val="003239C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239C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239C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239C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239C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239C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39C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239C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239C2"/>
    <w:rPr>
      <w:rFonts w:ascii="Courier New" w:eastAsia="Times New Roman" w:hAnsi="Courier New" w:cs="Times New Roman"/>
      <w:i/>
      <w:szCs w:val="20"/>
      <w:lang w:val="en-US" w:eastAsia="en-US"/>
    </w:rPr>
  </w:style>
  <w:style w:type="paragraph" w:customStyle="1" w:styleId="HeadingBase">
    <w:name w:val="Heading Base"/>
    <w:rsid w:val="003239C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39C2"/>
    <w:pPr>
      <w:tabs>
        <w:tab w:val="right" w:leader="dot" w:pos="9072"/>
      </w:tabs>
      <w:ind w:left="567"/>
    </w:pPr>
    <w:rPr>
      <w:szCs w:val="22"/>
    </w:rPr>
  </w:style>
  <w:style w:type="paragraph" w:customStyle="1" w:styleId="TOCBase">
    <w:name w:val="TOC Base"/>
    <w:rsid w:val="003239C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39C2"/>
    <w:pPr>
      <w:tabs>
        <w:tab w:val="right" w:leader="dot" w:pos="9072"/>
      </w:tabs>
      <w:spacing w:before="40" w:after="40"/>
      <w:ind w:left="284"/>
    </w:pPr>
    <w:rPr>
      <w:rFonts w:ascii="Times New Roman" w:hAnsi="Times New Roman"/>
    </w:rPr>
  </w:style>
  <w:style w:type="paragraph" w:styleId="TOC1">
    <w:name w:val="toc 1"/>
    <w:basedOn w:val="TOCBase"/>
    <w:next w:val="Normal"/>
    <w:rsid w:val="003239C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239C2"/>
    <w:pPr>
      <w:spacing w:before="5040"/>
      <w:jc w:val="center"/>
    </w:pPr>
    <w:rPr>
      <w:sz w:val="48"/>
      <w:szCs w:val="72"/>
      <w:lang w:val="en-US"/>
    </w:rPr>
  </w:style>
  <w:style w:type="character" w:customStyle="1" w:styleId="TitleChar">
    <w:name w:val="Title Char"/>
    <w:basedOn w:val="DefaultParagraphFont"/>
    <w:link w:val="Title"/>
    <w:rsid w:val="003239C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39C2"/>
    <w:pPr>
      <w:tabs>
        <w:tab w:val="left" w:pos="3600"/>
        <w:tab w:val="left" w:pos="3958"/>
      </w:tabs>
    </w:pPr>
  </w:style>
  <w:style w:type="paragraph" w:styleId="List">
    <w:name w:val="List"/>
    <w:basedOn w:val="BodyText"/>
    <w:next w:val="BodyText"/>
    <w:rsid w:val="003239C2"/>
    <w:pPr>
      <w:tabs>
        <w:tab w:val="left" w:pos="340"/>
      </w:tabs>
      <w:spacing w:before="60" w:after="60"/>
      <w:ind w:left="340" w:hanging="340"/>
    </w:pPr>
  </w:style>
  <w:style w:type="paragraph" w:customStyle="1" w:styleId="Note">
    <w:name w:val="Note"/>
    <w:basedOn w:val="BodyText"/>
    <w:rsid w:val="003239C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239C2"/>
    <w:pPr>
      <w:framePr w:wrap="auto" w:hAnchor="text" w:y="6049"/>
    </w:pPr>
    <w:rPr>
      <w:color w:val="000000"/>
      <w:sz w:val="40"/>
    </w:rPr>
  </w:style>
  <w:style w:type="paragraph" w:customStyle="1" w:styleId="TOCTitle">
    <w:name w:val="TOCTitle"/>
    <w:basedOn w:val="Heading1"/>
    <w:rsid w:val="003239C2"/>
    <w:pPr>
      <w:spacing w:after="240"/>
      <w:jc w:val="center"/>
      <w:outlineLvl w:val="9"/>
    </w:pPr>
    <w:rPr>
      <w:caps/>
    </w:rPr>
  </w:style>
  <w:style w:type="paragraph" w:customStyle="1" w:styleId="Version">
    <w:name w:val="Version"/>
    <w:rsid w:val="003239C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239C2"/>
    <w:pPr>
      <w:numPr>
        <w:numId w:val="13"/>
      </w:numPr>
      <w:tabs>
        <w:tab w:val="clear" w:pos="680"/>
      </w:tabs>
    </w:pPr>
  </w:style>
  <w:style w:type="paragraph" w:styleId="Index1">
    <w:name w:val="index 1"/>
    <w:basedOn w:val="Normal"/>
    <w:next w:val="Normal"/>
    <w:semiHidden/>
    <w:rsid w:val="003239C2"/>
    <w:pPr>
      <w:keepNext w:val="0"/>
      <w:tabs>
        <w:tab w:val="right" w:pos="4176"/>
      </w:tabs>
      <w:ind w:left="198" w:hanging="198"/>
    </w:pPr>
    <w:rPr>
      <w:rFonts w:ascii="Garamond" w:hAnsi="Garamond"/>
    </w:rPr>
  </w:style>
  <w:style w:type="paragraph" w:styleId="IndexHeading">
    <w:name w:val="index heading"/>
    <w:basedOn w:val="Normal"/>
    <w:next w:val="Index1"/>
    <w:semiHidden/>
    <w:rsid w:val="003239C2"/>
    <w:pPr>
      <w:spacing w:before="120" w:after="120"/>
    </w:pPr>
    <w:rPr>
      <w:rFonts w:ascii="Arial" w:hAnsi="Arial"/>
      <w:b/>
      <w:color w:val="918585"/>
      <w:sz w:val="24"/>
    </w:rPr>
  </w:style>
  <w:style w:type="paragraph" w:customStyle="1" w:styleId="Chapter">
    <w:name w:val="Chapter"/>
    <w:basedOn w:val="Normal"/>
    <w:rsid w:val="003239C2"/>
    <w:pPr>
      <w:spacing w:before="240"/>
    </w:pPr>
    <w:rPr>
      <w:rFonts w:ascii="Times New Roman" w:hAnsi="Times New Roman"/>
      <w:smallCaps/>
      <w:spacing w:val="80"/>
      <w:sz w:val="28"/>
    </w:rPr>
  </w:style>
  <w:style w:type="paragraph" w:customStyle="1" w:styleId="InChapter">
    <w:name w:val="InChapter"/>
    <w:basedOn w:val="Heading3"/>
    <w:rsid w:val="003239C2"/>
    <w:pPr>
      <w:spacing w:after="240"/>
      <w:outlineLvl w:val="9"/>
    </w:pPr>
    <w:rPr>
      <w:noProof/>
    </w:rPr>
  </w:style>
  <w:style w:type="paragraph" w:styleId="Index2">
    <w:name w:val="index 2"/>
    <w:basedOn w:val="Normal"/>
    <w:next w:val="Normal"/>
    <w:semiHidden/>
    <w:rsid w:val="003239C2"/>
    <w:pPr>
      <w:tabs>
        <w:tab w:val="right" w:pos="4176"/>
      </w:tabs>
      <w:ind w:left="568" w:hanging="284"/>
    </w:pPr>
    <w:rPr>
      <w:rFonts w:ascii="Garamond" w:hAnsi="Garamond"/>
    </w:rPr>
  </w:style>
  <w:style w:type="paragraph" w:customStyle="1" w:styleId="Byline">
    <w:name w:val="Byline"/>
    <w:rsid w:val="003239C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39C2"/>
    <w:pPr>
      <w:tabs>
        <w:tab w:val="clear" w:pos="3600"/>
        <w:tab w:val="clear" w:pos="3958"/>
      </w:tabs>
      <w:jc w:val="right"/>
    </w:pPr>
  </w:style>
  <w:style w:type="paragraph" w:styleId="Caption">
    <w:name w:val="caption"/>
    <w:basedOn w:val="BodyText"/>
    <w:next w:val="Normal"/>
    <w:qFormat/>
    <w:rsid w:val="003239C2"/>
    <w:pPr>
      <w:framePr w:w="2268" w:hSpace="181" w:vSpace="181" w:wrap="around" w:vAnchor="text" w:hAnchor="page" w:x="1135" w:y="285" w:anchorLock="1"/>
    </w:pPr>
    <w:rPr>
      <w:i/>
    </w:rPr>
  </w:style>
  <w:style w:type="paragraph" w:customStyle="1" w:styleId="MiniTOCTitle">
    <w:name w:val="MiniTOCTitle"/>
    <w:basedOn w:val="Heading4"/>
    <w:rsid w:val="003239C2"/>
    <w:pPr>
      <w:spacing w:before="240"/>
      <w:outlineLvl w:val="9"/>
    </w:pPr>
    <w:rPr>
      <w:noProof/>
      <w:sz w:val="24"/>
    </w:rPr>
  </w:style>
  <w:style w:type="paragraph" w:customStyle="1" w:styleId="MiniTOCItem">
    <w:name w:val="MiniTOCItem"/>
    <w:basedOn w:val="ListBullet"/>
    <w:rsid w:val="003239C2"/>
    <w:pPr>
      <w:numPr>
        <w:numId w:val="0"/>
      </w:numPr>
      <w:tabs>
        <w:tab w:val="right" w:leader="dot" w:pos="6521"/>
      </w:tabs>
      <w:spacing w:before="0" w:after="0"/>
    </w:pPr>
  </w:style>
  <w:style w:type="paragraph" w:customStyle="1" w:styleId="TOFTitle">
    <w:name w:val="TOFTitle"/>
    <w:basedOn w:val="TOCTitle"/>
    <w:rsid w:val="003239C2"/>
  </w:style>
  <w:style w:type="paragraph" w:styleId="TableofFigures">
    <w:name w:val="table of figures"/>
    <w:basedOn w:val="Normal"/>
    <w:next w:val="Normal"/>
    <w:semiHidden/>
    <w:rsid w:val="003239C2"/>
    <w:pPr>
      <w:tabs>
        <w:tab w:val="right" w:leader="dot" w:pos="9072"/>
      </w:tabs>
      <w:ind w:left="970" w:hanging="403"/>
    </w:pPr>
    <w:rPr>
      <w:rFonts w:ascii="Times New Roman" w:hAnsi="Times New Roman"/>
      <w:b/>
    </w:rPr>
  </w:style>
  <w:style w:type="paragraph" w:styleId="ListNumber">
    <w:name w:val="List Number"/>
    <w:basedOn w:val="List"/>
    <w:rsid w:val="003239C2"/>
    <w:pPr>
      <w:numPr>
        <w:numId w:val="10"/>
      </w:numPr>
    </w:pPr>
  </w:style>
  <w:style w:type="character" w:customStyle="1" w:styleId="WingdingSymbols">
    <w:name w:val="Wingding Symbols"/>
    <w:rsid w:val="003239C2"/>
    <w:rPr>
      <w:rFonts w:ascii="Wingdings" w:hAnsi="Wingdings"/>
    </w:rPr>
  </w:style>
  <w:style w:type="paragraph" w:customStyle="1" w:styleId="TableHeading">
    <w:name w:val="Table Heading"/>
    <w:basedOn w:val="HeadingBase"/>
    <w:rsid w:val="003239C2"/>
    <w:pPr>
      <w:keepLines/>
      <w:pBdr>
        <w:bottom w:val="single" w:sz="6" w:space="1" w:color="918585"/>
      </w:pBdr>
      <w:spacing w:before="240"/>
    </w:pPr>
  </w:style>
  <w:style w:type="character" w:customStyle="1" w:styleId="HotSpot">
    <w:name w:val="HotSpot"/>
    <w:rsid w:val="003239C2"/>
    <w:rPr>
      <w:color w:val="0033CC"/>
      <w:u w:val="none"/>
    </w:rPr>
  </w:style>
  <w:style w:type="paragraph" w:customStyle="1" w:styleId="BodyTextRight">
    <w:name w:val="Body Text Right"/>
    <w:basedOn w:val="BodyText"/>
    <w:rsid w:val="003239C2"/>
    <w:pPr>
      <w:spacing w:before="0" w:after="0"/>
      <w:jc w:val="right"/>
    </w:pPr>
  </w:style>
  <w:style w:type="paragraph" w:styleId="Index3">
    <w:name w:val="index 3"/>
    <w:basedOn w:val="ListNumber2"/>
    <w:next w:val="Normal"/>
    <w:semiHidden/>
    <w:rsid w:val="003239C2"/>
    <w:pPr>
      <w:numPr>
        <w:numId w:val="0"/>
      </w:numPr>
      <w:tabs>
        <w:tab w:val="right" w:leader="dot" w:pos="4176"/>
      </w:tabs>
    </w:pPr>
  </w:style>
  <w:style w:type="paragraph" w:styleId="ListNumber2">
    <w:name w:val="List Number 2"/>
    <w:basedOn w:val="List2"/>
    <w:rsid w:val="003239C2"/>
    <w:pPr>
      <w:numPr>
        <w:numId w:val="9"/>
      </w:numPr>
      <w:tabs>
        <w:tab w:val="clear" w:pos="1060"/>
      </w:tabs>
    </w:pPr>
  </w:style>
  <w:style w:type="paragraph" w:customStyle="1" w:styleId="MarginNote">
    <w:name w:val="Margin Note"/>
    <w:basedOn w:val="BodyText"/>
    <w:rsid w:val="003239C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239C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239C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239C2"/>
    <w:rPr>
      <w:sz w:val="32"/>
    </w:rPr>
  </w:style>
  <w:style w:type="paragraph" w:customStyle="1" w:styleId="HeadingProcedure">
    <w:name w:val="Heading Procedure"/>
    <w:basedOn w:val="HeadingBase"/>
    <w:next w:val="Normal"/>
    <w:rsid w:val="003239C2"/>
    <w:pPr>
      <w:tabs>
        <w:tab w:val="left" w:pos="0"/>
      </w:tabs>
      <w:spacing w:before="120" w:after="60"/>
    </w:pPr>
    <w:rPr>
      <w:i/>
      <w:color w:val="918585"/>
      <w:sz w:val="22"/>
    </w:rPr>
  </w:style>
  <w:style w:type="paragraph" w:customStyle="1" w:styleId="TableBodyText">
    <w:name w:val="Table Body Text"/>
    <w:basedOn w:val="BodyText"/>
    <w:rsid w:val="003239C2"/>
    <w:pPr>
      <w:spacing w:before="60" w:after="60"/>
    </w:pPr>
  </w:style>
  <w:style w:type="paragraph" w:styleId="ListContinue">
    <w:name w:val="List Continue"/>
    <w:basedOn w:val="List"/>
    <w:rsid w:val="003239C2"/>
    <w:pPr>
      <w:ind w:firstLine="0"/>
    </w:pPr>
  </w:style>
  <w:style w:type="paragraph" w:customStyle="1" w:styleId="ListNote">
    <w:name w:val="List Note"/>
    <w:basedOn w:val="List"/>
    <w:rsid w:val="003239C2"/>
    <w:pPr>
      <w:pBdr>
        <w:top w:val="single" w:sz="6" w:space="2" w:color="918585"/>
        <w:bottom w:val="single" w:sz="6" w:space="2" w:color="918585"/>
      </w:pBdr>
      <w:tabs>
        <w:tab w:val="left" w:pos="1021"/>
      </w:tabs>
      <w:ind w:firstLine="0"/>
    </w:pPr>
  </w:style>
  <w:style w:type="paragraph" w:customStyle="1" w:styleId="Warning">
    <w:name w:val="Warning"/>
    <w:basedOn w:val="BodyText"/>
    <w:rsid w:val="003239C2"/>
    <w:pPr>
      <w:shd w:val="clear" w:color="auto" w:fill="D9D9D9"/>
      <w:tabs>
        <w:tab w:val="left" w:pos="992"/>
      </w:tabs>
      <w:ind w:left="119" w:right="119"/>
    </w:pPr>
    <w:rPr>
      <w:sz w:val="20"/>
    </w:rPr>
  </w:style>
  <w:style w:type="paragraph" w:customStyle="1" w:styleId="MarginIcons">
    <w:name w:val="Margin Icons"/>
    <w:basedOn w:val="BodyText"/>
    <w:rsid w:val="003239C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239C2"/>
    <w:rPr>
      <w:rFonts w:ascii="Courier New" w:hAnsi="Courier New"/>
    </w:rPr>
  </w:style>
  <w:style w:type="paragraph" w:customStyle="1" w:styleId="NoteBullet">
    <w:name w:val="Note Bullet"/>
    <w:basedOn w:val="Note"/>
    <w:rsid w:val="003239C2"/>
    <w:pPr>
      <w:tabs>
        <w:tab w:val="clear" w:pos="680"/>
      </w:tabs>
      <w:spacing w:before="60" w:after="60"/>
    </w:pPr>
  </w:style>
  <w:style w:type="paragraph" w:customStyle="1" w:styleId="SubHeading2">
    <w:name w:val="SubHeading2"/>
    <w:basedOn w:val="HeadingBase"/>
    <w:rsid w:val="003239C2"/>
    <w:pPr>
      <w:spacing w:before="240" w:after="60"/>
    </w:pPr>
    <w:rPr>
      <w:sz w:val="20"/>
    </w:rPr>
  </w:style>
  <w:style w:type="paragraph" w:customStyle="1" w:styleId="SubHeading1">
    <w:name w:val="SubHeading1"/>
    <w:basedOn w:val="HeadingBase"/>
    <w:rsid w:val="003239C2"/>
    <w:pPr>
      <w:spacing w:before="240" w:after="60"/>
    </w:pPr>
    <w:rPr>
      <w:color w:val="918585"/>
      <w:sz w:val="22"/>
    </w:rPr>
  </w:style>
  <w:style w:type="paragraph" w:customStyle="1" w:styleId="SideHeading">
    <w:name w:val="Side Heading"/>
    <w:basedOn w:val="HeadingBase"/>
    <w:rsid w:val="003239C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39C2"/>
    <w:pPr>
      <w:tabs>
        <w:tab w:val="num" w:pos="360"/>
      </w:tabs>
    </w:pPr>
  </w:style>
  <w:style w:type="paragraph" w:styleId="PlainText">
    <w:name w:val="Plain Text"/>
    <w:basedOn w:val="Normal"/>
    <w:link w:val="PlainTextChar"/>
    <w:rsid w:val="003239C2"/>
    <w:rPr>
      <w:sz w:val="20"/>
    </w:rPr>
  </w:style>
  <w:style w:type="character" w:customStyle="1" w:styleId="PlainTextChar">
    <w:name w:val="Plain Text Char"/>
    <w:basedOn w:val="DefaultParagraphFont"/>
    <w:link w:val="PlainText"/>
    <w:rsid w:val="003239C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239C2"/>
    <w:rPr>
      <w:b/>
      <w:smallCaps/>
    </w:rPr>
  </w:style>
  <w:style w:type="paragraph" w:customStyle="1" w:styleId="TableListNumber">
    <w:name w:val="Table List Number"/>
    <w:basedOn w:val="ListNumber"/>
    <w:rsid w:val="003239C2"/>
    <w:pPr>
      <w:numPr>
        <w:numId w:val="0"/>
      </w:numPr>
    </w:pPr>
  </w:style>
  <w:style w:type="paragraph" w:styleId="TOC4">
    <w:name w:val="toc 4"/>
    <w:basedOn w:val="TOCBase"/>
    <w:next w:val="Normal"/>
    <w:semiHidden/>
    <w:rsid w:val="003239C2"/>
    <w:pPr>
      <w:tabs>
        <w:tab w:val="right" w:leader="dot" w:pos="9071"/>
      </w:tabs>
      <w:ind w:left="1701"/>
    </w:pPr>
  </w:style>
  <w:style w:type="paragraph" w:customStyle="1" w:styleId="ListAlpha">
    <w:name w:val="List Alpha"/>
    <w:basedOn w:val="List"/>
    <w:rsid w:val="003239C2"/>
    <w:pPr>
      <w:numPr>
        <w:numId w:val="8"/>
      </w:numPr>
    </w:pPr>
  </w:style>
  <w:style w:type="paragraph" w:customStyle="1" w:styleId="ListAlpha2">
    <w:name w:val="List Alpha 2"/>
    <w:basedOn w:val="List2"/>
    <w:rsid w:val="003239C2"/>
    <w:pPr>
      <w:numPr>
        <w:numId w:val="7"/>
      </w:numPr>
    </w:pPr>
  </w:style>
  <w:style w:type="paragraph" w:styleId="List2">
    <w:name w:val="List 2"/>
    <w:basedOn w:val="BodyText"/>
    <w:rsid w:val="003239C2"/>
    <w:pPr>
      <w:tabs>
        <w:tab w:val="left" w:pos="680"/>
      </w:tabs>
      <w:spacing w:before="60" w:after="60"/>
      <w:ind w:left="680" w:hanging="340"/>
    </w:pPr>
  </w:style>
  <w:style w:type="paragraph" w:styleId="List3">
    <w:name w:val="List 3"/>
    <w:basedOn w:val="BodyText"/>
    <w:rsid w:val="003239C2"/>
    <w:pPr>
      <w:tabs>
        <w:tab w:val="left" w:pos="1021"/>
      </w:tabs>
      <w:spacing w:before="60" w:after="60"/>
      <w:ind w:left="1020" w:hanging="340"/>
    </w:pPr>
  </w:style>
  <w:style w:type="paragraph" w:styleId="List4">
    <w:name w:val="List 4"/>
    <w:basedOn w:val="BodyText"/>
    <w:rsid w:val="003239C2"/>
    <w:pPr>
      <w:tabs>
        <w:tab w:val="left" w:pos="1361"/>
      </w:tabs>
      <w:spacing w:before="60" w:after="60"/>
      <w:ind w:left="1361" w:hanging="340"/>
    </w:pPr>
  </w:style>
  <w:style w:type="paragraph" w:styleId="List5">
    <w:name w:val="List 5"/>
    <w:basedOn w:val="BodyText"/>
    <w:rsid w:val="003239C2"/>
    <w:pPr>
      <w:tabs>
        <w:tab w:val="left" w:pos="1701"/>
      </w:tabs>
      <w:spacing w:before="60" w:after="60"/>
      <w:ind w:left="1701" w:hanging="340"/>
    </w:pPr>
  </w:style>
  <w:style w:type="paragraph" w:styleId="ListBullet3">
    <w:name w:val="List Bullet 3"/>
    <w:basedOn w:val="List3"/>
    <w:rsid w:val="003239C2"/>
    <w:pPr>
      <w:numPr>
        <w:numId w:val="14"/>
      </w:numPr>
      <w:tabs>
        <w:tab w:val="clear" w:pos="1021"/>
      </w:tabs>
      <w:ind w:left="1037" w:hanging="357"/>
    </w:pPr>
  </w:style>
  <w:style w:type="paragraph" w:styleId="ListBullet4">
    <w:name w:val="List Bullet 4"/>
    <w:basedOn w:val="List4"/>
    <w:rsid w:val="003239C2"/>
    <w:pPr>
      <w:numPr>
        <w:numId w:val="2"/>
      </w:numPr>
    </w:pPr>
  </w:style>
  <w:style w:type="paragraph" w:styleId="ListBullet5">
    <w:name w:val="List Bullet 5"/>
    <w:basedOn w:val="List5"/>
    <w:rsid w:val="003239C2"/>
    <w:pPr>
      <w:numPr>
        <w:numId w:val="3"/>
      </w:numPr>
    </w:pPr>
  </w:style>
  <w:style w:type="paragraph" w:styleId="ListContinue2">
    <w:name w:val="List Continue 2"/>
    <w:basedOn w:val="List2"/>
    <w:rsid w:val="003239C2"/>
    <w:pPr>
      <w:ind w:firstLine="0"/>
    </w:pPr>
  </w:style>
  <w:style w:type="paragraph" w:styleId="ListContinue3">
    <w:name w:val="List Continue 3"/>
    <w:basedOn w:val="List3"/>
    <w:rsid w:val="003239C2"/>
    <w:pPr>
      <w:ind w:left="1021" w:firstLine="0"/>
    </w:pPr>
  </w:style>
  <w:style w:type="paragraph" w:styleId="ListContinue4">
    <w:name w:val="List Continue 4"/>
    <w:basedOn w:val="List4"/>
    <w:rsid w:val="003239C2"/>
    <w:pPr>
      <w:ind w:firstLine="0"/>
    </w:pPr>
  </w:style>
  <w:style w:type="paragraph" w:styleId="ListContinue5">
    <w:name w:val="List Continue 5"/>
    <w:basedOn w:val="List5"/>
    <w:rsid w:val="003239C2"/>
    <w:pPr>
      <w:ind w:firstLine="0"/>
    </w:pPr>
  </w:style>
  <w:style w:type="paragraph" w:styleId="ListNumber3">
    <w:name w:val="List Number 3"/>
    <w:basedOn w:val="List3"/>
    <w:rsid w:val="003239C2"/>
    <w:pPr>
      <w:numPr>
        <w:numId w:val="4"/>
      </w:numPr>
    </w:pPr>
  </w:style>
  <w:style w:type="paragraph" w:styleId="ListNumber4">
    <w:name w:val="List Number 4"/>
    <w:basedOn w:val="List4"/>
    <w:rsid w:val="003239C2"/>
    <w:pPr>
      <w:numPr>
        <w:numId w:val="5"/>
      </w:numPr>
    </w:pPr>
  </w:style>
  <w:style w:type="paragraph" w:styleId="ListNumber5">
    <w:name w:val="List Number 5"/>
    <w:basedOn w:val="List5"/>
    <w:rsid w:val="003239C2"/>
    <w:pPr>
      <w:numPr>
        <w:numId w:val="6"/>
      </w:numPr>
    </w:pPr>
  </w:style>
  <w:style w:type="paragraph" w:styleId="BlockText">
    <w:name w:val="Block Text"/>
    <w:basedOn w:val="Normal"/>
    <w:rsid w:val="003239C2"/>
    <w:pPr>
      <w:spacing w:after="120"/>
      <w:ind w:left="1440" w:right="1440"/>
    </w:pPr>
  </w:style>
  <w:style w:type="character" w:customStyle="1" w:styleId="Subscript">
    <w:name w:val="Subscript"/>
    <w:basedOn w:val="DefaultParagraphFont"/>
    <w:rsid w:val="003239C2"/>
    <w:rPr>
      <w:sz w:val="16"/>
      <w:vertAlign w:val="subscript"/>
    </w:rPr>
  </w:style>
  <w:style w:type="character" w:customStyle="1" w:styleId="Superscript">
    <w:name w:val="Superscript"/>
    <w:basedOn w:val="DefaultParagraphFont"/>
    <w:rsid w:val="003239C2"/>
    <w:rPr>
      <w:sz w:val="16"/>
      <w:vertAlign w:val="superscript"/>
    </w:rPr>
  </w:style>
  <w:style w:type="character" w:customStyle="1" w:styleId="Symbols">
    <w:name w:val="Symbols"/>
    <w:basedOn w:val="DefaultParagraphFont"/>
    <w:rsid w:val="003239C2"/>
    <w:rPr>
      <w:rFonts w:ascii="Symbol" w:hAnsi="Symbol"/>
    </w:rPr>
  </w:style>
  <w:style w:type="character" w:customStyle="1" w:styleId="MenuOptions">
    <w:name w:val="Menu Options"/>
    <w:basedOn w:val="DefaultParagraphFont"/>
    <w:rsid w:val="003239C2"/>
    <w:rPr>
      <w:rFonts w:ascii="Arial Narrow" w:hAnsi="Arial Narrow"/>
      <w:smallCaps/>
    </w:rPr>
  </w:style>
  <w:style w:type="character" w:customStyle="1" w:styleId="Buttons">
    <w:name w:val="Buttons"/>
    <w:basedOn w:val="DefaultParagraphFont"/>
    <w:rsid w:val="003239C2"/>
    <w:rPr>
      <w:b/>
    </w:rPr>
  </w:style>
  <w:style w:type="character" w:customStyle="1" w:styleId="Underlined">
    <w:name w:val="Underlined"/>
    <w:basedOn w:val="DefaultParagraphFont"/>
    <w:rsid w:val="003239C2"/>
    <w:rPr>
      <w:u w:val="single"/>
    </w:rPr>
  </w:style>
  <w:style w:type="paragraph" w:customStyle="1" w:styleId="TableBodyTextRight">
    <w:name w:val="Table Body Text Right"/>
    <w:basedOn w:val="TableBodyText"/>
    <w:rsid w:val="003239C2"/>
    <w:pPr>
      <w:widowControl w:val="0"/>
      <w:autoSpaceDE w:val="0"/>
      <w:autoSpaceDN w:val="0"/>
      <w:adjustRightInd w:val="0"/>
      <w:jc w:val="right"/>
    </w:pPr>
    <w:rPr>
      <w:rFonts w:cs="Arial"/>
      <w:szCs w:val="18"/>
    </w:rPr>
  </w:style>
  <w:style w:type="paragraph" w:customStyle="1" w:styleId="CopyrightText">
    <w:name w:val="Copyright Text"/>
    <w:basedOn w:val="BodyText"/>
    <w:rsid w:val="003239C2"/>
    <w:rPr>
      <w:sz w:val="18"/>
    </w:rPr>
  </w:style>
  <w:style w:type="paragraph" w:customStyle="1" w:styleId="BodySmallRight">
    <w:name w:val="Body Small Right"/>
    <w:basedOn w:val="BodyTextRight"/>
    <w:rsid w:val="003239C2"/>
    <w:rPr>
      <w:sz w:val="18"/>
      <w:szCs w:val="18"/>
    </w:rPr>
  </w:style>
  <w:style w:type="paragraph" w:customStyle="1" w:styleId="MarginEdition">
    <w:name w:val="Margin Edition"/>
    <w:basedOn w:val="MarginNote"/>
    <w:rsid w:val="003239C2"/>
    <w:pPr>
      <w:spacing w:before="0" w:after="0"/>
    </w:pPr>
    <w:rPr>
      <w:rFonts w:ascii="Times New Roman" w:hAnsi="Times New Roman"/>
      <w:color w:val="999999"/>
    </w:rPr>
  </w:style>
  <w:style w:type="paragraph" w:customStyle="1" w:styleId="Spacer">
    <w:name w:val="Spacer"/>
    <w:basedOn w:val="Normal"/>
    <w:rsid w:val="003239C2"/>
    <w:rPr>
      <w:sz w:val="2"/>
      <w:szCs w:val="2"/>
    </w:rPr>
  </w:style>
  <w:style w:type="character" w:customStyle="1" w:styleId="Small">
    <w:name w:val="Small"/>
    <w:basedOn w:val="DefaultParagraphFont"/>
    <w:rsid w:val="003239C2"/>
    <w:rPr>
      <w:sz w:val="16"/>
    </w:rPr>
  </w:style>
  <w:style w:type="paragraph" w:customStyle="1" w:styleId="WideTable">
    <w:name w:val="Wide Table"/>
    <w:basedOn w:val="Normal"/>
    <w:rsid w:val="003239C2"/>
    <w:pPr>
      <w:ind w:left="-1418"/>
    </w:pPr>
    <w:rPr>
      <w:sz w:val="2"/>
      <w:szCs w:val="2"/>
    </w:rPr>
  </w:style>
  <w:style w:type="character" w:styleId="PageNumber">
    <w:name w:val="page number"/>
    <w:basedOn w:val="DefaultParagraphFont"/>
    <w:rsid w:val="003239C2"/>
  </w:style>
  <w:style w:type="paragraph" w:styleId="Quote">
    <w:name w:val="Quote"/>
    <w:basedOn w:val="Heading1"/>
    <w:link w:val="QuoteChar"/>
    <w:qFormat/>
    <w:rsid w:val="003239C2"/>
    <w:rPr>
      <w:b w:val="0"/>
      <w:sz w:val="72"/>
      <w:szCs w:val="72"/>
      <w:lang w:val="en-NZ"/>
    </w:rPr>
  </w:style>
  <w:style w:type="character" w:customStyle="1" w:styleId="QuoteChar">
    <w:name w:val="Quote Char"/>
    <w:basedOn w:val="DefaultParagraphFont"/>
    <w:link w:val="Quote"/>
    <w:rsid w:val="003239C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39C2"/>
    <w:pPr>
      <w:pageBreakBefore/>
    </w:pPr>
  </w:style>
  <w:style w:type="paragraph" w:customStyle="1" w:styleId="Border">
    <w:name w:val="Border"/>
    <w:basedOn w:val="Normal"/>
    <w:qFormat/>
    <w:rsid w:val="003239C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239C2"/>
    <w:rPr>
      <w:b/>
      <w:bCs/>
      <w:i/>
      <w:iCs/>
      <w:color w:val="auto"/>
    </w:rPr>
  </w:style>
  <w:style w:type="paragraph" w:styleId="IntenseQuote">
    <w:name w:val="Intense Quote"/>
    <w:basedOn w:val="Normal"/>
    <w:next w:val="Normal"/>
    <w:link w:val="IntenseQuoteChar"/>
    <w:uiPriority w:val="30"/>
    <w:qFormat/>
    <w:rsid w:val="003239C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239C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239C2"/>
    <w:rPr>
      <w:smallCaps/>
      <w:color w:val="auto"/>
      <w:u w:val="single"/>
    </w:rPr>
  </w:style>
  <w:style w:type="character" w:styleId="IntenseReference">
    <w:name w:val="Intense Reference"/>
    <w:basedOn w:val="DefaultParagraphFont"/>
    <w:uiPriority w:val="32"/>
    <w:qFormat/>
    <w:rsid w:val="003239C2"/>
    <w:rPr>
      <w:b/>
      <w:bCs/>
      <w:smallCaps/>
      <w:color w:val="auto"/>
      <w:spacing w:val="5"/>
      <w:u w:val="single"/>
    </w:rPr>
  </w:style>
  <w:style w:type="paragraph" w:customStyle="1" w:styleId="2ColumnHeading">
    <w:name w:val="2Column Heading"/>
    <w:basedOn w:val="BodyText"/>
    <w:qFormat/>
    <w:rsid w:val="003239C2"/>
    <w:pPr>
      <w:spacing w:after="60"/>
      <w:ind w:left="-2268"/>
    </w:pPr>
    <w:rPr>
      <w:b/>
    </w:rPr>
  </w:style>
  <w:style w:type="paragraph" w:customStyle="1" w:styleId="Heading1TOC">
    <w:name w:val="Heading1 TOC"/>
    <w:basedOn w:val="Normal"/>
    <w:qFormat/>
    <w:rsid w:val="003239C2"/>
    <w:pPr>
      <w:spacing w:before="240" w:after="120"/>
    </w:pPr>
    <w:rPr>
      <w:rFonts w:ascii="Times New Roman" w:hAnsi="Times New Roman"/>
      <w:b/>
      <w:sz w:val="32"/>
    </w:rPr>
  </w:style>
  <w:style w:type="paragraph" w:customStyle="1" w:styleId="Heading2TOC">
    <w:name w:val="Heading2 TOC"/>
    <w:basedOn w:val="Normal"/>
    <w:qFormat/>
    <w:rsid w:val="003239C2"/>
    <w:pPr>
      <w:spacing w:before="240" w:after="60"/>
    </w:pPr>
    <w:rPr>
      <w:rFonts w:ascii="Times New Roman" w:hAnsi="Times New Roman"/>
      <w:b/>
      <w:sz w:val="28"/>
    </w:rPr>
  </w:style>
  <w:style w:type="character" w:customStyle="1" w:styleId="Underline">
    <w:name w:val="Underline"/>
    <w:basedOn w:val="DefaultParagraphFont"/>
    <w:qFormat/>
    <w:rsid w:val="003239C2"/>
    <w:rPr>
      <w:u w:val="single"/>
    </w:rPr>
  </w:style>
  <w:style w:type="character" w:customStyle="1" w:styleId="BoldandItalics">
    <w:name w:val="Bold and Italics"/>
    <w:qFormat/>
    <w:rsid w:val="003239C2"/>
    <w:rPr>
      <w:b/>
      <w:i/>
      <w:u w:val="none"/>
    </w:rPr>
  </w:style>
  <w:style w:type="paragraph" w:styleId="BalloonText">
    <w:name w:val="Balloon Text"/>
    <w:basedOn w:val="Normal"/>
    <w:link w:val="BalloonTextChar"/>
    <w:rsid w:val="003239C2"/>
    <w:rPr>
      <w:rFonts w:ascii="Tahoma" w:hAnsi="Tahoma" w:cs="Tahoma"/>
      <w:sz w:val="16"/>
      <w:szCs w:val="16"/>
    </w:rPr>
  </w:style>
  <w:style w:type="character" w:customStyle="1" w:styleId="BalloonTextChar">
    <w:name w:val="Balloon Text Char"/>
    <w:basedOn w:val="DefaultParagraphFont"/>
    <w:link w:val="BalloonText"/>
    <w:rsid w:val="003239C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239C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239C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1635</Words>
  <Characters>10367</Characters>
  <Application>Microsoft Office Word</Application>
  <DocSecurity>0</DocSecurity>
  <Lines>361</Lines>
  <Paragraphs>177</Paragraphs>
  <ScaleCrop>false</ScaleCrop>
  <Company>Author-it Software Corporation Ltd.</Company>
  <LinksUpToDate>false</LinksUpToDate>
  <CharactersWithSpaces>11908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MSS404082A Assist in implementing a proactive maintenance strategy</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2012-05-26T18:48:00Z</dcterms:created>
  <dcterms:modified xsi:type="dcterms:W3CDTF">2012-05-26T18:48:00Z</dcterms:modified>
</cp:coreProperties>
</file>