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450FC" w:rsidP="004450FC">
      <w:pPr>
        <w:pStyle w:val="Title"/>
      </w:pPr>
      <w:r>
        <w:fldChar w:fldCharType="begin"/>
      </w:r>
      <w:r>
        <w:instrText xml:space="preserve"> TITLE   \* MERGEFORMAT </w:instrText>
      </w:r>
      <w:r>
        <w:fldChar w:fldCharType="separate"/>
      </w:r>
      <w:r>
        <w:t>MSS403051A Mistake proof an operational process</w:t>
      </w:r>
      <w:r>
        <w:fldChar w:fldCharType="end"/>
      </w:r>
    </w:p>
    <w:p w:rsidR="004450FC" w:rsidP="004450FC">
      <w:pPr>
        <w:pStyle w:val="Version"/>
        <w:sectPr w:rsidSect="00DC073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C0739" w:rsidP="00DC0739">
      <w:pPr>
        <w:pStyle w:val="SuperHeading"/>
      </w:pPr>
      <w:r w:rsidRPr="00DC0739">
        <w:t>MSS403051A Mistake proof an operational process</w:t>
      </w:r>
    </w:p>
    <w:p w:rsidR="00000000" w:rsidRPr="00DC0739" w:rsidP="00DC0739">
      <w:pPr>
        <w:pStyle w:val="Heading1"/>
      </w:pPr>
      <w:bookmarkStart w:id="1" w:name="O_467076"/>
      <w:bookmarkEnd w:id="1"/>
      <w:r w:rsidRPr="00DC0739">
        <w:t>Modification History</w:t>
      </w:r>
    </w:p>
    <w:p w:rsidR="00000000" w:rsidRPr="00DC0739" w:rsidP="00DC0739">
      <w:pPr>
        <w:pStyle w:val="BodyText"/>
      </w:pPr>
      <w:r w:rsidRPr="00DC0739">
        <w:t>New unit, superseding MSACMT451A Mistake proof a production process - Equivalent</w:t>
      </w:r>
    </w:p>
    <w:p w:rsidR="00000000" w:rsidRPr="00DC0739" w:rsidP="00DC0739">
      <w:pPr>
        <w:pStyle w:val="AllowPageBreak"/>
      </w:pPr>
    </w:p>
    <w:p w:rsidR="00000000" w:rsidRPr="00DC0739" w:rsidP="00DC0739">
      <w:pPr>
        <w:pStyle w:val="Heading1"/>
      </w:pPr>
      <w:bookmarkStart w:id="2" w:name="O_467077"/>
      <w:bookmarkEnd w:id="2"/>
      <w:r w:rsidRPr="00DC0739">
        <w:t>Unit Descriptor</w:t>
      </w:r>
    </w:p>
    <w:p w:rsidR="004450FC" w:rsidP="00DC0739">
      <w:pPr>
        <w:pStyle w:val="BodyText"/>
      </w:pPr>
      <w:r w:rsidRPr="00DC0739">
        <w:t>This unit of competency covers the skills and knowledge</w:t>
      </w:r>
      <w:r w:rsidRPr="00DC0739">
        <w:t xml:space="preserve"> required to make changes to own and others work in a work area which prevents errors and/or backsliding to a pre-improvement level of practice. </w:t>
      </w:r>
    </w:p>
    <w:p w:rsidR="004450FC" w:rsidP="00DC0739">
      <w:pPr>
        <w:pStyle w:val="BodyText"/>
      </w:pPr>
    </w:p>
    <w:p w:rsidR="00000000" w:rsidRPr="00DC0739" w:rsidP="00DC0739">
      <w:pPr>
        <w:pStyle w:val="Heading1"/>
      </w:pPr>
      <w:bookmarkStart w:id="3" w:name="O_467078"/>
      <w:bookmarkEnd w:id="3"/>
      <w:r w:rsidRPr="00DC0739">
        <w:t>Application of the Unit</w:t>
      </w:r>
    </w:p>
    <w:p w:rsidR="00000000" w:rsidRPr="00DC0739" w:rsidP="00DC0739">
      <w:pPr>
        <w:pStyle w:val="BodyText"/>
      </w:pPr>
      <w:r w:rsidRPr="00DC0739">
        <w:t xml:space="preserve">This unit applies to a person who needs to analyse a process that a </w:t>
      </w:r>
      <w:r w:rsidRPr="00DC0739">
        <w:t>team is responsible for and determine methods of mistake proofing it (e.g. ensuring it only produces product within an acceptable range or error-free transport and storage of goods). The person will typically be a technical expert, team leader or be in a r</w:t>
      </w:r>
      <w:r w:rsidRPr="00DC0739">
        <w:t>ole where they have sufficient technical understanding of processes in their own work and that of others to be able to mistake proof the production process in their area. After improvement activities have been undertaken these improvements need to be susta</w:t>
      </w:r>
      <w:r w:rsidRPr="00DC0739">
        <w:t>ined.</w:t>
      </w:r>
    </w:p>
    <w:p w:rsidR="004450FC" w:rsidP="00DC0739">
      <w:pPr>
        <w:pStyle w:val="BodyText"/>
      </w:pPr>
      <w:r w:rsidRPr="00DC0739">
        <w:t>This unit requires the application of skills associated information gathering and analysis. Initiative, enterprise and problem solving are also required to identify mistakes and determine strategies for eliminating them. This unit also requires commu</w:t>
      </w:r>
      <w:r w:rsidRPr="00DC0739">
        <w:t>nication and teamwork skills to ensure mistake proofing strategies are implemented and self-management and learning skills to continually reflect on and integrate feedback about the effectiveness of strategies.</w:t>
      </w:r>
    </w:p>
    <w:p w:rsidR="004450FC" w:rsidP="00DC0739">
      <w:pPr>
        <w:pStyle w:val="BodyText"/>
      </w:pPr>
    </w:p>
    <w:p w:rsidR="00000000" w:rsidRPr="00DC0739" w:rsidP="00DC0739">
      <w:pPr>
        <w:pStyle w:val="Heading1"/>
      </w:pPr>
      <w:bookmarkStart w:id="4" w:name="O_467079"/>
      <w:bookmarkEnd w:id="4"/>
      <w:r w:rsidRPr="00DC0739">
        <w:t>Licensing/Regulatory Information</w:t>
      </w:r>
    </w:p>
    <w:p w:rsidR="00000000" w:rsidRPr="00DC0739" w:rsidP="00DC0739">
      <w:pPr>
        <w:pStyle w:val="BodyText"/>
      </w:pPr>
      <w:r w:rsidRPr="00DC0739">
        <w:t>Not applicable.</w:t>
      </w:r>
    </w:p>
    <w:p w:rsidR="00000000" w:rsidRPr="00DC0739" w:rsidP="00DC0739">
      <w:pPr>
        <w:pStyle w:val="AllowPageBreak"/>
      </w:pPr>
    </w:p>
    <w:p w:rsidR="00000000" w:rsidRPr="00DC0739" w:rsidP="00DC0739">
      <w:pPr>
        <w:pStyle w:val="Heading1"/>
      </w:pPr>
      <w:bookmarkStart w:id="5" w:name="O_467080"/>
      <w:bookmarkEnd w:id="5"/>
      <w:r w:rsidRPr="00DC0739">
        <w:t>Pre-Requisites</w:t>
      </w:r>
    </w:p>
    <w:p w:rsidR="00000000" w:rsidRPr="00DC0739" w:rsidP="00DC0739">
      <w:pPr>
        <w:pStyle w:val="BodyText"/>
      </w:pPr>
      <w:r w:rsidRPr="00DC0739">
        <w:t>Not applicable.</w:t>
      </w:r>
    </w:p>
    <w:p w:rsidR="00000000" w:rsidRPr="00DC0739" w:rsidP="00DC0739">
      <w:pPr>
        <w:pStyle w:val="AllowPageBreak"/>
      </w:pPr>
    </w:p>
    <w:p w:rsidR="00000000" w:rsidRPr="00DC0739" w:rsidP="00DC0739">
      <w:pPr>
        <w:pStyle w:val="Heading1"/>
      </w:pPr>
      <w:bookmarkStart w:id="6" w:name="O_467081"/>
      <w:bookmarkEnd w:id="6"/>
      <w:r w:rsidRPr="00DC0739">
        <w:t>Employability Skills Information</w:t>
      </w:r>
    </w:p>
    <w:p w:rsidR="004450FC" w:rsidP="00DC0739">
      <w:pPr>
        <w:pStyle w:val="BodyText"/>
      </w:pPr>
      <w:r w:rsidRPr="00DC0739">
        <w:t>This unit contains employability skills.</w:t>
      </w:r>
    </w:p>
    <w:p w:rsidR="004450FC" w:rsidP="00DC0739">
      <w:pPr>
        <w:pStyle w:val="BodyText"/>
      </w:pPr>
    </w:p>
    <w:p w:rsidR="00000000" w:rsidRPr="00DC0739" w:rsidP="00DC0739">
      <w:pPr>
        <w:pStyle w:val="Heading1"/>
      </w:pPr>
      <w:bookmarkStart w:id="7" w:name="O_467082"/>
      <w:bookmarkEnd w:id="7"/>
      <w:r w:rsidRPr="00DC0739">
        <w:t>Elements and Performance Criteria Pre-Content</w:t>
      </w:r>
    </w:p>
    <w:tbl>
      <w:tblPr>
        <w:tblW w:w="0" w:type="auto"/>
        <w:tblLayout w:type="fixed"/>
        <w:tblCellMar>
          <w:left w:w="62" w:type="dxa"/>
          <w:right w:w="62" w:type="dxa"/>
        </w:tblCellMar>
        <w:tblLook w:val="0000"/>
      </w:tblPr>
      <w:tblGrid>
        <w:gridCol w:w="2640"/>
        <w:gridCol w:w="6380"/>
      </w:tblGrid>
      <w:tr w:rsidTr="00DC0739">
        <w:tblPrEx>
          <w:tblW w:w="0" w:type="auto"/>
          <w:tblLayout w:type="fixed"/>
          <w:tblCellMar>
            <w:left w:w="62" w:type="dxa"/>
            <w:right w:w="62" w:type="dxa"/>
          </w:tblCellMar>
          <w:tblLook w:val="0000"/>
        </w:tblPrEx>
        <w:tc>
          <w:tcPr>
            <w:tcW w:w="2640" w:type="dxa"/>
            <w:tcBorders>
              <w:top w:val="nil"/>
              <w:left w:val="nil"/>
              <w:bottom w:val="nil"/>
              <w:right w:val="nil"/>
            </w:tcBorders>
            <w:tcMar>
              <w:top w:w="0" w:type="dxa"/>
              <w:left w:w="62" w:type="dxa"/>
              <w:bottom w:w="0" w:type="dxa"/>
              <w:right w:w="62" w:type="dxa"/>
            </w:tcMar>
          </w:tcPr>
          <w:p w:rsidR="00000000" w:rsidP="00DC0739">
            <w:pPr>
              <w:pStyle w:val="BodyText"/>
              <w:rPr>
                <w:lang w:val="en-NZ"/>
              </w:rPr>
            </w:pPr>
            <w:r w:rsidRPr="00DC0739">
              <w:t>Elements describe the essential outcomes of a unit of competency.</w:t>
            </w:r>
          </w:p>
        </w:tc>
        <w:tc>
          <w:tcPr>
            <w:tcW w:w="6380" w:type="dxa"/>
            <w:tcBorders>
              <w:top w:val="nil"/>
              <w:left w:val="nil"/>
              <w:bottom w:val="nil"/>
              <w:right w:val="nil"/>
            </w:tcBorders>
            <w:tcMar>
              <w:top w:w="0" w:type="dxa"/>
              <w:left w:w="62" w:type="dxa"/>
              <w:bottom w:w="0" w:type="dxa"/>
              <w:right w:w="62" w:type="dxa"/>
            </w:tcMar>
          </w:tcPr>
          <w:p w:rsidR="00000000" w:rsidRPr="00DC0739" w:rsidP="00DC0739">
            <w:pPr>
              <w:pStyle w:val="BodyText"/>
            </w:pPr>
            <w:r w:rsidRPr="00DC0739">
              <w:t>Performance criteria describe the performance needed to demonstrate achievement of the element. Where bold italicised text is used, further information is detailed in the required skills and</w:t>
            </w:r>
            <w:r w:rsidRPr="00DC0739">
              <w:t xml:space="preserve"> knowledge section and the range statement. Assessment of performance is to be consistent with the evidence guide.</w:t>
            </w:r>
          </w:p>
        </w:tc>
      </w:tr>
    </w:tbl>
    <w:p w:rsidR="00000000" w:rsidRPr="00DC0739" w:rsidP="00DC0739">
      <w:pPr>
        <w:pStyle w:val="BodyText"/>
      </w:pPr>
    </w:p>
    <w:p w:rsidR="00000000" w:rsidRPr="00DC0739" w:rsidP="00DC0739">
      <w:pPr>
        <w:pStyle w:val="AllowPageBreak"/>
      </w:pPr>
    </w:p>
    <w:p w:rsidR="00000000" w:rsidRPr="00DC0739" w:rsidP="00DC0739">
      <w:pPr>
        <w:pStyle w:val="Heading1"/>
      </w:pPr>
      <w:bookmarkStart w:id="8" w:name="O_467083"/>
      <w:bookmarkEnd w:id="8"/>
      <w:r w:rsidRPr="00DC0739">
        <w:t>Elements and Performance Criteria</w:t>
      </w:r>
    </w:p>
    <w:p w:rsidR="00000000" w:rsidRPr="00DC0739" w:rsidP="00DC0739">
      <w:pPr>
        <w:pStyle w:val="BodyText"/>
      </w:pPr>
    </w:p>
    <w:tbl>
      <w:tblPr>
        <w:tblW w:w="0" w:type="auto"/>
        <w:tblLayout w:type="fixed"/>
        <w:tblCellMar>
          <w:left w:w="62" w:type="dxa"/>
          <w:right w:w="62" w:type="dxa"/>
        </w:tblCellMar>
        <w:tblLook w:val="0000"/>
      </w:tblPr>
      <w:tblGrid>
        <w:gridCol w:w="678"/>
        <w:gridCol w:w="1962"/>
        <w:gridCol w:w="770"/>
        <w:gridCol w:w="5610"/>
      </w:tblGrid>
      <w:tr w:rsidTr="00DC073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DC0739">
            <w:pPr>
              <w:pStyle w:val="BodyText"/>
              <w:rPr>
                <w:lang w:val="en-NZ"/>
              </w:rPr>
            </w:pPr>
            <w:r w:rsidRPr="00DC0739">
              <w:t>1</w:t>
            </w:r>
          </w:p>
        </w:tc>
        <w:tc>
          <w:tcPr>
            <w:tcW w:w="1962" w:type="dxa"/>
            <w:vMerge w:val="restart"/>
            <w:tcBorders>
              <w:top w:val="nil"/>
              <w:left w:val="nil"/>
              <w:bottom w:val="nil"/>
              <w:right w:val="nil"/>
            </w:tcBorders>
            <w:tcMar>
              <w:top w:w="0" w:type="dxa"/>
              <w:left w:w="62" w:type="dxa"/>
              <w:bottom w:w="0" w:type="dxa"/>
              <w:right w:w="62" w:type="dxa"/>
            </w:tcMar>
          </w:tcPr>
          <w:p w:rsidR="00000000" w:rsidP="00DC0739">
            <w:pPr>
              <w:pStyle w:val="BodyText"/>
              <w:rPr>
                <w:lang w:val="en-NZ"/>
              </w:rPr>
            </w:pPr>
            <w:r w:rsidRPr="00DC0739">
              <w:t>Analyse process</w:t>
            </w:r>
          </w:p>
        </w:tc>
        <w:tc>
          <w:tcPr>
            <w:tcW w:w="770" w:type="dxa"/>
            <w:tcBorders>
              <w:top w:val="nil"/>
              <w:left w:val="nil"/>
              <w:bottom w:val="nil"/>
              <w:right w:val="nil"/>
            </w:tcBorders>
            <w:tcMar>
              <w:top w:w="0" w:type="dxa"/>
              <w:left w:w="62" w:type="dxa"/>
              <w:bottom w:w="0" w:type="dxa"/>
              <w:right w:w="62" w:type="dxa"/>
            </w:tcMar>
          </w:tcPr>
          <w:p w:rsidR="00000000" w:rsidP="00DC0739">
            <w:pPr>
              <w:pStyle w:val="BodyText"/>
              <w:rPr>
                <w:lang w:val="en-NZ"/>
              </w:rPr>
            </w:pPr>
            <w:r w:rsidRPr="00DC0739">
              <w:t>1.1</w:t>
            </w:r>
          </w:p>
        </w:tc>
        <w:tc>
          <w:tcPr>
            <w:tcW w:w="5610" w:type="dxa"/>
            <w:tcBorders>
              <w:top w:val="nil"/>
              <w:left w:val="nil"/>
              <w:bottom w:val="nil"/>
              <w:right w:val="nil"/>
            </w:tcBorders>
            <w:tcMar>
              <w:top w:w="0" w:type="dxa"/>
              <w:left w:w="62" w:type="dxa"/>
              <w:bottom w:w="0" w:type="dxa"/>
              <w:right w:w="62" w:type="dxa"/>
            </w:tcMar>
          </w:tcPr>
          <w:p w:rsidR="00000000" w:rsidP="00DC0739">
            <w:pPr>
              <w:pStyle w:val="BodyText"/>
              <w:rPr>
                <w:lang w:val="en-NZ"/>
              </w:rPr>
            </w:pPr>
            <w:r w:rsidRPr="00DC0739">
              <w:t>Identify sources of variability/non-conformance in the process</w:t>
            </w:r>
          </w:p>
        </w:tc>
      </w:tr>
      <w:tr w:rsidTr="00DC073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C0739">
            <w:pPr>
              <w:pStyle w:val="BodyText"/>
              <w:rPr>
                <w:lang w:val="en-NZ"/>
              </w:rPr>
            </w:pPr>
            <w:r w:rsidRPr="00DC0739">
              <w:t>1.2</w:t>
            </w:r>
          </w:p>
        </w:tc>
        <w:tc>
          <w:tcPr>
            <w:tcW w:w="5610" w:type="dxa"/>
            <w:tcBorders>
              <w:top w:val="nil"/>
              <w:left w:val="nil"/>
              <w:bottom w:val="nil"/>
              <w:right w:val="nil"/>
            </w:tcBorders>
            <w:tcMar>
              <w:top w:w="0" w:type="dxa"/>
              <w:left w:w="62" w:type="dxa"/>
              <w:bottom w:w="0" w:type="dxa"/>
              <w:right w:w="62" w:type="dxa"/>
            </w:tcMar>
          </w:tcPr>
          <w:p w:rsidR="00000000" w:rsidP="00DC0739">
            <w:pPr>
              <w:pStyle w:val="BodyText"/>
              <w:rPr>
                <w:lang w:val="en-NZ"/>
              </w:rPr>
            </w:pPr>
            <w:r w:rsidRPr="00DC0739">
              <w:t>Identify critical control points in process</w:t>
            </w:r>
          </w:p>
        </w:tc>
      </w:tr>
      <w:tr w:rsidTr="00DC073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C0739">
            <w:pPr>
              <w:pStyle w:val="BodyText"/>
              <w:rPr>
                <w:lang w:val="en-NZ"/>
              </w:rPr>
            </w:pPr>
            <w:r w:rsidRPr="00DC0739">
              <w:t>1.3</w:t>
            </w:r>
          </w:p>
        </w:tc>
        <w:tc>
          <w:tcPr>
            <w:tcW w:w="5610" w:type="dxa"/>
            <w:tcBorders>
              <w:top w:val="nil"/>
              <w:left w:val="nil"/>
              <w:bottom w:val="nil"/>
              <w:right w:val="nil"/>
            </w:tcBorders>
            <w:tcMar>
              <w:top w:w="0" w:type="dxa"/>
              <w:left w:w="62" w:type="dxa"/>
              <w:bottom w:w="0" w:type="dxa"/>
              <w:right w:w="62" w:type="dxa"/>
            </w:tcMar>
          </w:tcPr>
          <w:p w:rsidR="00000000" w:rsidRPr="00DC0739" w:rsidP="00DC0739">
            <w:pPr>
              <w:pStyle w:val="BodyText"/>
            </w:pPr>
            <w:r w:rsidRPr="00DC0739">
              <w:t>Analyse causes of variability/non-conformance</w:t>
            </w:r>
          </w:p>
        </w:tc>
      </w:tr>
    </w:tbl>
    <w:p w:rsidR="00000000" w:rsidRPr="00DC0739" w:rsidP="00DC0739">
      <w:pPr>
        <w:pStyle w:val="BodyText"/>
      </w:pPr>
    </w:p>
    <w:tbl>
      <w:tblPr>
        <w:tblW w:w="0" w:type="auto"/>
        <w:tblLayout w:type="fixed"/>
        <w:tblCellMar>
          <w:left w:w="62" w:type="dxa"/>
          <w:right w:w="62" w:type="dxa"/>
        </w:tblCellMar>
        <w:tblLook w:val="0000"/>
      </w:tblPr>
      <w:tblGrid>
        <w:gridCol w:w="678"/>
        <w:gridCol w:w="1962"/>
        <w:gridCol w:w="770"/>
        <w:gridCol w:w="5610"/>
      </w:tblGrid>
      <w:tr w:rsidTr="00DC073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DC0739">
            <w:pPr>
              <w:pStyle w:val="BodyText"/>
              <w:rPr>
                <w:lang w:val="en-NZ"/>
              </w:rPr>
            </w:pPr>
            <w:r w:rsidRPr="00DC0739">
              <w:t>2</w:t>
            </w:r>
          </w:p>
        </w:tc>
        <w:tc>
          <w:tcPr>
            <w:tcW w:w="1962" w:type="dxa"/>
            <w:vMerge w:val="restart"/>
            <w:tcBorders>
              <w:top w:val="nil"/>
              <w:left w:val="nil"/>
              <w:bottom w:val="nil"/>
              <w:right w:val="nil"/>
            </w:tcBorders>
            <w:tcMar>
              <w:top w:w="0" w:type="dxa"/>
              <w:left w:w="62" w:type="dxa"/>
              <w:bottom w:w="0" w:type="dxa"/>
              <w:right w:w="62" w:type="dxa"/>
            </w:tcMar>
          </w:tcPr>
          <w:p w:rsidR="00000000" w:rsidP="00DC0739">
            <w:pPr>
              <w:pStyle w:val="BodyText"/>
              <w:rPr>
                <w:lang w:val="en-NZ"/>
              </w:rPr>
            </w:pPr>
            <w:r w:rsidRPr="00DC0739">
              <w:t>Develop preventative techniques/systems</w:t>
            </w:r>
          </w:p>
        </w:tc>
        <w:tc>
          <w:tcPr>
            <w:tcW w:w="770" w:type="dxa"/>
            <w:tcBorders>
              <w:top w:val="nil"/>
              <w:left w:val="nil"/>
              <w:bottom w:val="nil"/>
              <w:right w:val="nil"/>
            </w:tcBorders>
            <w:tcMar>
              <w:top w:w="0" w:type="dxa"/>
              <w:left w:w="62" w:type="dxa"/>
              <w:bottom w:w="0" w:type="dxa"/>
              <w:right w:w="62" w:type="dxa"/>
            </w:tcMar>
          </w:tcPr>
          <w:p w:rsidR="00000000" w:rsidP="00DC0739">
            <w:pPr>
              <w:pStyle w:val="BodyText"/>
              <w:rPr>
                <w:lang w:val="en-NZ"/>
              </w:rPr>
            </w:pPr>
            <w:r w:rsidRPr="00DC0739">
              <w:t>2.1</w:t>
            </w:r>
          </w:p>
        </w:tc>
        <w:tc>
          <w:tcPr>
            <w:tcW w:w="5610" w:type="dxa"/>
            <w:tcBorders>
              <w:top w:val="nil"/>
              <w:left w:val="nil"/>
              <w:bottom w:val="nil"/>
              <w:right w:val="nil"/>
            </w:tcBorders>
            <w:tcMar>
              <w:top w:w="0" w:type="dxa"/>
              <w:left w:w="62" w:type="dxa"/>
              <w:bottom w:w="0" w:type="dxa"/>
              <w:right w:w="62" w:type="dxa"/>
            </w:tcMar>
          </w:tcPr>
          <w:p w:rsidR="00000000" w:rsidP="00DC0739">
            <w:pPr>
              <w:pStyle w:val="BodyText"/>
              <w:rPr>
                <w:lang w:val="en-NZ"/>
              </w:rPr>
            </w:pPr>
            <w:r w:rsidRPr="00DC0739">
              <w:t>Liaise with team members and other people to develop mistake proof options for performing operation</w:t>
            </w:r>
          </w:p>
        </w:tc>
      </w:tr>
      <w:tr w:rsidTr="00DC073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C0739">
            <w:pPr>
              <w:pStyle w:val="BodyText"/>
              <w:rPr>
                <w:lang w:val="en-NZ"/>
              </w:rPr>
            </w:pPr>
            <w:r w:rsidRPr="00DC0739">
              <w:t>2.2</w:t>
            </w:r>
          </w:p>
        </w:tc>
        <w:tc>
          <w:tcPr>
            <w:tcW w:w="5610" w:type="dxa"/>
            <w:tcBorders>
              <w:top w:val="nil"/>
              <w:left w:val="nil"/>
              <w:bottom w:val="nil"/>
              <w:right w:val="nil"/>
            </w:tcBorders>
            <w:tcMar>
              <w:top w:w="0" w:type="dxa"/>
              <w:left w:w="62" w:type="dxa"/>
              <w:bottom w:w="0" w:type="dxa"/>
              <w:right w:w="62" w:type="dxa"/>
            </w:tcMar>
          </w:tcPr>
          <w:p w:rsidR="00000000" w:rsidRPr="00DC0739" w:rsidP="00DC0739">
            <w:pPr>
              <w:pStyle w:val="BodyText"/>
            </w:pPr>
            <w:r w:rsidRPr="00DC0739">
              <w:t>Test and validate mistake proofing options</w:t>
            </w:r>
          </w:p>
        </w:tc>
      </w:tr>
    </w:tbl>
    <w:p w:rsidR="00000000" w:rsidRPr="00DC0739" w:rsidP="00DC0739">
      <w:pPr>
        <w:pStyle w:val="BodyText"/>
      </w:pPr>
    </w:p>
    <w:tbl>
      <w:tblPr>
        <w:tblW w:w="0" w:type="auto"/>
        <w:tblLayout w:type="fixed"/>
        <w:tblCellMar>
          <w:left w:w="62" w:type="dxa"/>
          <w:right w:w="62" w:type="dxa"/>
        </w:tblCellMar>
        <w:tblLook w:val="0000"/>
      </w:tblPr>
      <w:tblGrid>
        <w:gridCol w:w="678"/>
        <w:gridCol w:w="1962"/>
        <w:gridCol w:w="770"/>
        <w:gridCol w:w="5610"/>
      </w:tblGrid>
      <w:tr w:rsidTr="00DC073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DC0739">
            <w:pPr>
              <w:pStyle w:val="BodyText"/>
              <w:rPr>
                <w:lang w:val="en-NZ"/>
              </w:rPr>
            </w:pPr>
            <w:r w:rsidRPr="00DC0739">
              <w:t>3</w:t>
            </w:r>
          </w:p>
        </w:tc>
        <w:tc>
          <w:tcPr>
            <w:tcW w:w="1962" w:type="dxa"/>
            <w:vMerge w:val="restart"/>
            <w:tcBorders>
              <w:top w:val="nil"/>
              <w:left w:val="nil"/>
              <w:bottom w:val="nil"/>
              <w:right w:val="nil"/>
            </w:tcBorders>
            <w:tcMar>
              <w:top w:w="0" w:type="dxa"/>
              <w:left w:w="62" w:type="dxa"/>
              <w:bottom w:w="0" w:type="dxa"/>
              <w:right w:w="62" w:type="dxa"/>
            </w:tcMar>
          </w:tcPr>
          <w:p w:rsidR="00000000" w:rsidP="00DC0739">
            <w:pPr>
              <w:pStyle w:val="BodyText"/>
              <w:rPr>
                <w:lang w:val="en-NZ"/>
              </w:rPr>
            </w:pPr>
            <w:r w:rsidRPr="00DC0739">
              <w:t>Implement permanent fix</w:t>
            </w:r>
          </w:p>
        </w:tc>
        <w:tc>
          <w:tcPr>
            <w:tcW w:w="770" w:type="dxa"/>
            <w:tcBorders>
              <w:top w:val="nil"/>
              <w:left w:val="nil"/>
              <w:bottom w:val="nil"/>
              <w:right w:val="nil"/>
            </w:tcBorders>
            <w:tcMar>
              <w:top w:w="0" w:type="dxa"/>
              <w:left w:w="62" w:type="dxa"/>
              <w:bottom w:w="0" w:type="dxa"/>
              <w:right w:w="62" w:type="dxa"/>
            </w:tcMar>
          </w:tcPr>
          <w:p w:rsidR="00000000" w:rsidP="00DC0739">
            <w:pPr>
              <w:pStyle w:val="BodyText"/>
              <w:rPr>
                <w:lang w:val="en-NZ"/>
              </w:rPr>
            </w:pPr>
            <w:r w:rsidRPr="00DC0739">
              <w:t>3.1</w:t>
            </w:r>
          </w:p>
        </w:tc>
        <w:tc>
          <w:tcPr>
            <w:tcW w:w="5610" w:type="dxa"/>
            <w:tcBorders>
              <w:top w:val="nil"/>
              <w:left w:val="nil"/>
              <w:bottom w:val="nil"/>
              <w:right w:val="nil"/>
            </w:tcBorders>
            <w:tcMar>
              <w:top w:w="0" w:type="dxa"/>
              <w:left w:w="62" w:type="dxa"/>
              <w:bottom w:w="0" w:type="dxa"/>
              <w:right w:w="62" w:type="dxa"/>
            </w:tcMar>
          </w:tcPr>
          <w:p w:rsidR="00000000" w:rsidP="00DC0739">
            <w:pPr>
              <w:pStyle w:val="BodyText"/>
              <w:rPr>
                <w:lang w:val="en-NZ"/>
              </w:rPr>
            </w:pPr>
            <w:r w:rsidRPr="00DC0739">
              <w:t>Liaise with relevant people to have systems/procedures changed to implement solution</w:t>
            </w:r>
          </w:p>
        </w:tc>
      </w:tr>
      <w:tr w:rsidTr="00DC073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C0739">
            <w:pPr>
              <w:pStyle w:val="BodyText"/>
              <w:rPr>
                <w:lang w:val="en-NZ"/>
              </w:rPr>
            </w:pPr>
            <w:r w:rsidRPr="00DC0739">
              <w:t>3.2</w:t>
            </w:r>
          </w:p>
        </w:tc>
        <w:tc>
          <w:tcPr>
            <w:tcW w:w="5610" w:type="dxa"/>
            <w:tcBorders>
              <w:top w:val="nil"/>
              <w:left w:val="nil"/>
              <w:bottom w:val="nil"/>
              <w:right w:val="nil"/>
            </w:tcBorders>
            <w:tcMar>
              <w:top w:w="0" w:type="dxa"/>
              <w:left w:w="62" w:type="dxa"/>
              <w:bottom w:w="0" w:type="dxa"/>
              <w:right w:w="62" w:type="dxa"/>
            </w:tcMar>
          </w:tcPr>
          <w:p w:rsidR="00000000" w:rsidP="00DC0739">
            <w:pPr>
              <w:pStyle w:val="BodyText"/>
              <w:rPr>
                <w:lang w:val="en-NZ"/>
              </w:rPr>
            </w:pPr>
            <w:r w:rsidRPr="00DC0739">
              <w:t>Liaise with relevant people to implement the solution</w:t>
            </w:r>
          </w:p>
        </w:tc>
      </w:tr>
      <w:tr w:rsidTr="00DC073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C0739">
            <w:pPr>
              <w:pStyle w:val="BodyText"/>
              <w:rPr>
                <w:lang w:val="en-NZ"/>
              </w:rPr>
            </w:pPr>
            <w:r w:rsidRPr="00DC0739">
              <w:t>3.3</w:t>
            </w:r>
          </w:p>
        </w:tc>
        <w:tc>
          <w:tcPr>
            <w:tcW w:w="5610" w:type="dxa"/>
            <w:tcBorders>
              <w:top w:val="nil"/>
              <w:left w:val="nil"/>
              <w:bottom w:val="nil"/>
              <w:right w:val="nil"/>
            </w:tcBorders>
            <w:tcMar>
              <w:top w:w="0" w:type="dxa"/>
              <w:left w:w="62" w:type="dxa"/>
              <w:bottom w:w="0" w:type="dxa"/>
              <w:right w:w="62" w:type="dxa"/>
            </w:tcMar>
          </w:tcPr>
          <w:p w:rsidR="00000000" w:rsidP="00DC0739">
            <w:pPr>
              <w:pStyle w:val="BodyText"/>
              <w:rPr>
                <w:lang w:val="en-NZ"/>
              </w:rPr>
            </w:pPr>
            <w:r w:rsidRPr="00DC0739">
              <w:t>Liaise with relevant people to ensure self and others in the team or work area have an appropriate skills set</w:t>
            </w:r>
          </w:p>
        </w:tc>
      </w:tr>
      <w:tr w:rsidTr="00DC073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C0739">
            <w:pPr>
              <w:pStyle w:val="BodyText"/>
              <w:rPr>
                <w:lang w:val="en-NZ"/>
              </w:rPr>
            </w:pPr>
            <w:r w:rsidRPr="00DC0739">
              <w:t>3.4</w:t>
            </w:r>
          </w:p>
        </w:tc>
        <w:tc>
          <w:tcPr>
            <w:tcW w:w="5610" w:type="dxa"/>
            <w:tcBorders>
              <w:top w:val="nil"/>
              <w:left w:val="nil"/>
              <w:bottom w:val="nil"/>
              <w:right w:val="nil"/>
            </w:tcBorders>
            <w:tcMar>
              <w:top w:w="0" w:type="dxa"/>
              <w:left w:w="62" w:type="dxa"/>
              <w:bottom w:w="0" w:type="dxa"/>
              <w:right w:w="62" w:type="dxa"/>
            </w:tcMar>
          </w:tcPr>
          <w:p w:rsidR="00000000" w:rsidRPr="00DC0739" w:rsidP="00DC0739">
            <w:pPr>
              <w:pStyle w:val="BodyText"/>
            </w:pPr>
            <w:r w:rsidRPr="00DC0739">
              <w:t>Follow through to ensure implementation occurs</w:t>
            </w:r>
          </w:p>
        </w:tc>
      </w:tr>
    </w:tbl>
    <w:p w:rsidR="00000000" w:rsidRPr="00DC0739" w:rsidP="00DC0739">
      <w:pPr>
        <w:pStyle w:val="BodyText"/>
      </w:pPr>
    </w:p>
    <w:tbl>
      <w:tblPr>
        <w:tblW w:w="0" w:type="auto"/>
        <w:tblLayout w:type="fixed"/>
        <w:tblCellMar>
          <w:left w:w="62" w:type="dxa"/>
          <w:right w:w="62" w:type="dxa"/>
        </w:tblCellMar>
        <w:tblLook w:val="0000"/>
      </w:tblPr>
      <w:tblGrid>
        <w:gridCol w:w="678"/>
        <w:gridCol w:w="1962"/>
        <w:gridCol w:w="770"/>
        <w:gridCol w:w="5610"/>
      </w:tblGrid>
      <w:tr w:rsidTr="00DC073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DC0739">
            <w:pPr>
              <w:pStyle w:val="BodyText"/>
              <w:rPr>
                <w:lang w:val="en-NZ"/>
              </w:rPr>
            </w:pPr>
            <w:r w:rsidRPr="00DC0739">
              <w:t>4</w:t>
            </w:r>
          </w:p>
        </w:tc>
        <w:tc>
          <w:tcPr>
            <w:tcW w:w="1962" w:type="dxa"/>
            <w:vMerge w:val="restart"/>
            <w:tcBorders>
              <w:top w:val="nil"/>
              <w:left w:val="nil"/>
              <w:bottom w:val="nil"/>
              <w:right w:val="nil"/>
            </w:tcBorders>
            <w:tcMar>
              <w:top w:w="0" w:type="dxa"/>
              <w:left w:w="62" w:type="dxa"/>
              <w:bottom w:w="0" w:type="dxa"/>
              <w:right w:w="62" w:type="dxa"/>
            </w:tcMar>
          </w:tcPr>
          <w:p w:rsidR="00000000" w:rsidP="00DC0739">
            <w:pPr>
              <w:pStyle w:val="BodyText"/>
              <w:rPr>
                <w:lang w:val="en-NZ"/>
              </w:rPr>
            </w:pPr>
            <w:r w:rsidRPr="00DC0739">
              <w:t>Monitor implementation</w:t>
            </w:r>
          </w:p>
        </w:tc>
        <w:tc>
          <w:tcPr>
            <w:tcW w:w="770" w:type="dxa"/>
            <w:tcBorders>
              <w:top w:val="nil"/>
              <w:left w:val="nil"/>
              <w:bottom w:val="nil"/>
              <w:right w:val="nil"/>
            </w:tcBorders>
            <w:tcMar>
              <w:top w:w="0" w:type="dxa"/>
              <w:left w:w="62" w:type="dxa"/>
              <w:bottom w:w="0" w:type="dxa"/>
              <w:right w:w="62" w:type="dxa"/>
            </w:tcMar>
          </w:tcPr>
          <w:p w:rsidR="00000000" w:rsidP="00DC0739">
            <w:pPr>
              <w:pStyle w:val="BodyText"/>
              <w:rPr>
                <w:lang w:val="en-NZ"/>
              </w:rPr>
            </w:pPr>
            <w:r w:rsidRPr="00DC0739">
              <w:t>4.1</w:t>
            </w:r>
          </w:p>
        </w:tc>
        <w:tc>
          <w:tcPr>
            <w:tcW w:w="5610" w:type="dxa"/>
            <w:tcBorders>
              <w:top w:val="nil"/>
              <w:left w:val="nil"/>
              <w:bottom w:val="nil"/>
              <w:right w:val="nil"/>
            </w:tcBorders>
            <w:tcMar>
              <w:top w:w="0" w:type="dxa"/>
              <w:left w:w="62" w:type="dxa"/>
              <w:bottom w:w="0" w:type="dxa"/>
              <w:right w:w="62" w:type="dxa"/>
            </w:tcMar>
          </w:tcPr>
          <w:p w:rsidR="00000000" w:rsidP="00DC0739">
            <w:pPr>
              <w:pStyle w:val="BodyText"/>
              <w:rPr>
                <w:lang w:val="en-NZ"/>
              </w:rPr>
            </w:pPr>
            <w:r w:rsidRPr="00DC0739">
              <w:t>Critically observe the implementation</w:t>
            </w:r>
          </w:p>
        </w:tc>
      </w:tr>
      <w:tr w:rsidTr="00DC073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C0739">
            <w:pPr>
              <w:pStyle w:val="BodyText"/>
              <w:rPr>
                <w:lang w:val="en-NZ"/>
              </w:rPr>
            </w:pPr>
            <w:r w:rsidRPr="00DC0739">
              <w:t>4.2</w:t>
            </w:r>
          </w:p>
        </w:tc>
        <w:tc>
          <w:tcPr>
            <w:tcW w:w="5610" w:type="dxa"/>
            <w:tcBorders>
              <w:top w:val="nil"/>
              <w:left w:val="nil"/>
              <w:bottom w:val="nil"/>
              <w:right w:val="nil"/>
            </w:tcBorders>
            <w:tcMar>
              <w:top w:w="0" w:type="dxa"/>
              <w:left w:w="62" w:type="dxa"/>
              <w:bottom w:w="0" w:type="dxa"/>
              <w:right w:w="62" w:type="dxa"/>
            </w:tcMar>
          </w:tcPr>
          <w:p w:rsidR="00000000" w:rsidP="00DC0739">
            <w:pPr>
              <w:pStyle w:val="BodyText"/>
              <w:rPr>
                <w:lang w:val="en-NZ"/>
              </w:rPr>
            </w:pPr>
            <w:r w:rsidRPr="00DC0739">
              <w:t>Compare the results of the implementation against the expected outcomes</w:t>
            </w:r>
          </w:p>
        </w:tc>
      </w:tr>
      <w:tr w:rsidTr="00DC073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C0739">
            <w:pPr>
              <w:pStyle w:val="BodyText"/>
              <w:rPr>
                <w:lang w:val="en-NZ"/>
              </w:rPr>
            </w:pPr>
            <w:r w:rsidRPr="00DC0739">
              <w:t>4.3</w:t>
            </w:r>
          </w:p>
        </w:tc>
        <w:tc>
          <w:tcPr>
            <w:tcW w:w="5610" w:type="dxa"/>
            <w:tcBorders>
              <w:top w:val="nil"/>
              <w:left w:val="nil"/>
              <w:bottom w:val="nil"/>
              <w:right w:val="nil"/>
            </w:tcBorders>
            <w:tcMar>
              <w:top w:w="0" w:type="dxa"/>
              <w:left w:w="62" w:type="dxa"/>
              <w:bottom w:w="0" w:type="dxa"/>
              <w:right w:w="62" w:type="dxa"/>
            </w:tcMar>
          </w:tcPr>
          <w:p w:rsidR="00000000" w:rsidP="00DC0739">
            <w:pPr>
              <w:pStyle w:val="BodyText"/>
              <w:rPr>
                <w:lang w:val="en-NZ"/>
              </w:rPr>
            </w:pPr>
            <w:r w:rsidRPr="00DC0739">
              <w:t>Modify solution to improve outcomes</w:t>
            </w:r>
          </w:p>
        </w:tc>
      </w:tr>
      <w:tr w:rsidTr="00DC073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C0739">
            <w:pPr>
              <w:pStyle w:val="BodyText"/>
              <w:rPr>
                <w:lang w:val="en-NZ"/>
              </w:rPr>
            </w:pPr>
            <w:r w:rsidRPr="00DC0739">
              <w:t>4.4</w:t>
            </w:r>
          </w:p>
        </w:tc>
        <w:tc>
          <w:tcPr>
            <w:tcW w:w="5610" w:type="dxa"/>
            <w:tcBorders>
              <w:top w:val="nil"/>
              <w:left w:val="nil"/>
              <w:bottom w:val="nil"/>
              <w:right w:val="nil"/>
            </w:tcBorders>
            <w:tcMar>
              <w:top w:w="0" w:type="dxa"/>
              <w:left w:w="62" w:type="dxa"/>
              <w:bottom w:w="0" w:type="dxa"/>
              <w:right w:w="62" w:type="dxa"/>
            </w:tcMar>
          </w:tcPr>
          <w:p w:rsidR="00000000" w:rsidP="00DC0739">
            <w:pPr>
              <w:pStyle w:val="BodyText"/>
              <w:rPr>
                <w:lang w:val="en-NZ"/>
              </w:rPr>
            </w:pPr>
            <w:r w:rsidRPr="00DC0739">
              <w:t>Ensure procedures reflect change</w:t>
            </w:r>
          </w:p>
        </w:tc>
      </w:tr>
      <w:tr w:rsidTr="00DC073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C0739">
            <w:pPr>
              <w:pStyle w:val="BodyText"/>
              <w:rPr>
                <w:lang w:val="en-NZ"/>
              </w:rPr>
            </w:pPr>
            <w:r w:rsidRPr="00DC0739">
              <w:t>4.5</w:t>
            </w:r>
          </w:p>
        </w:tc>
        <w:tc>
          <w:tcPr>
            <w:tcW w:w="5610" w:type="dxa"/>
            <w:tcBorders>
              <w:top w:val="nil"/>
              <w:left w:val="nil"/>
              <w:bottom w:val="nil"/>
              <w:right w:val="nil"/>
            </w:tcBorders>
            <w:tcMar>
              <w:top w:w="0" w:type="dxa"/>
              <w:left w:w="62" w:type="dxa"/>
              <w:bottom w:w="0" w:type="dxa"/>
              <w:right w:w="62" w:type="dxa"/>
            </w:tcMar>
          </w:tcPr>
          <w:p w:rsidR="00000000" w:rsidP="00DC0739">
            <w:pPr>
              <w:pStyle w:val="BodyText"/>
              <w:rPr>
                <w:lang w:val="en-NZ"/>
              </w:rPr>
            </w:pPr>
            <w:r w:rsidRPr="00DC0739">
              <w:t>Ensure training/assessment reflects change</w:t>
            </w:r>
          </w:p>
        </w:tc>
      </w:tr>
      <w:tr w:rsidTr="00DC073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C0739">
            <w:pPr>
              <w:pStyle w:val="BodyText"/>
              <w:rPr>
                <w:lang w:val="en-NZ"/>
              </w:rPr>
            </w:pPr>
            <w:r w:rsidRPr="00DC0739">
              <w:t>4.6</w:t>
            </w:r>
          </w:p>
        </w:tc>
        <w:tc>
          <w:tcPr>
            <w:tcW w:w="5610" w:type="dxa"/>
            <w:tcBorders>
              <w:top w:val="nil"/>
              <w:left w:val="nil"/>
              <w:bottom w:val="nil"/>
              <w:right w:val="nil"/>
            </w:tcBorders>
            <w:tcMar>
              <w:top w:w="0" w:type="dxa"/>
              <w:left w:w="62" w:type="dxa"/>
              <w:bottom w:w="0" w:type="dxa"/>
              <w:right w:w="62" w:type="dxa"/>
            </w:tcMar>
          </w:tcPr>
          <w:p w:rsidR="00000000" w:rsidP="00DC0739">
            <w:pPr>
              <w:pStyle w:val="BodyText"/>
              <w:rPr>
                <w:lang w:val="en-NZ"/>
              </w:rPr>
            </w:pPr>
            <w:r w:rsidRPr="00DC0739">
              <w:t>Audit change at agreed period/cycle</w:t>
            </w:r>
          </w:p>
        </w:tc>
      </w:tr>
      <w:tr w:rsidTr="00DC073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C0739">
            <w:pPr>
              <w:pStyle w:val="BodyText"/>
              <w:rPr>
                <w:lang w:val="en-NZ"/>
              </w:rPr>
            </w:pPr>
            <w:r w:rsidRPr="00DC0739">
              <w:t>4.7</w:t>
            </w:r>
          </w:p>
        </w:tc>
        <w:tc>
          <w:tcPr>
            <w:tcW w:w="5610" w:type="dxa"/>
            <w:tcBorders>
              <w:top w:val="nil"/>
              <w:left w:val="nil"/>
              <w:bottom w:val="nil"/>
              <w:right w:val="nil"/>
            </w:tcBorders>
            <w:tcMar>
              <w:top w:w="0" w:type="dxa"/>
              <w:left w:w="62" w:type="dxa"/>
              <w:bottom w:w="0" w:type="dxa"/>
              <w:right w:w="62" w:type="dxa"/>
            </w:tcMar>
          </w:tcPr>
          <w:p w:rsidR="00000000" w:rsidRPr="00DC0739" w:rsidP="00DC0739">
            <w:pPr>
              <w:pStyle w:val="BodyText"/>
            </w:pPr>
            <w:r w:rsidRPr="00DC0739">
              <w:t>Take action on any observed deviation</w:t>
            </w:r>
          </w:p>
        </w:tc>
      </w:tr>
    </w:tbl>
    <w:p w:rsidR="00000000" w:rsidRPr="00DC0739" w:rsidP="00DC0739">
      <w:pPr>
        <w:pStyle w:val="BodyText"/>
      </w:pPr>
    </w:p>
    <w:tbl>
      <w:tblPr>
        <w:tblW w:w="0" w:type="auto"/>
        <w:tblLayout w:type="fixed"/>
        <w:tblCellMar>
          <w:left w:w="62" w:type="dxa"/>
          <w:right w:w="62" w:type="dxa"/>
        </w:tblCellMar>
        <w:tblLook w:val="0000"/>
      </w:tblPr>
      <w:tblGrid>
        <w:gridCol w:w="678"/>
        <w:gridCol w:w="1962"/>
        <w:gridCol w:w="770"/>
        <w:gridCol w:w="5610"/>
      </w:tblGrid>
      <w:tr w:rsidTr="00DC073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DC0739">
            <w:pPr>
              <w:pStyle w:val="BodyText"/>
              <w:rPr>
                <w:lang w:val="en-NZ"/>
              </w:rPr>
            </w:pPr>
            <w:r w:rsidRPr="00DC0739">
              <w:t>5</w:t>
            </w:r>
          </w:p>
        </w:tc>
        <w:tc>
          <w:tcPr>
            <w:tcW w:w="1962" w:type="dxa"/>
            <w:vMerge w:val="restart"/>
            <w:tcBorders>
              <w:top w:val="nil"/>
              <w:left w:val="nil"/>
              <w:bottom w:val="nil"/>
              <w:right w:val="nil"/>
            </w:tcBorders>
            <w:tcMar>
              <w:top w:w="0" w:type="dxa"/>
              <w:left w:w="62" w:type="dxa"/>
              <w:bottom w:w="0" w:type="dxa"/>
              <w:right w:w="62" w:type="dxa"/>
            </w:tcMar>
          </w:tcPr>
          <w:p w:rsidR="00000000" w:rsidP="00DC0739">
            <w:pPr>
              <w:pStyle w:val="BodyText"/>
              <w:rPr>
                <w:lang w:val="en-NZ"/>
              </w:rPr>
            </w:pPr>
            <w:r w:rsidRPr="00DC0739">
              <w:t>Seek improvements</w:t>
            </w:r>
          </w:p>
        </w:tc>
        <w:tc>
          <w:tcPr>
            <w:tcW w:w="770" w:type="dxa"/>
            <w:tcBorders>
              <w:top w:val="nil"/>
              <w:left w:val="nil"/>
              <w:bottom w:val="nil"/>
              <w:right w:val="nil"/>
            </w:tcBorders>
            <w:tcMar>
              <w:top w:w="0" w:type="dxa"/>
              <w:left w:w="62" w:type="dxa"/>
              <w:bottom w:w="0" w:type="dxa"/>
              <w:right w:w="62" w:type="dxa"/>
            </w:tcMar>
          </w:tcPr>
          <w:p w:rsidR="00000000" w:rsidP="00DC0739">
            <w:pPr>
              <w:pStyle w:val="BodyText"/>
              <w:rPr>
                <w:lang w:val="en-NZ"/>
              </w:rPr>
            </w:pPr>
            <w:r w:rsidRPr="00DC0739">
              <w:t>5.1</w:t>
            </w:r>
          </w:p>
        </w:tc>
        <w:tc>
          <w:tcPr>
            <w:tcW w:w="5610" w:type="dxa"/>
            <w:tcBorders>
              <w:top w:val="nil"/>
              <w:left w:val="nil"/>
              <w:bottom w:val="nil"/>
              <w:right w:val="nil"/>
            </w:tcBorders>
            <w:tcMar>
              <w:top w:w="0" w:type="dxa"/>
              <w:left w:w="62" w:type="dxa"/>
              <w:bottom w:w="0" w:type="dxa"/>
              <w:right w:w="62" w:type="dxa"/>
            </w:tcMar>
          </w:tcPr>
          <w:p w:rsidR="00000000" w:rsidP="00DC0739">
            <w:pPr>
              <w:pStyle w:val="BodyText"/>
              <w:rPr>
                <w:lang w:val="en-NZ"/>
              </w:rPr>
            </w:pPr>
            <w:r w:rsidRPr="00DC0739">
              <w:t>Observe changes</w:t>
            </w:r>
          </w:p>
        </w:tc>
      </w:tr>
      <w:tr w:rsidTr="00DC073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C0739">
            <w:pPr>
              <w:pStyle w:val="BodyText"/>
              <w:rPr>
                <w:lang w:val="en-NZ"/>
              </w:rPr>
            </w:pPr>
            <w:r w:rsidRPr="00DC0739">
              <w:t>5.2</w:t>
            </w:r>
          </w:p>
        </w:tc>
        <w:tc>
          <w:tcPr>
            <w:tcW w:w="5610" w:type="dxa"/>
            <w:tcBorders>
              <w:top w:val="nil"/>
              <w:left w:val="nil"/>
              <w:bottom w:val="nil"/>
              <w:right w:val="nil"/>
            </w:tcBorders>
            <w:tcMar>
              <w:top w:w="0" w:type="dxa"/>
              <w:left w:w="62" w:type="dxa"/>
              <w:bottom w:w="0" w:type="dxa"/>
              <w:right w:w="62" w:type="dxa"/>
            </w:tcMar>
          </w:tcPr>
          <w:p w:rsidR="00000000" w:rsidRPr="00DC0739" w:rsidP="00DC0739">
            <w:pPr>
              <w:pStyle w:val="BodyText"/>
            </w:pPr>
            <w:r w:rsidRPr="00DC0739">
              <w:t>Analyse process again, if required, to ensure improvements are sustained</w:t>
            </w:r>
          </w:p>
        </w:tc>
      </w:tr>
    </w:tbl>
    <w:p w:rsidR="004450FC" w:rsidP="00DC0739">
      <w:pPr>
        <w:pStyle w:val="BodyText"/>
      </w:pPr>
    </w:p>
    <w:p w:rsidR="004450FC" w:rsidP="00DC0739">
      <w:pPr>
        <w:pStyle w:val="BodyText"/>
      </w:pPr>
    </w:p>
    <w:p w:rsidR="00000000" w:rsidRPr="00DC0739" w:rsidP="00DC0739">
      <w:pPr>
        <w:pStyle w:val="Heading1"/>
      </w:pPr>
      <w:bookmarkStart w:id="9" w:name="O_467084"/>
      <w:bookmarkEnd w:id="9"/>
      <w:r w:rsidRPr="00DC0739">
        <w:t>Required Skills and Knowledge</w:t>
      </w:r>
    </w:p>
    <w:tbl>
      <w:tblPr>
        <w:tblW w:w="9462" w:type="dxa"/>
        <w:tblLayout w:type="fixed"/>
        <w:tblCellMar>
          <w:left w:w="62" w:type="dxa"/>
          <w:right w:w="62" w:type="dxa"/>
        </w:tblCellMar>
        <w:tblLook w:val="0000"/>
      </w:tblPr>
      <w:tblGrid>
        <w:gridCol w:w="9462"/>
      </w:tblGrid>
      <w:tr w:rsidTr="00DC0739">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DC0739">
            <w:pPr>
              <w:pStyle w:val="BodyText"/>
              <w:rPr>
                <w:lang w:val="en-NZ"/>
              </w:rPr>
            </w:pPr>
            <w:r w:rsidRPr="00DC0739">
              <w:t>This section describes the skills and knowledge required for this unit.</w:t>
            </w:r>
          </w:p>
        </w:tc>
      </w:tr>
      <w:tr w:rsidTr="00DC0739">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DC0739">
            <w:pPr>
              <w:pStyle w:val="BodyText"/>
              <w:rPr>
                <w:lang w:val="en-NZ"/>
              </w:rPr>
            </w:pPr>
            <w:r w:rsidRPr="00DC0739">
              <w:rPr>
                <w:rStyle w:val="SpecialBold"/>
              </w:rPr>
              <w:t>Required skills</w:t>
            </w:r>
          </w:p>
        </w:tc>
      </w:tr>
      <w:tr w:rsidTr="00DC0739">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DC0739" w:rsidP="00DC0739">
            <w:pPr>
              <w:pStyle w:val="BodyText"/>
            </w:pPr>
            <w:r w:rsidRPr="00DC0739">
              <w:t>Required skills include:</w:t>
            </w:r>
          </w:p>
          <w:p w:rsidR="00000000" w:rsidRPr="00DC0739" w:rsidP="00DC0739">
            <w:pPr>
              <w:pStyle w:val="ListBullet"/>
            </w:pPr>
            <w:r w:rsidRPr="00DC0739">
              <w:t>communicating with team or work group members, technical support personnel and other relevant staff</w:t>
            </w:r>
          </w:p>
          <w:p w:rsidR="00000000" w:rsidRPr="00DC0739" w:rsidP="00DC0739">
            <w:pPr>
              <w:pStyle w:val="ListBullet"/>
            </w:pPr>
            <w:r w:rsidRPr="00DC0739">
              <w:t xml:space="preserve">explaining mistake proofing and related </w:t>
            </w:r>
            <w:r w:rsidRPr="00DC0739">
              <w:t>concepts</w:t>
            </w:r>
          </w:p>
          <w:p w:rsidR="00000000" w:rsidRPr="00DC0739" w:rsidP="00DC0739">
            <w:pPr>
              <w:pStyle w:val="ListBullet"/>
            </w:pPr>
            <w:r w:rsidRPr="00DC0739">
              <w:t xml:space="preserve">facilitating input of others and encouraging acceptance of changes </w:t>
            </w:r>
          </w:p>
          <w:p w:rsidR="00000000" w:rsidRPr="00DC0739" w:rsidP="00DC0739">
            <w:pPr>
              <w:pStyle w:val="ListBullet"/>
            </w:pPr>
            <w:r w:rsidRPr="00DC0739">
              <w:t>analysing and visualising operations in terms of flow and contribution to customer outcomes</w:t>
            </w:r>
          </w:p>
          <w:p w:rsidR="00000000" w:rsidRPr="00DC0739" w:rsidP="00DC0739">
            <w:pPr>
              <w:pStyle w:val="ListBullet"/>
            </w:pPr>
            <w:r w:rsidRPr="00DC0739">
              <w:t>solving problems to determine root cause of errors and possible solutions</w:t>
            </w:r>
          </w:p>
          <w:p w:rsidR="00000000" w:rsidRPr="00DC0739" w:rsidP="00DC0739">
            <w:pPr>
              <w:pStyle w:val="ListBullet"/>
            </w:pPr>
            <w:r w:rsidRPr="00DC0739">
              <w:t>analysing and</w:t>
            </w:r>
            <w:r w:rsidRPr="00DC0739">
              <w:t xml:space="preserve"> interpreting information about errors and mistake proofing options in terms of cost, feasibility, regulations and value to the customer</w:t>
            </w:r>
          </w:p>
          <w:p w:rsidR="00000000" w:rsidRPr="00DC0739" w:rsidP="00DC0739">
            <w:pPr>
              <w:pStyle w:val="ListBullet"/>
            </w:pPr>
            <w:r w:rsidRPr="00DC0739">
              <w:t>suggesting design changes to operations and products that eliminate the potential for errors</w:t>
            </w:r>
          </w:p>
          <w:p w:rsidR="00000000" w:rsidP="00DC0739">
            <w:pPr>
              <w:pStyle w:val="ListBullet"/>
              <w:rPr>
                <w:lang w:val="en-NZ"/>
              </w:rPr>
            </w:pPr>
            <w:r w:rsidRPr="00DC0739">
              <w:t>suggesting mechanisms or p</w:t>
            </w:r>
            <w:r w:rsidRPr="00DC0739">
              <w:t>rocedures that warn of errors where operations cannot be designed to eliminate errors,</w:t>
            </w:r>
          </w:p>
        </w:tc>
      </w:tr>
      <w:tr w:rsidTr="00DC0739">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DC0739">
            <w:pPr>
              <w:pStyle w:val="BodyText"/>
              <w:rPr>
                <w:lang w:val="en-NZ"/>
              </w:rPr>
            </w:pPr>
          </w:p>
        </w:tc>
      </w:tr>
      <w:tr w:rsidTr="00DC0739">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DC0739">
            <w:pPr>
              <w:pStyle w:val="BodyText"/>
              <w:rPr>
                <w:lang w:val="en-NZ"/>
              </w:rPr>
            </w:pPr>
            <w:r w:rsidRPr="00DC0739">
              <w:rPr>
                <w:rStyle w:val="SpecialBold"/>
              </w:rPr>
              <w:t>Required knowledge</w:t>
            </w:r>
          </w:p>
        </w:tc>
      </w:tr>
      <w:tr w:rsidTr="00DC0739">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DC0739" w:rsidP="00DC0739">
            <w:pPr>
              <w:pStyle w:val="BodyText"/>
            </w:pPr>
            <w:r w:rsidRPr="00DC0739">
              <w:t>Required knowledge includes:</w:t>
            </w:r>
          </w:p>
          <w:p w:rsidR="00000000" w:rsidRPr="00DC0739" w:rsidP="00DC0739">
            <w:pPr>
              <w:pStyle w:val="ListBullet"/>
            </w:pPr>
            <w:r w:rsidRPr="00DC0739">
              <w:t>mistake proofing concepts, including, in priority order:</w:t>
            </w:r>
          </w:p>
          <w:p w:rsidR="00000000" w:rsidRPr="00DC0739" w:rsidP="00DC0739">
            <w:pPr>
              <w:pStyle w:val="ListBullet2"/>
            </w:pPr>
            <w:r w:rsidRPr="00DC0739">
              <w:t>eliminate the possibility of the error via changes to the process</w:t>
            </w:r>
          </w:p>
          <w:p w:rsidR="00000000" w:rsidRPr="00DC0739" w:rsidP="00DC0739">
            <w:pPr>
              <w:pStyle w:val="ListBullet2"/>
            </w:pPr>
            <w:r w:rsidRPr="00DC0739">
              <w:t>prevent the error from occurring via physical or virtual barriers</w:t>
            </w:r>
          </w:p>
          <w:p w:rsidR="00000000" w:rsidRPr="00DC0739" w:rsidP="00DC0739">
            <w:pPr>
              <w:pStyle w:val="ListBullet2"/>
            </w:pPr>
            <w:r w:rsidRPr="00DC0739">
              <w:t>reduce likelihood of the error by encouraging correct action</w:t>
            </w:r>
          </w:p>
          <w:p w:rsidR="00000000" w:rsidRPr="00DC0739" w:rsidP="00DC0739">
            <w:pPr>
              <w:pStyle w:val="ListBullet2"/>
            </w:pPr>
            <w:r w:rsidRPr="00DC0739">
              <w:t xml:space="preserve">mitigate the impact of the error if it does occur </w:t>
            </w:r>
          </w:p>
          <w:p w:rsidR="00000000" w:rsidRPr="00DC0739" w:rsidP="00DC0739">
            <w:pPr>
              <w:pStyle w:val="ListBullet"/>
            </w:pPr>
            <w:r w:rsidRPr="00DC0739">
              <w:t>understanding of processes undertaken by team</w:t>
            </w:r>
          </w:p>
          <w:p w:rsidR="00000000" w:rsidRPr="00DC0739" w:rsidP="00DC0739">
            <w:pPr>
              <w:pStyle w:val="ListBullet"/>
            </w:pPr>
            <w:r w:rsidRPr="00DC0739">
              <w:t xml:space="preserve">factors in the processes which may cause variability </w:t>
            </w:r>
          </w:p>
          <w:p w:rsidR="00000000" w:rsidRPr="00DC0739" w:rsidP="00DC0739">
            <w:pPr>
              <w:pStyle w:val="ListBullet"/>
            </w:pPr>
            <w:r w:rsidRPr="00DC0739">
              <w:t>methods of controlling the variability in the process</w:t>
            </w:r>
          </w:p>
          <w:p w:rsidR="00000000" w:rsidRPr="00DC0739" w:rsidP="00DC0739">
            <w:pPr>
              <w:pStyle w:val="ListBullet"/>
            </w:pPr>
            <w:r w:rsidRPr="00DC0739">
              <w:t xml:space="preserve">mistake proofing methods relevant to the process/product </w:t>
            </w:r>
          </w:p>
        </w:tc>
      </w:tr>
    </w:tbl>
    <w:p w:rsidR="004450FC" w:rsidP="00DC0739">
      <w:pPr>
        <w:pStyle w:val="BodyText"/>
      </w:pPr>
    </w:p>
    <w:p w:rsidR="004450FC" w:rsidP="00DC0739">
      <w:pPr>
        <w:pStyle w:val="BodyText"/>
      </w:pPr>
    </w:p>
    <w:p w:rsidR="00000000" w:rsidRPr="00DC0739" w:rsidP="00DC0739">
      <w:pPr>
        <w:pStyle w:val="Heading1"/>
      </w:pPr>
      <w:bookmarkStart w:id="10" w:name="O_467085"/>
      <w:bookmarkEnd w:id="10"/>
      <w:r w:rsidRPr="00DC0739">
        <w:t>Evidence Guide</w:t>
      </w:r>
    </w:p>
    <w:tbl>
      <w:tblPr>
        <w:tblW w:w="9462" w:type="dxa"/>
        <w:tblLayout w:type="fixed"/>
        <w:tblCellMar>
          <w:left w:w="62" w:type="dxa"/>
          <w:right w:w="62" w:type="dxa"/>
        </w:tblCellMar>
        <w:tblLook w:val="0000"/>
      </w:tblPr>
      <w:tblGrid>
        <w:gridCol w:w="3800"/>
        <w:gridCol w:w="5662"/>
      </w:tblGrid>
      <w:tr w:rsidTr="00DC0739">
        <w:tblPrEx>
          <w:tblW w:w="9462" w:type="dxa"/>
          <w:tblLayout w:type="fixed"/>
          <w:tblCellMar>
            <w:left w:w="62" w:type="dxa"/>
            <w:right w:w="62" w:type="dxa"/>
          </w:tblCellMar>
          <w:tblLook w:val="0000"/>
        </w:tblPrEx>
        <w:tc>
          <w:tcPr>
            <w:tcW w:w="9462"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DC0739">
            <w:pPr>
              <w:pStyle w:val="BodyText"/>
              <w:rPr>
                <w:lang w:val="en-NZ"/>
              </w:rPr>
            </w:pPr>
            <w:r w:rsidRPr="00DC0739">
              <w:t>The evidence guide provides advice on assessment and must be read in conjunction with the performance criteria, required skills and knowledge, range statement and the Assessment Guidelines for the Training Package.</w:t>
            </w:r>
          </w:p>
        </w:tc>
      </w:tr>
      <w:tr w:rsidTr="00DC0739">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0739">
            <w:pPr>
              <w:pStyle w:val="BodyText"/>
              <w:rPr>
                <w:lang w:val="en-NZ"/>
              </w:rPr>
            </w:pPr>
            <w:r w:rsidRPr="00DC0739">
              <w:rPr>
                <w:rStyle w:val="SpecialBold"/>
              </w:rPr>
              <w:t>Critical aspects for assessment and evi</w:t>
            </w:r>
            <w:r w:rsidRPr="00DC0739">
              <w:rPr>
                <w:rStyle w:val="SpecialBold"/>
              </w:rPr>
              <w:t>dence required to demonstrate competency in this unit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C0739" w:rsidP="00DC0739">
            <w:pPr>
              <w:pStyle w:val="BodyText"/>
            </w:pPr>
            <w:r w:rsidRPr="00DC0739">
              <w:t>A person who demonstrates competency in this unit must be able to provide evidence of the ability to:</w:t>
            </w:r>
          </w:p>
          <w:p w:rsidR="00000000" w:rsidRPr="00DC0739" w:rsidP="00DC0739">
            <w:pPr>
              <w:pStyle w:val="ListBullet"/>
            </w:pPr>
            <w:r w:rsidRPr="00DC0739">
              <w:t>analyse variability and non-conformances</w:t>
            </w:r>
          </w:p>
          <w:p w:rsidR="00000000" w:rsidRPr="00DC0739" w:rsidP="00DC0739">
            <w:pPr>
              <w:pStyle w:val="ListBullet"/>
            </w:pPr>
            <w:r w:rsidRPr="00DC0739">
              <w:t xml:space="preserve">identify, analyse and evaluate information from a variety </w:t>
            </w:r>
            <w:r w:rsidRPr="00DC0739">
              <w:t xml:space="preserve">of sources to identify errors and options for mistake proofing </w:t>
            </w:r>
          </w:p>
          <w:p w:rsidR="00000000" w:rsidRPr="00DC0739" w:rsidP="00DC0739">
            <w:pPr>
              <w:pStyle w:val="ListBullet"/>
            </w:pPr>
            <w:r w:rsidRPr="00DC0739">
              <w:t>facilitate implementation of mistake proofing activities that reduce waste</w:t>
            </w:r>
          </w:p>
          <w:p w:rsidR="00000000" w:rsidP="00DC0739">
            <w:pPr>
              <w:pStyle w:val="ListBullet"/>
              <w:rPr>
                <w:lang w:val="en-NZ"/>
              </w:rPr>
            </w:pPr>
            <w:r w:rsidRPr="00DC0739">
              <w:t>facilitate sustaining the mistake proofing activities.</w:t>
            </w:r>
          </w:p>
        </w:tc>
      </w:tr>
      <w:tr w:rsidTr="00DC0739">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0739">
            <w:pPr>
              <w:pStyle w:val="BodyText"/>
              <w:rPr>
                <w:lang w:val="en-NZ"/>
              </w:rPr>
            </w:pPr>
            <w:r w:rsidRPr="00DC0739">
              <w:rPr>
                <w:rStyle w:val="SpecialBold"/>
              </w:rPr>
              <w:t>Context of and specific resources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C0739" w:rsidP="00DC0739">
            <w:pPr>
              <w:pStyle w:val="BodyText"/>
            </w:pPr>
            <w:r w:rsidRPr="00DC0739">
              <w:t xml:space="preserve">Assessment of performance must be undertaken in a workplace using or implementing one or more competitive systems and practices. </w:t>
            </w:r>
          </w:p>
          <w:p w:rsidR="00000000" w:rsidRPr="00DC0739" w:rsidP="00DC0739">
            <w:pPr>
              <w:pStyle w:val="BodyText"/>
            </w:pPr>
            <w:r w:rsidRPr="00DC0739">
              <w:t>Access may be required to:</w:t>
            </w:r>
          </w:p>
          <w:p w:rsidR="00000000" w:rsidRPr="00DC0739" w:rsidP="00DC0739">
            <w:pPr>
              <w:pStyle w:val="ListBullet"/>
            </w:pPr>
            <w:r w:rsidRPr="00DC0739">
              <w:t>workplace procedures and plans relevant to work area</w:t>
            </w:r>
          </w:p>
          <w:p w:rsidR="00000000" w:rsidRPr="00DC0739" w:rsidP="00DC0739">
            <w:pPr>
              <w:pStyle w:val="ListBullet"/>
            </w:pPr>
            <w:r w:rsidRPr="00DC0739">
              <w:t xml:space="preserve">specifications and documentation relating to </w:t>
            </w:r>
            <w:r w:rsidRPr="00DC0739">
              <w:t>planned, currently being implemented, or implemented changes to work processes and procedures relevant to the assessee</w:t>
            </w:r>
          </w:p>
          <w:p w:rsidR="00000000" w:rsidRPr="00DC0739" w:rsidP="00DC0739">
            <w:pPr>
              <w:pStyle w:val="ListBullet"/>
            </w:pPr>
            <w:r w:rsidRPr="00DC0739">
              <w:t>documentation and information in relation to production, waste, overheads and hazard control/management</w:t>
            </w:r>
          </w:p>
          <w:p w:rsidR="00000000" w:rsidRPr="00DC0739" w:rsidP="00DC0739">
            <w:pPr>
              <w:pStyle w:val="ListBullet"/>
            </w:pPr>
            <w:r w:rsidRPr="00DC0739">
              <w:t>reports from supervisors/managers</w:t>
            </w:r>
          </w:p>
          <w:p w:rsidR="00000000" w:rsidP="00DC0739">
            <w:pPr>
              <w:pStyle w:val="ListBullet"/>
              <w:rPr>
                <w:lang w:val="en-NZ"/>
              </w:rPr>
            </w:pPr>
            <w:r w:rsidRPr="00DC0739">
              <w:t>case studies and scenarios to assess responses to contingencies.</w:t>
            </w:r>
          </w:p>
        </w:tc>
      </w:tr>
      <w:tr w:rsidTr="00DC0739">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0739">
            <w:pPr>
              <w:pStyle w:val="BodyText"/>
              <w:rPr>
                <w:lang w:val="en-NZ"/>
              </w:rPr>
            </w:pPr>
            <w:r w:rsidRPr="00DC0739">
              <w:rPr>
                <w:rStyle w:val="SpecialBold"/>
              </w:rPr>
              <w:t>Method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C0739" w:rsidP="00DC0739">
            <w:pPr>
              <w:pStyle w:val="BodyText"/>
            </w:pPr>
            <w:r w:rsidRPr="00DC0739">
              <w:t>A holistic approach should be taken to the assessment.</w:t>
            </w:r>
          </w:p>
          <w:p w:rsidR="00000000" w:rsidRPr="00DC0739" w:rsidP="00DC0739">
            <w:pPr>
              <w:pStyle w:val="BodyText"/>
            </w:pPr>
            <w:r w:rsidRPr="00DC0739">
              <w:t>Competence in this unit may be assessed by using a combination of the following to generate evidence:</w:t>
            </w:r>
          </w:p>
          <w:p w:rsidR="00000000" w:rsidRPr="00DC0739" w:rsidP="00DC0739">
            <w:pPr>
              <w:pStyle w:val="ListBullet"/>
            </w:pPr>
            <w:r w:rsidRPr="00DC0739">
              <w:t>demonstrat</w:t>
            </w:r>
            <w:r w:rsidRPr="00DC0739">
              <w:t>ion in the workplace</w:t>
            </w:r>
          </w:p>
          <w:p w:rsidR="00000000" w:rsidRPr="00DC0739" w:rsidP="00DC0739">
            <w:pPr>
              <w:pStyle w:val="ListBullet"/>
            </w:pPr>
            <w:r w:rsidRPr="00DC0739">
              <w:t>workplace projects</w:t>
            </w:r>
          </w:p>
          <w:p w:rsidR="00000000" w:rsidRPr="00DC0739" w:rsidP="00DC0739">
            <w:pPr>
              <w:pStyle w:val="ListBullet"/>
            </w:pPr>
            <w:r w:rsidRPr="00DC0739">
              <w:t>suitable simulation</w:t>
            </w:r>
          </w:p>
          <w:p w:rsidR="00000000" w:rsidRPr="00DC0739" w:rsidP="00DC0739">
            <w:pPr>
              <w:pStyle w:val="ListBullet"/>
            </w:pPr>
            <w:r w:rsidRPr="00DC0739">
              <w:t>case studies/scenarios (particularly for assessment of contingencies, improvement scenarios, and so on)</w:t>
            </w:r>
          </w:p>
          <w:p w:rsidR="00000000" w:rsidRPr="00DC0739" w:rsidP="00DC0739">
            <w:pPr>
              <w:pStyle w:val="ListBullet"/>
            </w:pPr>
            <w:r w:rsidRPr="00DC0739">
              <w:t xml:space="preserve">targeted questioning </w:t>
            </w:r>
          </w:p>
          <w:p w:rsidR="00000000" w:rsidRPr="00DC0739" w:rsidP="00DC0739">
            <w:pPr>
              <w:pStyle w:val="ListBullet"/>
            </w:pPr>
            <w:r w:rsidRPr="00DC0739">
              <w:t>reports from supervisors, peers and colleagues (third-party reports)</w:t>
            </w:r>
          </w:p>
          <w:p w:rsidR="00000000" w:rsidRPr="00DC0739" w:rsidP="00DC0739">
            <w:pPr>
              <w:pStyle w:val="ListBullet"/>
            </w:pPr>
            <w:r w:rsidRPr="00DC0739">
              <w:t>portfolio of evidence.</w:t>
            </w:r>
          </w:p>
          <w:p w:rsidR="00000000" w:rsidRPr="00DC0739" w:rsidP="00DC0739">
            <w:pPr>
              <w:pStyle w:val="BodyText"/>
            </w:pPr>
            <w:r w:rsidRPr="00DC0739">
              <w:t>In all cases it is expected that practical assessment will be combined with targeted questioning to assess underpinning knowledge.</w:t>
            </w:r>
          </w:p>
          <w:p w:rsidR="00000000" w:rsidP="00DC0739">
            <w:pPr>
              <w:pStyle w:val="BodyText"/>
              <w:rPr>
                <w:lang w:val="en-NZ"/>
              </w:rPr>
            </w:pPr>
            <w:r w:rsidRPr="00DC0739">
              <w:t>Where applicable, reasonable adjustment must be made to work environments and training situations to a</w:t>
            </w:r>
            <w:r w:rsidRPr="00DC0739">
              <w:t>ccommodate ethnicity, age, gender, demographics and disability.</w:t>
            </w:r>
          </w:p>
        </w:tc>
      </w:tr>
      <w:tr w:rsidTr="00DC0739">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0739">
            <w:pPr>
              <w:pStyle w:val="BodyText"/>
              <w:rPr>
                <w:lang w:val="en-NZ"/>
              </w:rPr>
            </w:pPr>
            <w:r w:rsidRPr="00DC0739">
              <w:rPr>
                <w:rStyle w:val="SpecialBold"/>
              </w:rPr>
              <w:t>Guidance information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C0739" w:rsidP="00DC0739">
            <w:pPr>
              <w:pStyle w:val="BodyText"/>
            </w:pPr>
            <w:r w:rsidRPr="00DC0739">
              <w:t>Assessment processes and techniques must be culturally appropriate and appropriate to the oracy, language and literacy capacity of the candidate and the wo</w:t>
            </w:r>
            <w:r w:rsidRPr="00DC0739">
              <w:t>rk being performed.</w:t>
            </w:r>
          </w:p>
        </w:tc>
      </w:tr>
    </w:tbl>
    <w:p w:rsidR="004450FC" w:rsidP="00DC0739">
      <w:pPr>
        <w:pStyle w:val="BodyText"/>
      </w:pPr>
    </w:p>
    <w:p w:rsidR="004450FC" w:rsidP="00DC0739">
      <w:pPr>
        <w:pStyle w:val="BodyText"/>
      </w:pPr>
    </w:p>
    <w:p w:rsidR="00000000" w:rsidRPr="00DC0739" w:rsidP="00DC0739">
      <w:pPr>
        <w:pStyle w:val="Heading1"/>
      </w:pPr>
      <w:bookmarkStart w:id="11" w:name="O_467086"/>
      <w:bookmarkEnd w:id="11"/>
      <w:r w:rsidRPr="00DC0739">
        <w:t>Range Statement</w:t>
      </w:r>
    </w:p>
    <w:tbl>
      <w:tblPr>
        <w:tblW w:w="9462" w:type="dxa"/>
        <w:tblLayout w:type="fixed"/>
        <w:tblCellMar>
          <w:left w:w="62" w:type="dxa"/>
          <w:right w:w="62" w:type="dxa"/>
        </w:tblCellMar>
        <w:tblLook w:val="0000"/>
      </w:tblPr>
      <w:tblGrid>
        <w:gridCol w:w="3800"/>
        <w:gridCol w:w="5662"/>
      </w:tblGrid>
      <w:tr w:rsidTr="00DC0739">
        <w:tblPrEx>
          <w:tblW w:w="9462" w:type="dxa"/>
          <w:tblLayout w:type="fixed"/>
          <w:tblCellMar>
            <w:left w:w="62" w:type="dxa"/>
            <w:right w:w="62" w:type="dxa"/>
          </w:tblCellMar>
          <w:tblLook w:val="0000"/>
        </w:tblPrEx>
        <w:tc>
          <w:tcPr>
            <w:tcW w:w="9462"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DC0739">
            <w:pPr>
              <w:pStyle w:val="BodyText"/>
              <w:rPr>
                <w:lang w:val="en-NZ"/>
              </w:rPr>
            </w:pPr>
            <w:r w:rsidRPr="00DC0739">
              <w:t xml:space="preserve">The range statement relates to the unit of competency as a whole. It allows for different work environments and situations that may affect performance. </w:t>
            </w:r>
            <w:r w:rsidRPr="00DC0739">
              <w:t xml:space="preserve">Bold italicised wording, if used in the performance criteria, is detailed below. Essential operating conditions that may be present with training and assessment (depending on the work situation, needs of the candidate, accessibility of the item, and local </w:t>
            </w:r>
            <w:r w:rsidRPr="00DC0739">
              <w:t>industry and regional contexts) may also be included.</w:t>
            </w:r>
          </w:p>
        </w:tc>
      </w:tr>
      <w:tr w:rsidTr="00DC0739">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C0739" w:rsidP="00DC0739">
            <w:pPr>
              <w:pStyle w:val="BodyText"/>
            </w:pPr>
            <w:r w:rsidRPr="00DC0739">
              <w:rPr>
                <w:rStyle w:val="SpecialBold"/>
              </w:rPr>
              <w:t>Competitive systems and practices</w:t>
            </w:r>
          </w:p>
          <w:p w:rsidR="00000000">
            <w:pPr>
              <w:pStyle w:val="BodyText"/>
              <w:keepNext w:val="0"/>
              <w:keepLines w:val="0"/>
              <w:contextualSpacing w:val="0"/>
              <w:rPr>
                <w:rFonts w:ascii="Tahoma" w:hAnsi="Tahoma"/>
                <w:color w:val="000000"/>
                <w:sz w:val="20"/>
                <w:lang w:val="en-NZ"/>
              </w:rPr>
            </w:pP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C0739" w:rsidP="00DC0739">
            <w:pPr>
              <w:pStyle w:val="BodyText"/>
            </w:pPr>
            <w:r w:rsidRPr="00DC0739">
              <w:t>Competitive systems and practices may include, but are not limited to:</w:t>
            </w:r>
          </w:p>
          <w:p w:rsidR="00000000" w:rsidRPr="00DC0739" w:rsidP="00DC0739">
            <w:pPr>
              <w:pStyle w:val="ListBullet"/>
            </w:pPr>
            <w:r w:rsidRPr="00DC0739">
              <w:t>lean operations</w:t>
            </w:r>
          </w:p>
          <w:p w:rsidR="00000000" w:rsidRPr="00DC0739" w:rsidP="00DC0739">
            <w:pPr>
              <w:pStyle w:val="ListBullet"/>
            </w:pPr>
            <w:r w:rsidRPr="00DC0739">
              <w:t>agile operations</w:t>
            </w:r>
          </w:p>
          <w:p w:rsidR="00000000" w:rsidRPr="00DC0739" w:rsidP="00DC0739">
            <w:pPr>
              <w:pStyle w:val="ListBullet"/>
            </w:pPr>
            <w:r w:rsidRPr="00DC0739">
              <w:t>preventative and predictive maintenance approaches</w:t>
            </w:r>
          </w:p>
          <w:p w:rsidR="00000000" w:rsidRPr="00DC0739" w:rsidP="00DC0739">
            <w:pPr>
              <w:pStyle w:val="ListBullet"/>
            </w:pPr>
            <w:r w:rsidRPr="00DC0739">
              <w:t>monitorin</w:t>
            </w:r>
            <w:r w:rsidRPr="00DC0739">
              <w:t xml:space="preserve">g and data gathering systems, such as Systems Control and Data Acquisition (SCADA) software, Enterprise Resource Planning (ERP) systems, Materials Resource Planning (MRP) and proprietary systems </w:t>
            </w:r>
          </w:p>
          <w:p w:rsidR="00000000" w:rsidRPr="00DC0739" w:rsidP="00DC0739">
            <w:pPr>
              <w:pStyle w:val="ListBullet"/>
            </w:pPr>
            <w:r w:rsidRPr="00DC0739">
              <w:t>statistical process control systems, including six sigma and</w:t>
            </w:r>
            <w:r w:rsidRPr="00DC0739">
              <w:t xml:space="preserve"> three sigma</w:t>
            </w:r>
          </w:p>
          <w:p w:rsidR="00000000" w:rsidRPr="00DC0739" w:rsidP="00DC0739">
            <w:pPr>
              <w:pStyle w:val="ListBullet"/>
            </w:pPr>
            <w:r w:rsidRPr="00DC0739">
              <w:t>Just in Time (JIT), kanban and other pull-related operations control systems</w:t>
            </w:r>
          </w:p>
          <w:p w:rsidR="00000000" w:rsidRPr="00DC0739" w:rsidP="00DC0739">
            <w:pPr>
              <w:pStyle w:val="ListBullet"/>
            </w:pPr>
            <w:r w:rsidRPr="00DC0739">
              <w:t>supply, value, and demand chain monitoring and analysis</w:t>
            </w:r>
          </w:p>
          <w:p w:rsidR="00000000" w:rsidRPr="00DC0739" w:rsidP="00DC0739">
            <w:pPr>
              <w:pStyle w:val="ListBullet"/>
            </w:pPr>
            <w:r w:rsidRPr="00DC0739">
              <w:t xml:space="preserve">5S </w:t>
            </w:r>
          </w:p>
          <w:p w:rsidR="00000000" w:rsidRPr="00DC0739" w:rsidP="00DC0739">
            <w:pPr>
              <w:pStyle w:val="ListBullet"/>
            </w:pPr>
            <w:r w:rsidRPr="00DC0739">
              <w:t>continuous improvement (kaizen)</w:t>
            </w:r>
          </w:p>
          <w:p w:rsidR="00000000" w:rsidRPr="00DC0739" w:rsidP="00DC0739">
            <w:pPr>
              <w:pStyle w:val="ListBullet"/>
            </w:pPr>
            <w:r w:rsidRPr="00DC0739">
              <w:t>breakthrough improvement (kaizen blitz)</w:t>
            </w:r>
          </w:p>
          <w:p w:rsidR="00000000" w:rsidRPr="00DC0739" w:rsidP="00DC0739">
            <w:pPr>
              <w:pStyle w:val="ListBullet"/>
            </w:pPr>
            <w:r w:rsidRPr="00DC0739">
              <w:t>cause/effect diagrams</w:t>
            </w:r>
          </w:p>
          <w:p w:rsidR="00000000" w:rsidRPr="00DC0739" w:rsidP="00DC0739">
            <w:pPr>
              <w:pStyle w:val="ListBullet"/>
            </w:pPr>
            <w:r w:rsidRPr="00DC0739">
              <w:t>overall equipment effectiveness (OEE)</w:t>
            </w:r>
          </w:p>
          <w:p w:rsidR="00000000" w:rsidRPr="00DC0739" w:rsidP="00DC0739">
            <w:pPr>
              <w:pStyle w:val="ListBullet"/>
            </w:pPr>
            <w:r w:rsidRPr="00DC0739">
              <w:t>takt time</w:t>
            </w:r>
          </w:p>
          <w:p w:rsidR="00000000" w:rsidRPr="00DC0739" w:rsidP="00DC0739">
            <w:pPr>
              <w:pStyle w:val="ListBullet"/>
            </w:pPr>
            <w:r w:rsidRPr="00DC0739">
              <w:t>process mapping</w:t>
            </w:r>
          </w:p>
          <w:p w:rsidR="00000000" w:rsidRPr="00DC0739" w:rsidP="00DC0739">
            <w:pPr>
              <w:pStyle w:val="ListBullet"/>
            </w:pPr>
            <w:r w:rsidRPr="00DC0739">
              <w:t xml:space="preserve">problem solving </w:t>
            </w:r>
          </w:p>
          <w:p w:rsidR="00000000" w:rsidRPr="00DC0739" w:rsidP="00DC0739">
            <w:pPr>
              <w:pStyle w:val="ListBullet"/>
            </w:pPr>
            <w:r w:rsidRPr="00DC0739">
              <w:t>run charts</w:t>
            </w:r>
          </w:p>
          <w:p w:rsidR="00000000" w:rsidRPr="00DC0739" w:rsidP="00DC0739">
            <w:pPr>
              <w:pStyle w:val="ListBullet"/>
            </w:pPr>
            <w:r w:rsidRPr="00DC0739">
              <w:t>standard procedures</w:t>
            </w:r>
          </w:p>
          <w:p w:rsidR="00000000" w:rsidRPr="00DC0739" w:rsidP="00DC0739">
            <w:pPr>
              <w:pStyle w:val="ListBullet"/>
            </w:pPr>
            <w:r w:rsidRPr="00DC0739">
              <w:t>current reality tree</w:t>
            </w:r>
          </w:p>
          <w:p w:rsidR="00000000" w:rsidRPr="00DC0739" w:rsidP="00DC0739">
            <w:pPr>
              <w:pStyle w:val="BodyText"/>
            </w:pPr>
            <w:r w:rsidRPr="00DC0739">
              <w:t>Competitive systems and practices should be interpreted so as to take into account:</w:t>
            </w:r>
          </w:p>
          <w:p w:rsidR="00000000" w:rsidRPr="00DC0739" w:rsidP="00DC0739">
            <w:pPr>
              <w:pStyle w:val="ListBullet"/>
            </w:pPr>
            <w:r w:rsidRPr="00DC0739">
              <w:t>the stage of implementation of competi</w:t>
            </w:r>
            <w:r w:rsidRPr="00DC0739">
              <w:t>tive systems and practices</w:t>
            </w:r>
          </w:p>
          <w:p w:rsidR="00000000" w:rsidRPr="00DC0739" w:rsidP="00DC0739">
            <w:pPr>
              <w:pStyle w:val="ListBullet"/>
            </w:pPr>
            <w:r w:rsidRPr="00DC0739">
              <w:t>the size of the enterprise</w:t>
            </w:r>
          </w:p>
          <w:p w:rsidR="00000000" w:rsidP="00DC0739">
            <w:pPr>
              <w:pStyle w:val="ListBullet"/>
              <w:rPr>
                <w:lang w:val="en-NZ"/>
              </w:rPr>
            </w:pPr>
            <w:r w:rsidRPr="00DC0739">
              <w:t>the work organisation, culture, regulatory environment and the industry sector</w:t>
            </w:r>
          </w:p>
        </w:tc>
      </w:tr>
      <w:tr w:rsidTr="00DC0739">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0739">
            <w:pPr>
              <w:pStyle w:val="BodyText"/>
              <w:rPr>
                <w:lang w:val="en-NZ"/>
              </w:rPr>
            </w:pPr>
            <w:r w:rsidRPr="00DC0739">
              <w:rPr>
                <w:rStyle w:val="SpecialBold"/>
              </w:rPr>
              <w:t>Mistake proofing</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C0739" w:rsidP="00DC0739">
            <w:pPr>
              <w:pStyle w:val="BodyText"/>
            </w:pPr>
            <w:r w:rsidRPr="00DC0739">
              <w:t>Mistake proofing is based on the concept</w:t>
            </w:r>
            <w:r w:rsidRPr="00DC0739">
              <w:t xml:space="preserve"> of zero defects. The first priority is to eliminate the possibility of an error occurring. However, where this is not feasible mistake proofing can be used to reduce the occurrence of errors and/or to minimise their impact.</w:t>
            </w:r>
          </w:p>
          <w:p w:rsidR="00000000" w:rsidRPr="00DC0739" w:rsidP="00DC0739">
            <w:pPr>
              <w:pStyle w:val="BodyText"/>
            </w:pPr>
            <w:r w:rsidRPr="00DC0739">
              <w:t xml:space="preserve">Mistake proofing should target </w:t>
            </w:r>
            <w:r w:rsidRPr="00DC0739">
              <w:t xml:space="preserve">an error in the following priority order: </w:t>
            </w:r>
          </w:p>
          <w:p w:rsidR="00000000" w:rsidRPr="00DC0739" w:rsidP="00DC0739">
            <w:pPr>
              <w:pStyle w:val="ListBullet"/>
            </w:pPr>
            <w:r w:rsidRPr="00DC0739">
              <w:t>eliminate the possibility of the error via changes to the process</w:t>
            </w:r>
          </w:p>
          <w:p w:rsidR="00000000" w:rsidRPr="00DC0739" w:rsidP="00DC0739">
            <w:pPr>
              <w:pStyle w:val="ListBullet"/>
            </w:pPr>
            <w:r w:rsidRPr="00DC0739">
              <w:t xml:space="preserve">prevent the error from occurring via physical or virtual barriers, </w:t>
            </w:r>
          </w:p>
          <w:p w:rsidR="00000000" w:rsidRPr="00DC0739" w:rsidP="00DC0739">
            <w:pPr>
              <w:pStyle w:val="ListBullet"/>
            </w:pPr>
            <w:r w:rsidRPr="00DC0739">
              <w:t>reduce likelihood of the error by encouraging correct action (e.g. through war</w:t>
            </w:r>
            <w:r w:rsidRPr="00DC0739">
              <w:t>ning systems)</w:t>
            </w:r>
          </w:p>
          <w:p w:rsidR="00000000" w:rsidRPr="00DC0739" w:rsidP="00DC0739">
            <w:pPr>
              <w:pStyle w:val="ListBullet"/>
            </w:pPr>
            <w:r w:rsidRPr="00DC0739">
              <w:t xml:space="preserve">mitigate the impact of the error if it does occur </w:t>
            </w:r>
          </w:p>
          <w:p w:rsidR="00000000" w:rsidP="00DC0739">
            <w:pPr>
              <w:pStyle w:val="BodyText"/>
              <w:rPr>
                <w:lang w:val="en-NZ"/>
              </w:rPr>
            </w:pPr>
            <w:r w:rsidRPr="00DC0739">
              <w:t>Mistake proofing is also called error proofing or baka-yoke or poka-yoke</w:t>
            </w:r>
          </w:p>
        </w:tc>
      </w:tr>
      <w:tr w:rsidTr="00DC0739">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0739">
            <w:pPr>
              <w:pStyle w:val="BodyText"/>
              <w:rPr>
                <w:lang w:val="en-NZ"/>
              </w:rPr>
            </w:pPr>
            <w:r w:rsidRPr="00DC0739">
              <w:rPr>
                <w:rStyle w:val="SpecialBold"/>
              </w:rPr>
              <w:t>Options for mistake proofing</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C0739" w:rsidP="00DC0739">
            <w:pPr>
              <w:pStyle w:val="BodyText"/>
            </w:pPr>
            <w:r w:rsidRPr="00DC0739">
              <w:t>Factors to consider when prioritising options for mistake proofing will vary according t</w:t>
            </w:r>
            <w:r w:rsidRPr="00DC0739">
              <w:t>o the process and may include:</w:t>
            </w:r>
          </w:p>
          <w:p w:rsidR="00000000" w:rsidRPr="00DC0739" w:rsidP="00DC0739">
            <w:pPr>
              <w:pStyle w:val="ListBullet"/>
            </w:pPr>
            <w:r w:rsidRPr="00DC0739">
              <w:t>success rate in eliminating errors</w:t>
            </w:r>
          </w:p>
          <w:p w:rsidR="00000000" w:rsidRPr="00DC0739" w:rsidP="00DC0739">
            <w:pPr>
              <w:pStyle w:val="ListBullet"/>
            </w:pPr>
            <w:r w:rsidRPr="00DC0739">
              <w:t>feasibility</w:t>
            </w:r>
          </w:p>
          <w:p w:rsidR="00000000" w:rsidRPr="00DC0739" w:rsidP="00DC0739">
            <w:pPr>
              <w:pStyle w:val="ListBullet"/>
            </w:pPr>
            <w:r w:rsidRPr="00DC0739">
              <w:t xml:space="preserve">skills required by employees </w:t>
            </w:r>
          </w:p>
          <w:p w:rsidR="00000000" w:rsidRPr="00DC0739" w:rsidP="00DC0739">
            <w:pPr>
              <w:pStyle w:val="ListBullet"/>
            </w:pPr>
            <w:r w:rsidRPr="00DC0739">
              <w:t xml:space="preserve">cost </w:t>
            </w:r>
          </w:p>
          <w:p w:rsidR="00000000" w:rsidP="00DC0739">
            <w:pPr>
              <w:pStyle w:val="ListBullet"/>
              <w:rPr>
                <w:lang w:val="en-NZ"/>
              </w:rPr>
            </w:pPr>
            <w:r w:rsidRPr="00DC0739">
              <w:t>capacity to reduce waste</w:t>
            </w:r>
          </w:p>
        </w:tc>
      </w:tr>
      <w:tr w:rsidTr="00DC0739">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0739">
            <w:pPr>
              <w:pStyle w:val="BodyText"/>
              <w:rPr>
                <w:lang w:val="en-NZ"/>
              </w:rPr>
            </w:pPr>
            <w:r w:rsidRPr="00DC0739">
              <w:rPr>
                <w:rStyle w:val="SpecialBold"/>
              </w:rPr>
              <w:t>Procedures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C0739" w:rsidP="00DC0739">
            <w:pPr>
              <w:pStyle w:val="BodyText"/>
            </w:pPr>
            <w:r w:rsidRPr="00DC0739">
              <w:t>Procedures may include:</w:t>
            </w:r>
          </w:p>
          <w:p w:rsidR="00000000" w:rsidRPr="00DC0739" w:rsidP="00DC0739">
            <w:pPr>
              <w:pStyle w:val="ListBullet"/>
            </w:pPr>
            <w:r w:rsidRPr="00DC0739">
              <w:t>all work instructions</w:t>
            </w:r>
          </w:p>
          <w:p w:rsidR="00000000" w:rsidRPr="00DC0739" w:rsidP="00DC0739">
            <w:pPr>
              <w:pStyle w:val="ListBullet"/>
            </w:pPr>
            <w:r w:rsidRPr="00DC0739">
              <w:t>standard operating procedures</w:t>
            </w:r>
          </w:p>
          <w:p w:rsidR="00000000" w:rsidRPr="00DC0739" w:rsidP="00DC0739">
            <w:pPr>
              <w:pStyle w:val="ListBullet"/>
            </w:pPr>
            <w:r w:rsidRPr="00DC0739">
              <w:t>formulas/recipes</w:t>
            </w:r>
          </w:p>
          <w:p w:rsidR="00000000" w:rsidRPr="00DC0739" w:rsidP="00DC0739">
            <w:pPr>
              <w:pStyle w:val="ListBullet"/>
            </w:pPr>
            <w:r w:rsidRPr="00DC0739">
              <w:t>batch sheet</w:t>
            </w:r>
          </w:p>
          <w:p w:rsidR="00000000" w:rsidRPr="00DC0739" w:rsidP="00DC0739">
            <w:pPr>
              <w:pStyle w:val="ListBullet"/>
            </w:pPr>
            <w:r w:rsidRPr="00DC0739">
              <w:t>temporary instructions and similar instructions provided for the operation of the plant</w:t>
            </w:r>
          </w:p>
          <w:p w:rsidR="00000000" w:rsidRPr="00DC0739" w:rsidP="00DC0739">
            <w:pPr>
              <w:pStyle w:val="ListBullet"/>
            </w:pPr>
            <w:r w:rsidRPr="00DC0739">
              <w:t xml:space="preserve">good operating practice as may be defined by industry codes of practice (e.g. good manufacturing practice (GMP) and responsible care) </w:t>
            </w:r>
          </w:p>
          <w:p w:rsidR="00000000" w:rsidRPr="00DC0739" w:rsidP="00DC0739">
            <w:pPr>
              <w:pStyle w:val="ListBullet"/>
            </w:pPr>
            <w:r w:rsidRPr="00DC0739">
              <w:t>government regulation</w:t>
            </w:r>
            <w:r w:rsidRPr="00DC0739">
              <w:t>s</w:t>
            </w:r>
          </w:p>
          <w:p w:rsidR="00000000" w:rsidRPr="00DC0739" w:rsidP="00DC0739">
            <w:pPr>
              <w:pStyle w:val="BodyText"/>
            </w:pPr>
            <w:r w:rsidRPr="00DC0739">
              <w:t>Procedures may be:</w:t>
            </w:r>
          </w:p>
          <w:p w:rsidR="00000000" w:rsidRPr="00DC0739" w:rsidP="00DC0739">
            <w:pPr>
              <w:pStyle w:val="ListBullet"/>
            </w:pPr>
            <w:r w:rsidRPr="00DC0739">
              <w:t>written, verbal, computer-based or in some other format</w:t>
            </w:r>
          </w:p>
        </w:tc>
      </w:tr>
    </w:tbl>
    <w:p w:rsidR="004450FC" w:rsidP="00DC0739">
      <w:pPr>
        <w:pStyle w:val="BodyText"/>
      </w:pPr>
    </w:p>
    <w:p w:rsidR="004450FC" w:rsidP="00DC0739">
      <w:pPr>
        <w:pStyle w:val="BodyText"/>
      </w:pPr>
    </w:p>
    <w:p w:rsidR="00000000" w:rsidRPr="00DC0739" w:rsidP="00DC0739">
      <w:pPr>
        <w:pStyle w:val="Heading1"/>
      </w:pPr>
      <w:bookmarkStart w:id="12" w:name="O_467087"/>
      <w:bookmarkEnd w:id="12"/>
      <w:r w:rsidRPr="00DC0739">
        <w:t>Unit Sector(s)</w:t>
      </w:r>
    </w:p>
    <w:tbl>
      <w:tblPr>
        <w:tblW w:w="9354" w:type="dxa"/>
        <w:tblLayout w:type="fixed"/>
        <w:tblCellMar>
          <w:left w:w="62" w:type="dxa"/>
          <w:right w:w="62" w:type="dxa"/>
        </w:tblCellMar>
        <w:tblLook w:val="0000"/>
      </w:tblPr>
      <w:tblGrid>
        <w:gridCol w:w="2592"/>
        <w:gridCol w:w="6762"/>
      </w:tblGrid>
      <w:tr w:rsidTr="00DC0739">
        <w:tblPrEx>
          <w:tblW w:w="9354" w:type="dxa"/>
          <w:tblLayout w:type="fixed"/>
          <w:tblCellMar>
            <w:left w:w="62" w:type="dxa"/>
            <w:right w:w="62" w:type="dxa"/>
          </w:tblCellMar>
          <w:tblLook w:val="0000"/>
        </w:tblPrEx>
        <w:tc>
          <w:tcPr>
            <w:tcW w:w="2592" w:type="dxa"/>
            <w:tcBorders>
              <w:top w:val="nil"/>
              <w:left w:val="nil"/>
              <w:bottom w:val="nil"/>
              <w:right w:val="nil"/>
            </w:tcBorders>
            <w:tcMar>
              <w:top w:w="0" w:type="dxa"/>
              <w:left w:w="62" w:type="dxa"/>
              <w:bottom w:w="0" w:type="dxa"/>
              <w:right w:w="62" w:type="dxa"/>
            </w:tcMar>
          </w:tcPr>
          <w:p w:rsidR="00000000" w:rsidP="00DC0739">
            <w:pPr>
              <w:pStyle w:val="BodyText"/>
              <w:rPr>
                <w:lang w:val="en-NZ"/>
              </w:rPr>
            </w:pPr>
            <w:r w:rsidRPr="00DC0739">
              <w:t>Unit sector</w:t>
            </w:r>
          </w:p>
        </w:tc>
        <w:tc>
          <w:tcPr>
            <w:tcW w:w="6762" w:type="dxa"/>
            <w:tcBorders>
              <w:top w:val="nil"/>
              <w:left w:val="nil"/>
              <w:bottom w:val="nil"/>
              <w:right w:val="nil"/>
            </w:tcBorders>
            <w:tcMar>
              <w:top w:w="0" w:type="dxa"/>
              <w:left w:w="62" w:type="dxa"/>
              <w:bottom w:w="0" w:type="dxa"/>
              <w:right w:w="62" w:type="dxa"/>
            </w:tcMar>
          </w:tcPr>
          <w:p w:rsidR="00000000" w:rsidRPr="00DC0739" w:rsidP="00DC0739">
            <w:pPr>
              <w:pStyle w:val="BodyText"/>
            </w:pPr>
            <w:r w:rsidRPr="00DC0739">
              <w:t>Competitive systems and practices</w:t>
            </w:r>
          </w:p>
        </w:tc>
      </w:tr>
    </w:tbl>
    <w:p w:rsidR="00000000" w:rsidRPr="00DC0739" w:rsidP="00DC0739">
      <w:pPr>
        <w:pStyle w:val="BodyText"/>
      </w:pPr>
    </w:p>
    <w:p w:rsidR="00000000" w:rsidRPr="00DC0739" w:rsidP="00DC0739">
      <w:pPr>
        <w:pStyle w:val="AllowPageBreak"/>
      </w:pPr>
    </w:p>
    <w:p w:rsidR="00000000" w:rsidRPr="00DC0739" w:rsidP="00DC0739">
      <w:pPr>
        <w:pStyle w:val="Heading1"/>
      </w:pPr>
      <w:bookmarkStart w:id="13" w:name="O_467088"/>
      <w:bookmarkEnd w:id="13"/>
      <w:r w:rsidRPr="00DC0739">
        <w:t>Custom Content Section</w:t>
      </w:r>
    </w:p>
    <w:p w:rsidR="00000000" w:rsidRPr="00DC0739" w:rsidP="00DC0739">
      <w:pPr>
        <w:pStyle w:val="BodyText"/>
      </w:pPr>
      <w:r w:rsidRPr="00DC0739">
        <w:t>Not applicable.</w:t>
      </w:r>
    </w:p>
    <w:p w:rsidR="00000000" w:rsidRPr="00DC0739" w:rsidP="00DC0739"/>
    <w:sectPr w:rsidSect="00DC073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073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450FC" w:rsidP="004450F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073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50FC" w:rsidP="00DC073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4450FC" w:rsidP="00DC073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4450FC" w:rsidP="00DC073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073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450FC" w:rsidP="004450F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073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50FC" w:rsidP="00DC0739">
    <w:pPr>
      <w:pStyle w:val="Header"/>
      <w:framePr w:wrap="around"/>
    </w:pPr>
    <w:r>
      <w:fldChar w:fldCharType="begin"/>
    </w:r>
    <w:r>
      <w:instrText xml:space="preserve"> TITLE   \* MERGEFORMAT </w:instrText>
    </w:r>
    <w:r>
      <w:fldChar w:fldCharType="separate"/>
    </w:r>
    <w:r>
      <w:t>MSS403051A Mistake proof an operational process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4450FC" w:rsidP="00DC073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6D0282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B86B3C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74011B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C073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C0739"/>
    <w:pPr>
      <w:spacing w:before="360" w:after="60"/>
      <w:outlineLvl w:val="0"/>
    </w:pPr>
    <w:rPr>
      <w:sz w:val="32"/>
    </w:rPr>
  </w:style>
  <w:style w:type="paragraph" w:styleId="Heading2">
    <w:name w:val="heading 2"/>
    <w:basedOn w:val="HeadingBase"/>
    <w:next w:val="BodyText"/>
    <w:link w:val="Heading2Char"/>
    <w:qFormat/>
    <w:rsid w:val="00DC0739"/>
    <w:pPr>
      <w:keepLines/>
      <w:spacing w:before="240" w:after="120"/>
      <w:outlineLvl w:val="1"/>
    </w:pPr>
    <w:rPr>
      <w:sz w:val="28"/>
      <w:szCs w:val="40"/>
    </w:rPr>
  </w:style>
  <w:style w:type="paragraph" w:styleId="Heading3">
    <w:name w:val="heading 3"/>
    <w:basedOn w:val="HeadingBase"/>
    <w:next w:val="BodyText"/>
    <w:link w:val="Heading3Char"/>
    <w:qFormat/>
    <w:rsid w:val="00DC0739"/>
    <w:pPr>
      <w:spacing w:before="180" w:after="120"/>
      <w:outlineLvl w:val="2"/>
    </w:pPr>
    <w:rPr>
      <w:spacing w:val="-10"/>
      <w:kern w:val="32"/>
    </w:rPr>
  </w:style>
  <w:style w:type="paragraph" w:styleId="Heading4">
    <w:name w:val="heading 4"/>
    <w:basedOn w:val="HeadingBase"/>
    <w:next w:val="BodyText"/>
    <w:link w:val="Heading4Char"/>
    <w:qFormat/>
    <w:rsid w:val="00DC0739"/>
    <w:pPr>
      <w:spacing w:before="160" w:after="120"/>
      <w:outlineLvl w:val="3"/>
    </w:pPr>
    <w:rPr>
      <w:sz w:val="22"/>
    </w:rPr>
  </w:style>
  <w:style w:type="paragraph" w:styleId="Heading5">
    <w:name w:val="heading 5"/>
    <w:basedOn w:val="HeadingBase"/>
    <w:next w:val="Normal"/>
    <w:link w:val="Heading5Char"/>
    <w:qFormat/>
    <w:rsid w:val="00DC0739"/>
    <w:pPr>
      <w:spacing w:before="80"/>
      <w:outlineLvl w:val="4"/>
    </w:pPr>
    <w:rPr>
      <w:color w:val="918585"/>
      <w:sz w:val="20"/>
    </w:rPr>
  </w:style>
  <w:style w:type="paragraph" w:styleId="Heading6">
    <w:name w:val="heading 6"/>
    <w:basedOn w:val="HeadingBase"/>
    <w:next w:val="Normal"/>
    <w:link w:val="Heading6Char"/>
    <w:qFormat/>
    <w:rsid w:val="00DC0739"/>
    <w:pPr>
      <w:spacing w:before="60"/>
      <w:outlineLvl w:val="5"/>
    </w:pPr>
    <w:rPr>
      <w:color w:val="918585"/>
      <w:sz w:val="20"/>
    </w:rPr>
  </w:style>
  <w:style w:type="paragraph" w:styleId="Heading7">
    <w:name w:val="heading 7"/>
    <w:basedOn w:val="Normal"/>
    <w:next w:val="Normal"/>
    <w:link w:val="Heading7Char"/>
    <w:qFormat/>
    <w:rsid w:val="00DC0739"/>
    <w:pPr>
      <w:ind w:left="720"/>
      <w:outlineLvl w:val="6"/>
    </w:pPr>
    <w:rPr>
      <w:i/>
    </w:rPr>
  </w:style>
  <w:style w:type="paragraph" w:styleId="Heading8">
    <w:name w:val="heading 8"/>
    <w:basedOn w:val="Normal"/>
    <w:next w:val="Normal"/>
    <w:link w:val="Heading8Char"/>
    <w:qFormat/>
    <w:rsid w:val="00DC0739"/>
    <w:pPr>
      <w:ind w:left="720"/>
      <w:outlineLvl w:val="7"/>
    </w:pPr>
    <w:rPr>
      <w:i/>
    </w:rPr>
  </w:style>
  <w:style w:type="paragraph" w:styleId="Heading9">
    <w:name w:val="heading 9"/>
    <w:basedOn w:val="Normal"/>
    <w:next w:val="Normal"/>
    <w:link w:val="Heading9Char"/>
    <w:qFormat/>
    <w:rsid w:val="00DC0739"/>
    <w:pPr>
      <w:ind w:left="720"/>
      <w:outlineLvl w:val="8"/>
    </w:pPr>
    <w:rPr>
      <w:i/>
    </w:rPr>
  </w:style>
  <w:style w:type="character" w:default="1" w:styleId="DefaultParagraphFont">
    <w:name w:val="Default Paragraph Font"/>
    <w:uiPriority w:val="1"/>
    <w:unhideWhenUsed/>
    <w:rsid w:val="00DC073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C0739"/>
  </w:style>
  <w:style w:type="character" w:customStyle="1" w:styleId="Heading1Char">
    <w:name w:val="Heading 1 Char"/>
    <w:basedOn w:val="DefaultParagraphFont"/>
    <w:link w:val="Heading1"/>
    <w:rsid w:val="00DC0739"/>
    <w:rPr>
      <w:rFonts w:ascii="Times New Roman" w:eastAsia="Times New Roman" w:hAnsi="Times New Roman" w:cs="Times New Roman"/>
      <w:b/>
      <w:sz w:val="32"/>
      <w:szCs w:val="20"/>
      <w:lang w:eastAsia="en-US"/>
    </w:rPr>
  </w:style>
  <w:style w:type="paragraph" w:styleId="BodyText">
    <w:name w:val="Body Text"/>
    <w:basedOn w:val="Normal"/>
    <w:link w:val="BodyTextChar"/>
    <w:rsid w:val="00DC073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C0739"/>
    <w:rPr>
      <w:rFonts w:ascii="Times New Roman" w:eastAsia="Times New Roman" w:hAnsi="Times New Roman" w:cs="Times New Roman"/>
      <w:sz w:val="24"/>
      <w:lang w:val="en-US" w:eastAsia="en-US"/>
    </w:rPr>
  </w:style>
  <w:style w:type="paragraph" w:styleId="Footer">
    <w:name w:val="footer"/>
    <w:basedOn w:val="Normal"/>
    <w:link w:val="FooterChar"/>
    <w:rsid w:val="00DC073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C0739"/>
    <w:rPr>
      <w:rFonts w:ascii="Times New Roman" w:eastAsia="Times New Roman" w:hAnsi="Times New Roman" w:cs="Times New Roman"/>
      <w:sz w:val="16"/>
      <w:lang w:val="en-US" w:eastAsia="en-US"/>
    </w:rPr>
  </w:style>
  <w:style w:type="paragraph" w:styleId="ListBullet">
    <w:name w:val="List Bullet"/>
    <w:basedOn w:val="List"/>
    <w:rsid w:val="00DC0739"/>
    <w:pPr>
      <w:numPr>
        <w:numId w:val="13"/>
      </w:numPr>
      <w:tabs>
        <w:tab w:val="clear" w:pos="340"/>
      </w:tabs>
      <w:spacing w:before="40" w:after="40"/>
    </w:pPr>
  </w:style>
  <w:style w:type="character" w:customStyle="1" w:styleId="SpecialBold">
    <w:name w:val="Special Bold"/>
    <w:basedOn w:val="DefaultParagraphFont"/>
    <w:rsid w:val="00DC0739"/>
    <w:rPr>
      <w:b/>
      <w:spacing w:val="0"/>
    </w:rPr>
  </w:style>
  <w:style w:type="paragraph" w:styleId="ListBullet2">
    <w:name w:val="List Bullet 2"/>
    <w:basedOn w:val="List2"/>
    <w:rsid w:val="00DC0739"/>
    <w:pPr>
      <w:numPr>
        <w:numId w:val="14"/>
      </w:numPr>
      <w:tabs>
        <w:tab w:val="clear" w:pos="680"/>
      </w:tabs>
    </w:pPr>
  </w:style>
  <w:style w:type="paragraph" w:styleId="Header">
    <w:name w:val="header"/>
    <w:basedOn w:val="Normal"/>
    <w:link w:val="HeaderChar"/>
    <w:rsid w:val="00DC073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C073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C0739"/>
    <w:pPr>
      <w:spacing w:before="240" w:after="120"/>
      <w:outlineLvl w:val="0"/>
    </w:pPr>
    <w:rPr>
      <w:rFonts w:ascii="Times New Roman" w:hAnsi="Times New Roman"/>
      <w:b/>
      <w:sz w:val="28"/>
    </w:rPr>
  </w:style>
  <w:style w:type="paragraph" w:customStyle="1" w:styleId="AllowPageBreak">
    <w:name w:val="AllowPageBreak"/>
    <w:rsid w:val="00DC073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C073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C073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C073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C073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C073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C073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C073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C0739"/>
    <w:rPr>
      <w:rFonts w:ascii="Courier New" w:eastAsia="Times New Roman" w:hAnsi="Courier New" w:cs="Times New Roman"/>
      <w:i/>
      <w:szCs w:val="20"/>
      <w:lang w:val="en-US" w:eastAsia="en-US"/>
    </w:rPr>
  </w:style>
  <w:style w:type="paragraph" w:customStyle="1" w:styleId="HeadingBase">
    <w:name w:val="Heading Base"/>
    <w:rsid w:val="00DC073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C0739"/>
    <w:pPr>
      <w:tabs>
        <w:tab w:val="right" w:leader="dot" w:pos="9072"/>
      </w:tabs>
      <w:ind w:left="567"/>
    </w:pPr>
    <w:rPr>
      <w:szCs w:val="22"/>
    </w:rPr>
  </w:style>
  <w:style w:type="paragraph" w:customStyle="1" w:styleId="TOCBase">
    <w:name w:val="TOC Base"/>
    <w:rsid w:val="00DC073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C0739"/>
    <w:pPr>
      <w:tabs>
        <w:tab w:val="right" w:leader="dot" w:pos="9072"/>
      </w:tabs>
      <w:spacing w:before="40" w:after="40"/>
      <w:ind w:left="284"/>
    </w:pPr>
    <w:rPr>
      <w:rFonts w:ascii="Times New Roman" w:hAnsi="Times New Roman"/>
    </w:rPr>
  </w:style>
  <w:style w:type="paragraph" w:styleId="TOC1">
    <w:name w:val="toc 1"/>
    <w:basedOn w:val="TOCBase"/>
    <w:next w:val="Normal"/>
    <w:rsid w:val="00DC073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C0739"/>
    <w:pPr>
      <w:spacing w:before="5040"/>
      <w:jc w:val="center"/>
    </w:pPr>
    <w:rPr>
      <w:sz w:val="48"/>
      <w:szCs w:val="72"/>
      <w:lang w:val="en-US"/>
    </w:rPr>
  </w:style>
  <w:style w:type="character" w:customStyle="1" w:styleId="TitleChar">
    <w:name w:val="Title Char"/>
    <w:basedOn w:val="DefaultParagraphFont"/>
    <w:link w:val="Title"/>
    <w:rsid w:val="00DC073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C0739"/>
    <w:pPr>
      <w:tabs>
        <w:tab w:val="left" w:pos="3600"/>
        <w:tab w:val="left" w:pos="3958"/>
      </w:tabs>
    </w:pPr>
  </w:style>
  <w:style w:type="paragraph" w:styleId="List">
    <w:name w:val="List"/>
    <w:basedOn w:val="BodyText"/>
    <w:next w:val="BodyText"/>
    <w:rsid w:val="00DC0739"/>
    <w:pPr>
      <w:tabs>
        <w:tab w:val="left" w:pos="340"/>
      </w:tabs>
      <w:spacing w:before="60" w:after="60"/>
      <w:ind w:left="340" w:hanging="340"/>
    </w:pPr>
  </w:style>
  <w:style w:type="paragraph" w:customStyle="1" w:styleId="Note">
    <w:name w:val="Note"/>
    <w:basedOn w:val="BodyText"/>
    <w:rsid w:val="00DC073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C0739"/>
    <w:pPr>
      <w:framePr w:wrap="auto" w:hAnchor="text" w:y="6049"/>
    </w:pPr>
    <w:rPr>
      <w:color w:val="000000"/>
      <w:sz w:val="40"/>
    </w:rPr>
  </w:style>
  <w:style w:type="paragraph" w:customStyle="1" w:styleId="TOCTitle">
    <w:name w:val="TOCTitle"/>
    <w:basedOn w:val="Heading1"/>
    <w:rsid w:val="00DC0739"/>
    <w:pPr>
      <w:spacing w:after="240"/>
      <w:jc w:val="center"/>
      <w:outlineLvl w:val="9"/>
    </w:pPr>
    <w:rPr>
      <w:caps/>
    </w:rPr>
  </w:style>
  <w:style w:type="paragraph" w:customStyle="1" w:styleId="Version">
    <w:name w:val="Version"/>
    <w:rsid w:val="00DC073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C0739"/>
    <w:pPr>
      <w:keepNext w:val="0"/>
      <w:tabs>
        <w:tab w:val="right" w:pos="4176"/>
      </w:tabs>
      <w:ind w:left="198" w:hanging="198"/>
    </w:pPr>
    <w:rPr>
      <w:rFonts w:ascii="Garamond" w:hAnsi="Garamond"/>
    </w:rPr>
  </w:style>
  <w:style w:type="paragraph" w:styleId="IndexHeading">
    <w:name w:val="index heading"/>
    <w:basedOn w:val="Normal"/>
    <w:next w:val="Index1"/>
    <w:semiHidden/>
    <w:rsid w:val="00DC0739"/>
    <w:pPr>
      <w:spacing w:before="120" w:after="120"/>
    </w:pPr>
    <w:rPr>
      <w:rFonts w:ascii="Arial" w:hAnsi="Arial"/>
      <w:b/>
      <w:color w:val="918585"/>
      <w:sz w:val="24"/>
    </w:rPr>
  </w:style>
  <w:style w:type="paragraph" w:customStyle="1" w:styleId="Chapter">
    <w:name w:val="Chapter"/>
    <w:basedOn w:val="Normal"/>
    <w:rsid w:val="00DC0739"/>
    <w:pPr>
      <w:spacing w:before="240"/>
    </w:pPr>
    <w:rPr>
      <w:rFonts w:ascii="Times New Roman" w:hAnsi="Times New Roman"/>
      <w:smallCaps/>
      <w:spacing w:val="80"/>
      <w:sz w:val="28"/>
    </w:rPr>
  </w:style>
  <w:style w:type="paragraph" w:customStyle="1" w:styleId="InChapter">
    <w:name w:val="InChapter"/>
    <w:basedOn w:val="Heading3"/>
    <w:rsid w:val="00DC0739"/>
    <w:pPr>
      <w:spacing w:after="240"/>
      <w:outlineLvl w:val="9"/>
    </w:pPr>
    <w:rPr>
      <w:noProof/>
    </w:rPr>
  </w:style>
  <w:style w:type="paragraph" w:styleId="Index2">
    <w:name w:val="index 2"/>
    <w:basedOn w:val="Normal"/>
    <w:next w:val="Normal"/>
    <w:semiHidden/>
    <w:rsid w:val="00DC0739"/>
    <w:pPr>
      <w:tabs>
        <w:tab w:val="right" w:pos="4176"/>
      </w:tabs>
      <w:ind w:left="568" w:hanging="284"/>
    </w:pPr>
    <w:rPr>
      <w:rFonts w:ascii="Garamond" w:hAnsi="Garamond"/>
    </w:rPr>
  </w:style>
  <w:style w:type="paragraph" w:customStyle="1" w:styleId="Byline">
    <w:name w:val="Byline"/>
    <w:rsid w:val="00DC073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C0739"/>
    <w:pPr>
      <w:tabs>
        <w:tab w:val="clear" w:pos="3600"/>
        <w:tab w:val="clear" w:pos="3958"/>
      </w:tabs>
      <w:jc w:val="right"/>
    </w:pPr>
  </w:style>
  <w:style w:type="character" w:styleId="Emphasis">
    <w:name w:val="Emphasis"/>
    <w:basedOn w:val="DefaultParagraphFont"/>
    <w:qFormat/>
    <w:rsid w:val="00DC0739"/>
    <w:rPr>
      <w:i/>
    </w:rPr>
  </w:style>
  <w:style w:type="paragraph" w:styleId="Caption">
    <w:name w:val="caption"/>
    <w:basedOn w:val="BodyText"/>
    <w:next w:val="Normal"/>
    <w:qFormat/>
    <w:rsid w:val="00DC0739"/>
    <w:pPr>
      <w:framePr w:w="2268" w:hSpace="181" w:vSpace="181" w:wrap="around" w:vAnchor="text" w:hAnchor="page" w:x="1135" w:y="285" w:anchorLock="1"/>
    </w:pPr>
    <w:rPr>
      <w:i/>
    </w:rPr>
  </w:style>
  <w:style w:type="paragraph" w:customStyle="1" w:styleId="MiniTOCTitle">
    <w:name w:val="MiniTOCTitle"/>
    <w:basedOn w:val="Heading4"/>
    <w:rsid w:val="00DC0739"/>
    <w:pPr>
      <w:spacing w:before="240"/>
      <w:outlineLvl w:val="9"/>
    </w:pPr>
    <w:rPr>
      <w:noProof/>
      <w:sz w:val="24"/>
    </w:rPr>
  </w:style>
  <w:style w:type="paragraph" w:customStyle="1" w:styleId="MiniTOCItem">
    <w:name w:val="MiniTOCItem"/>
    <w:basedOn w:val="ListBullet"/>
    <w:rsid w:val="00DC0739"/>
    <w:pPr>
      <w:numPr>
        <w:numId w:val="0"/>
      </w:numPr>
      <w:tabs>
        <w:tab w:val="right" w:leader="dot" w:pos="6521"/>
      </w:tabs>
      <w:spacing w:before="0" w:after="0"/>
    </w:pPr>
  </w:style>
  <w:style w:type="paragraph" w:customStyle="1" w:styleId="TOFTitle">
    <w:name w:val="TOFTitle"/>
    <w:basedOn w:val="TOCTitle"/>
    <w:rsid w:val="00DC0739"/>
  </w:style>
  <w:style w:type="paragraph" w:styleId="TableofFigures">
    <w:name w:val="table of figures"/>
    <w:basedOn w:val="Normal"/>
    <w:next w:val="Normal"/>
    <w:semiHidden/>
    <w:rsid w:val="00DC0739"/>
    <w:pPr>
      <w:tabs>
        <w:tab w:val="right" w:leader="dot" w:pos="9072"/>
      </w:tabs>
      <w:ind w:left="970" w:hanging="403"/>
    </w:pPr>
    <w:rPr>
      <w:rFonts w:ascii="Times New Roman" w:hAnsi="Times New Roman"/>
      <w:b/>
    </w:rPr>
  </w:style>
  <w:style w:type="paragraph" w:styleId="ListNumber">
    <w:name w:val="List Number"/>
    <w:basedOn w:val="List"/>
    <w:rsid w:val="00DC0739"/>
    <w:pPr>
      <w:numPr>
        <w:numId w:val="11"/>
      </w:numPr>
    </w:pPr>
  </w:style>
  <w:style w:type="character" w:customStyle="1" w:styleId="WingdingSymbols">
    <w:name w:val="Wingding Symbols"/>
    <w:rsid w:val="00DC0739"/>
    <w:rPr>
      <w:rFonts w:ascii="Wingdings" w:hAnsi="Wingdings"/>
    </w:rPr>
  </w:style>
  <w:style w:type="paragraph" w:customStyle="1" w:styleId="TableHeading">
    <w:name w:val="Table Heading"/>
    <w:basedOn w:val="HeadingBase"/>
    <w:rsid w:val="00DC0739"/>
    <w:pPr>
      <w:keepLines/>
      <w:pBdr>
        <w:bottom w:val="single" w:sz="6" w:space="1" w:color="918585"/>
      </w:pBdr>
      <w:spacing w:before="240"/>
    </w:pPr>
  </w:style>
  <w:style w:type="character" w:customStyle="1" w:styleId="HotSpot">
    <w:name w:val="HotSpot"/>
    <w:rsid w:val="00DC0739"/>
    <w:rPr>
      <w:color w:val="0033CC"/>
      <w:u w:val="none"/>
    </w:rPr>
  </w:style>
  <w:style w:type="paragraph" w:customStyle="1" w:styleId="BodyTextRight">
    <w:name w:val="Body Text Right"/>
    <w:basedOn w:val="BodyText"/>
    <w:rsid w:val="00DC0739"/>
    <w:pPr>
      <w:spacing w:before="0" w:after="0"/>
      <w:jc w:val="right"/>
    </w:pPr>
  </w:style>
  <w:style w:type="paragraph" w:styleId="Index3">
    <w:name w:val="index 3"/>
    <w:basedOn w:val="ListNumber2"/>
    <w:next w:val="Normal"/>
    <w:semiHidden/>
    <w:rsid w:val="00DC0739"/>
    <w:pPr>
      <w:numPr>
        <w:numId w:val="0"/>
      </w:numPr>
      <w:tabs>
        <w:tab w:val="right" w:leader="dot" w:pos="4176"/>
      </w:tabs>
    </w:pPr>
  </w:style>
  <w:style w:type="paragraph" w:styleId="ListNumber2">
    <w:name w:val="List Number 2"/>
    <w:basedOn w:val="List2"/>
    <w:rsid w:val="00DC0739"/>
    <w:pPr>
      <w:numPr>
        <w:numId w:val="10"/>
      </w:numPr>
      <w:tabs>
        <w:tab w:val="clear" w:pos="1060"/>
      </w:tabs>
    </w:pPr>
  </w:style>
  <w:style w:type="paragraph" w:customStyle="1" w:styleId="MarginNote">
    <w:name w:val="Margin Note"/>
    <w:basedOn w:val="BodyText"/>
    <w:rsid w:val="00DC073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C073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C073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C0739"/>
    <w:rPr>
      <w:sz w:val="32"/>
    </w:rPr>
  </w:style>
  <w:style w:type="paragraph" w:customStyle="1" w:styleId="HeadingProcedure">
    <w:name w:val="Heading Procedure"/>
    <w:basedOn w:val="HeadingBase"/>
    <w:next w:val="Normal"/>
    <w:rsid w:val="00DC0739"/>
    <w:pPr>
      <w:tabs>
        <w:tab w:val="left" w:pos="0"/>
      </w:tabs>
      <w:spacing w:before="120" w:after="60"/>
    </w:pPr>
    <w:rPr>
      <w:i/>
      <w:color w:val="918585"/>
      <w:sz w:val="22"/>
    </w:rPr>
  </w:style>
  <w:style w:type="paragraph" w:customStyle="1" w:styleId="TableBodyText">
    <w:name w:val="Table Body Text"/>
    <w:basedOn w:val="BodyText"/>
    <w:rsid w:val="00DC0739"/>
    <w:pPr>
      <w:spacing w:before="60" w:after="60"/>
    </w:pPr>
  </w:style>
  <w:style w:type="paragraph" w:styleId="ListContinue">
    <w:name w:val="List Continue"/>
    <w:basedOn w:val="List"/>
    <w:rsid w:val="00DC0739"/>
    <w:pPr>
      <w:ind w:firstLine="0"/>
    </w:pPr>
  </w:style>
  <w:style w:type="paragraph" w:customStyle="1" w:styleId="ListNote">
    <w:name w:val="List Note"/>
    <w:basedOn w:val="List"/>
    <w:rsid w:val="00DC0739"/>
    <w:pPr>
      <w:pBdr>
        <w:top w:val="single" w:sz="6" w:space="2" w:color="918585"/>
        <w:bottom w:val="single" w:sz="6" w:space="2" w:color="918585"/>
      </w:pBdr>
      <w:tabs>
        <w:tab w:val="left" w:pos="1021"/>
      </w:tabs>
      <w:ind w:firstLine="0"/>
    </w:pPr>
  </w:style>
  <w:style w:type="paragraph" w:customStyle="1" w:styleId="Warning">
    <w:name w:val="Warning"/>
    <w:basedOn w:val="BodyText"/>
    <w:rsid w:val="00DC0739"/>
    <w:pPr>
      <w:shd w:val="clear" w:color="auto" w:fill="D9D9D9"/>
      <w:tabs>
        <w:tab w:val="left" w:pos="992"/>
      </w:tabs>
      <w:ind w:left="119" w:right="119"/>
    </w:pPr>
    <w:rPr>
      <w:sz w:val="20"/>
    </w:rPr>
  </w:style>
  <w:style w:type="paragraph" w:customStyle="1" w:styleId="MarginIcons">
    <w:name w:val="Margin Icons"/>
    <w:basedOn w:val="BodyText"/>
    <w:rsid w:val="00DC073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C0739"/>
    <w:rPr>
      <w:rFonts w:ascii="Courier New" w:hAnsi="Courier New"/>
    </w:rPr>
  </w:style>
  <w:style w:type="paragraph" w:customStyle="1" w:styleId="NoteBullet">
    <w:name w:val="Note Bullet"/>
    <w:basedOn w:val="Note"/>
    <w:rsid w:val="00DC0739"/>
    <w:pPr>
      <w:tabs>
        <w:tab w:val="clear" w:pos="680"/>
      </w:tabs>
      <w:spacing w:before="60" w:after="60"/>
    </w:pPr>
  </w:style>
  <w:style w:type="paragraph" w:customStyle="1" w:styleId="SubHeading2">
    <w:name w:val="SubHeading2"/>
    <w:basedOn w:val="HeadingBase"/>
    <w:rsid w:val="00DC0739"/>
    <w:pPr>
      <w:spacing w:before="240" w:after="60"/>
    </w:pPr>
    <w:rPr>
      <w:sz w:val="20"/>
    </w:rPr>
  </w:style>
  <w:style w:type="paragraph" w:customStyle="1" w:styleId="SubHeading1">
    <w:name w:val="SubHeading1"/>
    <w:basedOn w:val="HeadingBase"/>
    <w:rsid w:val="00DC0739"/>
    <w:pPr>
      <w:spacing w:before="240" w:after="60"/>
    </w:pPr>
    <w:rPr>
      <w:color w:val="918585"/>
      <w:sz w:val="22"/>
    </w:rPr>
  </w:style>
  <w:style w:type="paragraph" w:customStyle="1" w:styleId="SideHeading">
    <w:name w:val="Side Heading"/>
    <w:basedOn w:val="HeadingBase"/>
    <w:rsid w:val="00DC073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C0739"/>
    <w:pPr>
      <w:numPr>
        <w:numId w:val="12"/>
      </w:numPr>
    </w:pPr>
  </w:style>
  <w:style w:type="paragraph" w:styleId="PlainText">
    <w:name w:val="Plain Text"/>
    <w:basedOn w:val="Normal"/>
    <w:link w:val="PlainTextChar"/>
    <w:rsid w:val="00DC0739"/>
    <w:rPr>
      <w:sz w:val="20"/>
    </w:rPr>
  </w:style>
  <w:style w:type="character" w:customStyle="1" w:styleId="PlainTextChar">
    <w:name w:val="Plain Text Char"/>
    <w:basedOn w:val="DefaultParagraphFont"/>
    <w:link w:val="PlainText"/>
    <w:rsid w:val="00DC073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C0739"/>
    <w:rPr>
      <w:b/>
      <w:smallCaps/>
    </w:rPr>
  </w:style>
  <w:style w:type="paragraph" w:customStyle="1" w:styleId="TableListNumber">
    <w:name w:val="Table List Number"/>
    <w:basedOn w:val="ListNumber"/>
    <w:rsid w:val="00DC0739"/>
    <w:pPr>
      <w:numPr>
        <w:numId w:val="0"/>
      </w:numPr>
    </w:pPr>
  </w:style>
  <w:style w:type="paragraph" w:styleId="TOC4">
    <w:name w:val="toc 4"/>
    <w:basedOn w:val="TOCBase"/>
    <w:next w:val="Normal"/>
    <w:semiHidden/>
    <w:rsid w:val="00DC0739"/>
    <w:pPr>
      <w:tabs>
        <w:tab w:val="right" w:leader="dot" w:pos="9071"/>
      </w:tabs>
      <w:ind w:left="1701"/>
    </w:pPr>
  </w:style>
  <w:style w:type="paragraph" w:customStyle="1" w:styleId="ListAlpha">
    <w:name w:val="List Alpha"/>
    <w:basedOn w:val="List"/>
    <w:rsid w:val="00DC0739"/>
    <w:pPr>
      <w:numPr>
        <w:numId w:val="9"/>
      </w:numPr>
    </w:pPr>
  </w:style>
  <w:style w:type="paragraph" w:customStyle="1" w:styleId="ListAlpha2">
    <w:name w:val="List Alpha 2"/>
    <w:basedOn w:val="List2"/>
    <w:rsid w:val="00DC0739"/>
    <w:pPr>
      <w:numPr>
        <w:numId w:val="8"/>
      </w:numPr>
    </w:pPr>
  </w:style>
  <w:style w:type="paragraph" w:styleId="List2">
    <w:name w:val="List 2"/>
    <w:basedOn w:val="BodyText"/>
    <w:rsid w:val="00DC0739"/>
    <w:pPr>
      <w:tabs>
        <w:tab w:val="left" w:pos="680"/>
      </w:tabs>
      <w:spacing w:before="60" w:after="60"/>
      <w:ind w:left="680" w:hanging="340"/>
    </w:pPr>
  </w:style>
  <w:style w:type="paragraph" w:styleId="List3">
    <w:name w:val="List 3"/>
    <w:basedOn w:val="BodyText"/>
    <w:rsid w:val="00DC0739"/>
    <w:pPr>
      <w:tabs>
        <w:tab w:val="left" w:pos="1021"/>
      </w:tabs>
      <w:spacing w:before="60" w:after="60"/>
      <w:ind w:left="1020" w:hanging="340"/>
    </w:pPr>
  </w:style>
  <w:style w:type="paragraph" w:styleId="List4">
    <w:name w:val="List 4"/>
    <w:basedOn w:val="BodyText"/>
    <w:rsid w:val="00DC0739"/>
    <w:pPr>
      <w:tabs>
        <w:tab w:val="left" w:pos="1361"/>
      </w:tabs>
      <w:spacing w:before="60" w:after="60"/>
      <w:ind w:left="1361" w:hanging="340"/>
    </w:pPr>
  </w:style>
  <w:style w:type="paragraph" w:styleId="List5">
    <w:name w:val="List 5"/>
    <w:basedOn w:val="BodyText"/>
    <w:rsid w:val="00DC0739"/>
    <w:pPr>
      <w:tabs>
        <w:tab w:val="left" w:pos="1701"/>
      </w:tabs>
      <w:spacing w:before="60" w:after="60"/>
      <w:ind w:left="1701" w:hanging="340"/>
    </w:pPr>
  </w:style>
  <w:style w:type="paragraph" w:styleId="ListBullet3">
    <w:name w:val="List Bullet 3"/>
    <w:basedOn w:val="List3"/>
    <w:rsid w:val="00DC0739"/>
    <w:pPr>
      <w:numPr>
        <w:numId w:val="15"/>
      </w:numPr>
      <w:tabs>
        <w:tab w:val="clear" w:pos="1021"/>
      </w:tabs>
      <w:ind w:left="1037" w:hanging="357"/>
    </w:pPr>
  </w:style>
  <w:style w:type="paragraph" w:styleId="ListBullet4">
    <w:name w:val="List Bullet 4"/>
    <w:basedOn w:val="List4"/>
    <w:rsid w:val="00DC0739"/>
    <w:pPr>
      <w:numPr>
        <w:numId w:val="3"/>
      </w:numPr>
    </w:pPr>
  </w:style>
  <w:style w:type="paragraph" w:styleId="ListBullet5">
    <w:name w:val="List Bullet 5"/>
    <w:basedOn w:val="List5"/>
    <w:rsid w:val="00DC0739"/>
    <w:pPr>
      <w:numPr>
        <w:numId w:val="4"/>
      </w:numPr>
    </w:pPr>
  </w:style>
  <w:style w:type="paragraph" w:styleId="ListContinue2">
    <w:name w:val="List Continue 2"/>
    <w:basedOn w:val="List2"/>
    <w:rsid w:val="00DC0739"/>
    <w:pPr>
      <w:ind w:firstLine="0"/>
    </w:pPr>
  </w:style>
  <w:style w:type="paragraph" w:styleId="ListContinue3">
    <w:name w:val="List Continue 3"/>
    <w:basedOn w:val="List3"/>
    <w:rsid w:val="00DC0739"/>
    <w:pPr>
      <w:ind w:left="1021" w:firstLine="0"/>
    </w:pPr>
  </w:style>
  <w:style w:type="paragraph" w:styleId="ListContinue4">
    <w:name w:val="List Continue 4"/>
    <w:basedOn w:val="List4"/>
    <w:rsid w:val="00DC0739"/>
    <w:pPr>
      <w:ind w:firstLine="0"/>
    </w:pPr>
  </w:style>
  <w:style w:type="paragraph" w:styleId="ListContinue5">
    <w:name w:val="List Continue 5"/>
    <w:basedOn w:val="List5"/>
    <w:rsid w:val="00DC0739"/>
    <w:pPr>
      <w:ind w:firstLine="0"/>
    </w:pPr>
  </w:style>
  <w:style w:type="paragraph" w:styleId="ListNumber3">
    <w:name w:val="List Number 3"/>
    <w:basedOn w:val="List3"/>
    <w:rsid w:val="00DC0739"/>
    <w:pPr>
      <w:numPr>
        <w:numId w:val="5"/>
      </w:numPr>
    </w:pPr>
  </w:style>
  <w:style w:type="paragraph" w:styleId="ListNumber4">
    <w:name w:val="List Number 4"/>
    <w:basedOn w:val="List4"/>
    <w:rsid w:val="00DC0739"/>
    <w:pPr>
      <w:numPr>
        <w:numId w:val="6"/>
      </w:numPr>
    </w:pPr>
  </w:style>
  <w:style w:type="paragraph" w:styleId="ListNumber5">
    <w:name w:val="List Number 5"/>
    <w:basedOn w:val="List5"/>
    <w:rsid w:val="00DC0739"/>
    <w:pPr>
      <w:numPr>
        <w:numId w:val="7"/>
      </w:numPr>
    </w:pPr>
  </w:style>
  <w:style w:type="paragraph" w:styleId="BlockText">
    <w:name w:val="Block Text"/>
    <w:basedOn w:val="Normal"/>
    <w:rsid w:val="00DC0739"/>
    <w:pPr>
      <w:spacing w:after="120"/>
      <w:ind w:left="1440" w:right="1440"/>
    </w:pPr>
  </w:style>
  <w:style w:type="character" w:customStyle="1" w:styleId="Subscript">
    <w:name w:val="Subscript"/>
    <w:basedOn w:val="DefaultParagraphFont"/>
    <w:rsid w:val="00DC0739"/>
    <w:rPr>
      <w:sz w:val="16"/>
      <w:vertAlign w:val="subscript"/>
    </w:rPr>
  </w:style>
  <w:style w:type="character" w:customStyle="1" w:styleId="Superscript">
    <w:name w:val="Superscript"/>
    <w:basedOn w:val="DefaultParagraphFont"/>
    <w:rsid w:val="00DC0739"/>
    <w:rPr>
      <w:sz w:val="16"/>
      <w:vertAlign w:val="superscript"/>
    </w:rPr>
  </w:style>
  <w:style w:type="character" w:customStyle="1" w:styleId="Symbols">
    <w:name w:val="Symbols"/>
    <w:basedOn w:val="DefaultParagraphFont"/>
    <w:rsid w:val="00DC0739"/>
    <w:rPr>
      <w:rFonts w:ascii="Symbol" w:hAnsi="Symbol"/>
    </w:rPr>
  </w:style>
  <w:style w:type="character" w:customStyle="1" w:styleId="MenuOptions">
    <w:name w:val="Menu Options"/>
    <w:basedOn w:val="DefaultParagraphFont"/>
    <w:rsid w:val="00DC0739"/>
    <w:rPr>
      <w:rFonts w:ascii="Arial Narrow" w:hAnsi="Arial Narrow"/>
      <w:smallCaps/>
    </w:rPr>
  </w:style>
  <w:style w:type="character" w:customStyle="1" w:styleId="Buttons">
    <w:name w:val="Buttons"/>
    <w:basedOn w:val="DefaultParagraphFont"/>
    <w:rsid w:val="00DC0739"/>
    <w:rPr>
      <w:b/>
    </w:rPr>
  </w:style>
  <w:style w:type="character" w:customStyle="1" w:styleId="Underlined">
    <w:name w:val="Underlined"/>
    <w:basedOn w:val="DefaultParagraphFont"/>
    <w:rsid w:val="00DC0739"/>
    <w:rPr>
      <w:u w:val="single"/>
    </w:rPr>
  </w:style>
  <w:style w:type="paragraph" w:customStyle="1" w:styleId="TableBodyTextRight">
    <w:name w:val="Table Body Text Right"/>
    <w:basedOn w:val="TableBodyText"/>
    <w:rsid w:val="00DC0739"/>
    <w:pPr>
      <w:widowControl w:val="0"/>
      <w:autoSpaceDE w:val="0"/>
      <w:autoSpaceDN w:val="0"/>
      <w:adjustRightInd w:val="0"/>
      <w:jc w:val="right"/>
    </w:pPr>
    <w:rPr>
      <w:rFonts w:cs="Arial"/>
      <w:szCs w:val="18"/>
    </w:rPr>
  </w:style>
  <w:style w:type="paragraph" w:customStyle="1" w:styleId="CopyrightText">
    <w:name w:val="Copyright Text"/>
    <w:basedOn w:val="BodyText"/>
    <w:rsid w:val="00DC0739"/>
    <w:rPr>
      <w:sz w:val="18"/>
    </w:rPr>
  </w:style>
  <w:style w:type="paragraph" w:customStyle="1" w:styleId="BodySmallRight">
    <w:name w:val="Body Small Right"/>
    <w:basedOn w:val="BodyTextRight"/>
    <w:rsid w:val="00DC0739"/>
    <w:rPr>
      <w:sz w:val="18"/>
      <w:szCs w:val="18"/>
    </w:rPr>
  </w:style>
  <w:style w:type="paragraph" w:customStyle="1" w:styleId="MarginEdition">
    <w:name w:val="Margin Edition"/>
    <w:basedOn w:val="MarginNote"/>
    <w:rsid w:val="00DC0739"/>
    <w:pPr>
      <w:spacing w:before="0" w:after="0"/>
    </w:pPr>
    <w:rPr>
      <w:rFonts w:ascii="Times New Roman" w:hAnsi="Times New Roman"/>
      <w:color w:val="999999"/>
    </w:rPr>
  </w:style>
  <w:style w:type="paragraph" w:customStyle="1" w:styleId="Spacer">
    <w:name w:val="Spacer"/>
    <w:basedOn w:val="Normal"/>
    <w:rsid w:val="00DC0739"/>
    <w:rPr>
      <w:sz w:val="2"/>
      <w:szCs w:val="2"/>
    </w:rPr>
  </w:style>
  <w:style w:type="character" w:customStyle="1" w:styleId="Small">
    <w:name w:val="Small"/>
    <w:basedOn w:val="DefaultParagraphFont"/>
    <w:rsid w:val="00DC0739"/>
    <w:rPr>
      <w:sz w:val="16"/>
    </w:rPr>
  </w:style>
  <w:style w:type="paragraph" w:customStyle="1" w:styleId="WideTable">
    <w:name w:val="Wide Table"/>
    <w:basedOn w:val="Normal"/>
    <w:rsid w:val="00DC0739"/>
    <w:pPr>
      <w:ind w:left="-1418"/>
    </w:pPr>
    <w:rPr>
      <w:sz w:val="2"/>
      <w:szCs w:val="2"/>
    </w:rPr>
  </w:style>
  <w:style w:type="character" w:styleId="PageNumber">
    <w:name w:val="page number"/>
    <w:basedOn w:val="DefaultParagraphFont"/>
    <w:rsid w:val="00DC0739"/>
  </w:style>
  <w:style w:type="paragraph" w:styleId="Quote">
    <w:name w:val="Quote"/>
    <w:basedOn w:val="Heading1"/>
    <w:link w:val="QuoteChar"/>
    <w:qFormat/>
    <w:rsid w:val="00DC0739"/>
    <w:rPr>
      <w:b w:val="0"/>
      <w:sz w:val="72"/>
      <w:szCs w:val="72"/>
      <w:lang w:val="en-NZ"/>
    </w:rPr>
  </w:style>
  <w:style w:type="character" w:customStyle="1" w:styleId="QuoteChar">
    <w:name w:val="Quote Char"/>
    <w:basedOn w:val="DefaultParagraphFont"/>
    <w:link w:val="Quote"/>
    <w:rsid w:val="00DC073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C0739"/>
    <w:pPr>
      <w:pageBreakBefore/>
    </w:pPr>
  </w:style>
  <w:style w:type="paragraph" w:customStyle="1" w:styleId="Border">
    <w:name w:val="Border"/>
    <w:basedOn w:val="Normal"/>
    <w:qFormat/>
    <w:rsid w:val="00DC073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C0739"/>
    <w:rPr>
      <w:b/>
      <w:bCs/>
      <w:i/>
      <w:iCs/>
      <w:color w:val="auto"/>
    </w:rPr>
  </w:style>
  <w:style w:type="paragraph" w:styleId="IntenseQuote">
    <w:name w:val="Intense Quote"/>
    <w:basedOn w:val="Normal"/>
    <w:next w:val="Normal"/>
    <w:link w:val="IntenseQuoteChar"/>
    <w:uiPriority w:val="30"/>
    <w:qFormat/>
    <w:rsid w:val="00DC073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C073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C0739"/>
    <w:rPr>
      <w:smallCaps/>
      <w:color w:val="auto"/>
      <w:u w:val="single"/>
    </w:rPr>
  </w:style>
  <w:style w:type="character" w:styleId="IntenseReference">
    <w:name w:val="Intense Reference"/>
    <w:basedOn w:val="DefaultParagraphFont"/>
    <w:uiPriority w:val="32"/>
    <w:qFormat/>
    <w:rsid w:val="00DC0739"/>
    <w:rPr>
      <w:b/>
      <w:bCs/>
      <w:smallCaps/>
      <w:color w:val="auto"/>
      <w:spacing w:val="5"/>
      <w:u w:val="single"/>
    </w:rPr>
  </w:style>
  <w:style w:type="paragraph" w:customStyle="1" w:styleId="2ColumnHeading">
    <w:name w:val="2Column Heading"/>
    <w:basedOn w:val="BodyText"/>
    <w:qFormat/>
    <w:rsid w:val="00DC0739"/>
    <w:pPr>
      <w:spacing w:after="60"/>
      <w:ind w:left="-2268"/>
    </w:pPr>
    <w:rPr>
      <w:b/>
    </w:rPr>
  </w:style>
  <w:style w:type="paragraph" w:customStyle="1" w:styleId="Heading1TOC">
    <w:name w:val="Heading1 TOC"/>
    <w:basedOn w:val="Normal"/>
    <w:qFormat/>
    <w:rsid w:val="00DC0739"/>
    <w:pPr>
      <w:spacing w:before="240" w:after="120"/>
    </w:pPr>
    <w:rPr>
      <w:rFonts w:ascii="Times New Roman" w:hAnsi="Times New Roman"/>
      <w:b/>
      <w:sz w:val="32"/>
    </w:rPr>
  </w:style>
  <w:style w:type="paragraph" w:customStyle="1" w:styleId="Heading2TOC">
    <w:name w:val="Heading2 TOC"/>
    <w:basedOn w:val="Normal"/>
    <w:qFormat/>
    <w:rsid w:val="00DC0739"/>
    <w:pPr>
      <w:spacing w:before="240" w:after="60"/>
    </w:pPr>
    <w:rPr>
      <w:rFonts w:ascii="Times New Roman" w:hAnsi="Times New Roman"/>
      <w:b/>
      <w:sz w:val="28"/>
    </w:rPr>
  </w:style>
  <w:style w:type="character" w:customStyle="1" w:styleId="Underline">
    <w:name w:val="Underline"/>
    <w:basedOn w:val="DefaultParagraphFont"/>
    <w:qFormat/>
    <w:rsid w:val="00DC0739"/>
    <w:rPr>
      <w:u w:val="single"/>
    </w:rPr>
  </w:style>
  <w:style w:type="character" w:customStyle="1" w:styleId="BoldandItalics">
    <w:name w:val="Bold and Italics"/>
    <w:qFormat/>
    <w:rsid w:val="00DC0739"/>
    <w:rPr>
      <w:b/>
      <w:i/>
      <w:u w:val="none"/>
    </w:rPr>
  </w:style>
  <w:style w:type="paragraph" w:styleId="BalloonText">
    <w:name w:val="Balloon Text"/>
    <w:basedOn w:val="Normal"/>
    <w:link w:val="BalloonTextChar"/>
    <w:rsid w:val="00DC0739"/>
    <w:rPr>
      <w:rFonts w:ascii="Tahoma" w:hAnsi="Tahoma" w:cs="Tahoma"/>
      <w:sz w:val="16"/>
      <w:szCs w:val="16"/>
    </w:rPr>
  </w:style>
  <w:style w:type="character" w:customStyle="1" w:styleId="BalloonTextChar">
    <w:name w:val="Balloon Text Char"/>
    <w:basedOn w:val="DefaultParagraphFont"/>
    <w:link w:val="BalloonText"/>
    <w:rsid w:val="00DC073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C073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C073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1425</Words>
  <Characters>8735</Characters>
  <Application>Microsoft Office Word</Application>
  <DocSecurity>0</DocSecurity>
  <Lines>321</Lines>
  <Paragraphs>176</Paragraphs>
  <ScaleCrop>false</ScaleCrop>
  <Company>Author-it Software Corporation Ltd.</Company>
  <LinksUpToDate>false</LinksUpToDate>
  <CharactersWithSpaces>10071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MSS403051A Mistake proof an operational process</dc:title>
  <dc:subject>Approved</dc:subject>
  <dc:creator>Manufacturing Skills Australia</dc:creator>
  <cp:keywords>Release: 1</cp:keywords>
  <dc:description>Copyright © 1996-2007 Author-it Software Corporation Ltd., all rights reserved.</dc:description>
  <cp:lastModifiedBy>Windows User</cp:lastModifiedBy>
  <cp:revision>3</cp:revision>
  <dcterms:created xsi:type="dcterms:W3CDTF">2012-05-26T18:48:00Z</dcterms:created>
  <dcterms:modified xsi:type="dcterms:W3CDTF">2012-05-26T18:48:00Z</dcterms:modified>
</cp:coreProperties>
</file>