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5E9C" w:rsidP="00055E9C">
      <w:pPr>
        <w:pStyle w:val="Title"/>
      </w:pPr>
      <w:r>
        <w:fldChar w:fldCharType="begin"/>
      </w:r>
      <w:r>
        <w:instrText xml:space="preserve"> TITLE   \* MERGEFORMAT </w:instrText>
      </w:r>
      <w:r>
        <w:fldChar w:fldCharType="separate"/>
      </w:r>
      <w:r>
        <w:t>MSS403034A Organise products into groups</w:t>
      </w:r>
      <w:r>
        <w:fldChar w:fldCharType="end"/>
      </w:r>
    </w:p>
    <w:p w:rsidR="00055E9C" w:rsidP="00055E9C">
      <w:pPr>
        <w:pStyle w:val="Version"/>
        <w:sectPr w:rsidSect="004161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61D9" w:rsidP="004161D9">
      <w:pPr>
        <w:pStyle w:val="SuperHeading"/>
      </w:pPr>
      <w:r w:rsidRPr="004161D9">
        <w:t>MSS403034A Organise products into groups</w:t>
      </w:r>
    </w:p>
    <w:p w:rsidR="00000000" w:rsidRPr="004161D9" w:rsidP="004161D9">
      <w:pPr>
        <w:pStyle w:val="Heading1"/>
      </w:pPr>
      <w:bookmarkStart w:id="1" w:name="O_466956"/>
      <w:bookmarkEnd w:id="1"/>
      <w:r w:rsidRPr="004161D9">
        <w:t>Modification History</w:t>
      </w:r>
    </w:p>
    <w:p w:rsidR="00000000" w:rsidRPr="004161D9" w:rsidP="004161D9">
      <w:pPr>
        <w:pStyle w:val="BodyText"/>
      </w:pPr>
      <w:r w:rsidRPr="004161D9">
        <w:t>New unit</w:t>
      </w:r>
    </w:p>
    <w:p w:rsidR="00000000" w:rsidRPr="004161D9" w:rsidP="004161D9">
      <w:pPr>
        <w:pStyle w:val="AllowPageBreak"/>
      </w:pPr>
    </w:p>
    <w:p w:rsidR="00000000" w:rsidRPr="004161D9" w:rsidP="004161D9">
      <w:pPr>
        <w:pStyle w:val="Heading1"/>
      </w:pPr>
      <w:bookmarkStart w:id="2" w:name="O_466957"/>
      <w:bookmarkEnd w:id="2"/>
      <w:r w:rsidRPr="004161D9">
        <w:t>Unit Descriptor</w:t>
      </w:r>
    </w:p>
    <w:p w:rsidR="00055E9C" w:rsidP="004161D9">
      <w:pPr>
        <w:pStyle w:val="BodyText"/>
      </w:pPr>
      <w:r w:rsidRPr="004161D9">
        <w:t>This unit of competency covers the skills and knowledge required to organise products and processes into groups using techniques such a</w:t>
      </w:r>
      <w:r w:rsidRPr="004161D9">
        <w:t>s the Glenday Sieve, Pareto analysis or similar. This may be done to assist in moving to flow-based operations or to identify other strategies for improving customer benefits/features and the elimination of waste.</w:t>
      </w:r>
    </w:p>
    <w:p w:rsidR="00055E9C" w:rsidP="004161D9">
      <w:pPr>
        <w:pStyle w:val="BodyText"/>
      </w:pPr>
    </w:p>
    <w:p w:rsidR="00000000" w:rsidRPr="004161D9" w:rsidP="004161D9">
      <w:pPr>
        <w:pStyle w:val="Heading1"/>
      </w:pPr>
      <w:bookmarkStart w:id="3" w:name="O_466958"/>
      <w:bookmarkEnd w:id="3"/>
      <w:r w:rsidRPr="004161D9">
        <w:t>Application of the Unit</w:t>
      </w:r>
    </w:p>
    <w:p w:rsidR="00000000" w:rsidRPr="004161D9" w:rsidP="004161D9">
      <w:pPr>
        <w:pStyle w:val="BodyText"/>
      </w:pPr>
      <w:r w:rsidRPr="004161D9">
        <w:t>This unit applies to personnel who, as part of their work role, need to analyse an organisation’s products or processes (physical or otherwise) so as to identify the most significant groups. There are several ways in which this may be done and this unit co</w:t>
      </w:r>
      <w:r w:rsidRPr="004161D9">
        <w:t>vers all of these ways. Typically the sorting into groups is not an end in itself but simply a way of identifying groups of products to which other competitive systems and practices may be applied. It may be appropriate to co-assess this unit with other re</w:t>
      </w:r>
      <w:r w:rsidRPr="004161D9">
        <w:t xml:space="preserve">levant units, e.g. </w:t>
      </w:r>
      <w:r w:rsidRPr="004161D9">
        <w:rPr>
          <w:rStyle w:val="Emphasis"/>
        </w:rPr>
        <w:t>MSS403023A Monitor a levelled pull system of operations,</w:t>
      </w:r>
      <w:r w:rsidRPr="004161D9">
        <w:t xml:space="preserve"> or, for an office environment, </w:t>
      </w:r>
      <w:r w:rsidRPr="004161D9">
        <w:rPr>
          <w:rStyle w:val="Emphasis"/>
        </w:rPr>
        <w:t>MSS405033A Optimise office systems to deliver to customer demand.</w:t>
      </w:r>
    </w:p>
    <w:p w:rsidR="00055E9C" w:rsidP="004161D9">
      <w:pPr>
        <w:pStyle w:val="BodyText"/>
      </w:pPr>
      <w:r w:rsidRPr="004161D9">
        <w:t>The person will typically be a team leader, manager, senior operator or other perso</w:t>
      </w:r>
      <w:r w:rsidRPr="004161D9">
        <w:t>n who has a role in implementing competitive systems and practices. They will work with others in the organising of products into groups either as part of a formal team or otherwise. They will liaise and communicate with these others as required.</w:t>
      </w:r>
    </w:p>
    <w:p w:rsidR="00055E9C" w:rsidP="004161D9">
      <w:pPr>
        <w:pStyle w:val="BodyText"/>
      </w:pPr>
    </w:p>
    <w:p w:rsidR="00000000" w:rsidRPr="004161D9" w:rsidP="004161D9">
      <w:pPr>
        <w:pStyle w:val="Heading1"/>
      </w:pPr>
      <w:bookmarkStart w:id="4" w:name="O_466959"/>
      <w:bookmarkEnd w:id="4"/>
      <w:r w:rsidRPr="004161D9">
        <w:t>Licensing/Regulatory Information</w:t>
      </w:r>
    </w:p>
    <w:p w:rsidR="00000000" w:rsidRPr="004161D9" w:rsidP="004161D9">
      <w:pPr>
        <w:pStyle w:val="BodyText"/>
      </w:pPr>
      <w:r w:rsidRPr="004161D9">
        <w:t>Not applicable.</w:t>
      </w:r>
    </w:p>
    <w:p w:rsidR="00000000" w:rsidRPr="004161D9" w:rsidP="004161D9">
      <w:pPr>
        <w:pStyle w:val="AllowPageBreak"/>
      </w:pPr>
    </w:p>
    <w:p w:rsidR="00000000" w:rsidRPr="004161D9" w:rsidP="004161D9">
      <w:pPr>
        <w:pStyle w:val="Heading1"/>
      </w:pPr>
      <w:bookmarkStart w:id="5" w:name="O_466960"/>
      <w:bookmarkEnd w:id="5"/>
      <w:r w:rsidRPr="004161D9">
        <w:t>Pre-Requisites</w:t>
      </w:r>
    </w:p>
    <w:p w:rsidR="00000000" w:rsidRPr="004161D9" w:rsidP="004161D9">
      <w:pPr>
        <w:pStyle w:val="BodyText"/>
      </w:pPr>
      <w:r w:rsidRPr="004161D9">
        <w:t>Not applicable.</w:t>
      </w:r>
    </w:p>
    <w:p w:rsidR="00000000" w:rsidRPr="004161D9" w:rsidP="004161D9">
      <w:pPr>
        <w:pStyle w:val="AllowPageBreak"/>
      </w:pPr>
    </w:p>
    <w:p w:rsidR="00000000" w:rsidRPr="004161D9" w:rsidP="004161D9">
      <w:pPr>
        <w:pStyle w:val="Heading1"/>
      </w:pPr>
      <w:bookmarkStart w:id="6" w:name="O_466961"/>
      <w:bookmarkEnd w:id="6"/>
      <w:r w:rsidRPr="004161D9">
        <w:t>Employability Skills Information</w:t>
      </w:r>
    </w:p>
    <w:p w:rsidR="00000000" w:rsidRPr="004161D9" w:rsidP="004161D9">
      <w:pPr>
        <w:pStyle w:val="BodyText"/>
      </w:pPr>
      <w:r w:rsidRPr="004161D9">
        <w:t>This unit contains employability skills.</w:t>
      </w:r>
    </w:p>
    <w:p w:rsidR="00000000" w:rsidRPr="004161D9" w:rsidP="004161D9">
      <w:pPr>
        <w:pStyle w:val="AllowPageBreak"/>
      </w:pPr>
    </w:p>
    <w:p w:rsidR="00000000" w:rsidRPr="004161D9" w:rsidP="004161D9">
      <w:pPr>
        <w:pStyle w:val="Heading1"/>
      </w:pPr>
      <w:bookmarkStart w:id="7" w:name="O_466962"/>
      <w:bookmarkEnd w:id="7"/>
      <w:r w:rsidRPr="004161D9">
        <w:t>Elements and Performance Criteria Pre-Content</w:t>
      </w:r>
    </w:p>
    <w:tbl>
      <w:tblPr>
        <w:tblW w:w="0" w:type="auto"/>
        <w:tblLayout w:type="fixed"/>
        <w:tblCellMar>
          <w:left w:w="62" w:type="dxa"/>
          <w:right w:w="62" w:type="dxa"/>
        </w:tblCellMar>
        <w:tblLook w:val="0000"/>
      </w:tblPr>
      <w:tblGrid>
        <w:gridCol w:w="2640"/>
        <w:gridCol w:w="6380"/>
      </w:tblGrid>
      <w:tr w:rsidTr="004161D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4161D9">
            <w:pPr>
              <w:pStyle w:val="BodyText"/>
              <w:rPr>
                <w:lang w:val="en-NZ"/>
              </w:rPr>
            </w:pPr>
            <w:r w:rsidRPr="004161D9">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4161D9" w:rsidP="004161D9">
            <w:pPr>
              <w:pStyle w:val="BodyText"/>
            </w:pPr>
            <w:r w:rsidRPr="004161D9">
              <w:t>Performance criteria describe the performance needed to demonstrate achievement of the element. Where bold italicised text is used, further info</w:t>
            </w:r>
            <w:r w:rsidRPr="004161D9">
              <w:t>rmation is detailed in the required skills and knowledge section and the range statement. Assessment of performance is to be consistent with the evidence guide.</w:t>
            </w:r>
          </w:p>
        </w:tc>
      </w:tr>
    </w:tbl>
    <w:p w:rsidR="00055E9C" w:rsidP="004161D9">
      <w:pPr>
        <w:pStyle w:val="BodyText"/>
      </w:pPr>
    </w:p>
    <w:p w:rsidR="00055E9C" w:rsidP="004161D9">
      <w:pPr>
        <w:pStyle w:val="BodyText"/>
      </w:pPr>
    </w:p>
    <w:p w:rsidR="00000000" w:rsidRPr="004161D9" w:rsidP="004161D9">
      <w:pPr>
        <w:pStyle w:val="Heading1"/>
      </w:pPr>
      <w:bookmarkStart w:id="8" w:name="O_466963"/>
      <w:bookmarkEnd w:id="8"/>
      <w:r w:rsidRPr="004161D9">
        <w:t>Elements and Performance Criteria</w:t>
      </w:r>
    </w:p>
    <w:p w:rsidR="00000000" w:rsidRPr="004161D9" w:rsidP="004161D9">
      <w:pPr>
        <w:pStyle w:val="BodyText"/>
      </w:pPr>
    </w:p>
    <w:tbl>
      <w:tblPr>
        <w:tblW w:w="0" w:type="auto"/>
        <w:tblLayout w:type="fixed"/>
        <w:tblCellMar>
          <w:left w:w="62" w:type="dxa"/>
          <w:right w:w="62" w:type="dxa"/>
        </w:tblCellMar>
        <w:tblLook w:val="0000"/>
      </w:tblPr>
      <w:tblGrid>
        <w:gridCol w:w="678"/>
        <w:gridCol w:w="1962"/>
        <w:gridCol w:w="770"/>
        <w:gridCol w:w="5610"/>
      </w:tblGrid>
      <w:tr w:rsidTr="004161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161D9">
            <w:pPr>
              <w:pStyle w:val="BodyText"/>
              <w:rPr>
                <w:lang w:val="en-NZ"/>
              </w:rPr>
            </w:pPr>
            <w:r w:rsidRPr="004161D9">
              <w:t>1</w:t>
            </w:r>
          </w:p>
        </w:tc>
        <w:tc>
          <w:tcPr>
            <w:tcW w:w="1962" w:type="dxa"/>
            <w:vMerge w:val="restart"/>
            <w:tcBorders>
              <w:top w:val="nil"/>
              <w:left w:val="nil"/>
              <w:bottom w:val="nil"/>
              <w:right w:val="nil"/>
            </w:tcBorders>
            <w:tcMar>
              <w:top w:w="0" w:type="dxa"/>
              <w:left w:w="62" w:type="dxa"/>
              <w:bottom w:w="0" w:type="dxa"/>
              <w:right w:w="62" w:type="dxa"/>
            </w:tcMar>
          </w:tcPr>
          <w:p w:rsidR="00000000" w:rsidP="004161D9">
            <w:pPr>
              <w:pStyle w:val="BodyText"/>
              <w:rPr>
                <w:lang w:val="en-NZ"/>
              </w:rPr>
            </w:pPr>
            <w:r w:rsidRPr="004161D9">
              <w:t>Determine the basis of current product</w:t>
            </w:r>
            <w:r w:rsidRPr="004161D9">
              <w:t xml:space="preserve"> organisation</w:t>
            </w:r>
          </w:p>
        </w:tc>
        <w:tc>
          <w:tcPr>
            <w:tcW w:w="770" w:type="dxa"/>
            <w:tcBorders>
              <w:top w:val="nil"/>
              <w:left w:val="nil"/>
              <w:bottom w:val="nil"/>
              <w:right w:val="nil"/>
            </w:tcBorders>
            <w:tcMar>
              <w:top w:w="0" w:type="dxa"/>
              <w:left w:w="62" w:type="dxa"/>
              <w:bottom w:w="0" w:type="dxa"/>
              <w:right w:w="62" w:type="dxa"/>
            </w:tcMar>
          </w:tcPr>
          <w:p w:rsidR="00000000" w:rsidP="004161D9">
            <w:pPr>
              <w:pStyle w:val="BodyText"/>
              <w:rPr>
                <w:lang w:val="en-NZ"/>
              </w:rPr>
            </w:pPr>
            <w:r w:rsidRPr="004161D9">
              <w:t>1.1</w:t>
            </w:r>
          </w:p>
        </w:tc>
        <w:tc>
          <w:tcPr>
            <w:tcW w:w="5610" w:type="dxa"/>
            <w:tcBorders>
              <w:top w:val="nil"/>
              <w:left w:val="nil"/>
              <w:bottom w:val="nil"/>
              <w:right w:val="nil"/>
            </w:tcBorders>
            <w:tcMar>
              <w:top w:w="0" w:type="dxa"/>
              <w:left w:w="62" w:type="dxa"/>
              <w:bottom w:w="0" w:type="dxa"/>
              <w:right w:w="62" w:type="dxa"/>
            </w:tcMar>
          </w:tcPr>
          <w:p w:rsidR="00000000" w:rsidP="004161D9">
            <w:pPr>
              <w:pStyle w:val="BodyText"/>
              <w:rPr>
                <w:lang w:val="en-NZ"/>
              </w:rPr>
            </w:pPr>
            <w:r w:rsidRPr="004161D9">
              <w:t>Identify stock keeping units (SKUs) for analysis</w:t>
            </w:r>
          </w:p>
        </w:tc>
      </w:tr>
      <w:tr w:rsidTr="004161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61D9">
            <w:pPr>
              <w:pStyle w:val="BodyText"/>
              <w:rPr>
                <w:lang w:val="en-NZ"/>
              </w:rPr>
            </w:pPr>
            <w:r w:rsidRPr="004161D9">
              <w:t>1.2</w:t>
            </w:r>
          </w:p>
        </w:tc>
        <w:tc>
          <w:tcPr>
            <w:tcW w:w="5610" w:type="dxa"/>
            <w:tcBorders>
              <w:top w:val="nil"/>
              <w:left w:val="nil"/>
              <w:bottom w:val="nil"/>
              <w:right w:val="nil"/>
            </w:tcBorders>
            <w:tcMar>
              <w:top w:w="0" w:type="dxa"/>
              <w:left w:w="62" w:type="dxa"/>
              <w:bottom w:w="0" w:type="dxa"/>
              <w:right w:w="62" w:type="dxa"/>
            </w:tcMar>
          </w:tcPr>
          <w:p w:rsidR="00000000" w:rsidP="004161D9">
            <w:pPr>
              <w:pStyle w:val="BodyText"/>
              <w:rPr>
                <w:lang w:val="en-NZ"/>
              </w:rPr>
            </w:pPr>
            <w:r w:rsidRPr="004161D9">
              <w:t>Determine relevant metric as the basis of organisation</w:t>
            </w:r>
          </w:p>
        </w:tc>
      </w:tr>
      <w:tr w:rsidTr="004161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61D9">
            <w:pPr>
              <w:pStyle w:val="BodyText"/>
              <w:rPr>
                <w:lang w:val="en-NZ"/>
              </w:rPr>
            </w:pPr>
            <w:r w:rsidRPr="004161D9">
              <w:t>1.3</w:t>
            </w:r>
          </w:p>
        </w:tc>
        <w:tc>
          <w:tcPr>
            <w:tcW w:w="5610" w:type="dxa"/>
            <w:tcBorders>
              <w:top w:val="nil"/>
              <w:left w:val="nil"/>
              <w:bottom w:val="nil"/>
              <w:right w:val="nil"/>
            </w:tcBorders>
            <w:tcMar>
              <w:top w:w="0" w:type="dxa"/>
              <w:left w:w="62" w:type="dxa"/>
              <w:bottom w:w="0" w:type="dxa"/>
              <w:right w:w="62" w:type="dxa"/>
            </w:tcMar>
          </w:tcPr>
          <w:p w:rsidR="00000000" w:rsidP="004161D9">
            <w:pPr>
              <w:pStyle w:val="BodyText"/>
              <w:rPr>
                <w:lang w:val="en-NZ"/>
              </w:rPr>
            </w:pPr>
            <w:r w:rsidRPr="004161D9">
              <w:t>Determine time basis for analysis</w:t>
            </w:r>
          </w:p>
        </w:tc>
      </w:tr>
      <w:tr w:rsidTr="004161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61D9">
            <w:pPr>
              <w:pStyle w:val="BodyText"/>
              <w:rPr>
                <w:lang w:val="en-NZ"/>
              </w:rPr>
            </w:pPr>
            <w:r w:rsidRPr="004161D9">
              <w:t>1.4</w:t>
            </w:r>
          </w:p>
        </w:tc>
        <w:tc>
          <w:tcPr>
            <w:tcW w:w="5610" w:type="dxa"/>
            <w:tcBorders>
              <w:top w:val="nil"/>
              <w:left w:val="nil"/>
              <w:bottom w:val="nil"/>
              <w:right w:val="nil"/>
            </w:tcBorders>
            <w:tcMar>
              <w:top w:w="0" w:type="dxa"/>
              <w:left w:w="62" w:type="dxa"/>
              <w:bottom w:w="0" w:type="dxa"/>
              <w:right w:w="62" w:type="dxa"/>
            </w:tcMar>
          </w:tcPr>
          <w:p w:rsidR="00000000" w:rsidRPr="004161D9" w:rsidP="004161D9">
            <w:pPr>
              <w:pStyle w:val="BodyText"/>
            </w:pPr>
            <w:r w:rsidRPr="004161D9">
              <w:t>Collect selected metric over the time period for each SKU</w:t>
            </w:r>
          </w:p>
        </w:tc>
      </w:tr>
    </w:tbl>
    <w:p w:rsidR="00000000" w:rsidRPr="004161D9" w:rsidP="004161D9">
      <w:pPr>
        <w:pStyle w:val="BodyText"/>
      </w:pPr>
    </w:p>
    <w:tbl>
      <w:tblPr>
        <w:tblW w:w="0" w:type="auto"/>
        <w:tblLayout w:type="fixed"/>
        <w:tblCellMar>
          <w:left w:w="62" w:type="dxa"/>
          <w:right w:w="62" w:type="dxa"/>
        </w:tblCellMar>
        <w:tblLook w:val="0000"/>
      </w:tblPr>
      <w:tblGrid>
        <w:gridCol w:w="678"/>
        <w:gridCol w:w="1962"/>
        <w:gridCol w:w="770"/>
        <w:gridCol w:w="5610"/>
      </w:tblGrid>
      <w:tr w:rsidTr="004161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161D9">
            <w:pPr>
              <w:pStyle w:val="BodyText"/>
              <w:rPr>
                <w:lang w:val="en-NZ"/>
              </w:rPr>
            </w:pPr>
            <w:r w:rsidRPr="004161D9">
              <w:t>2</w:t>
            </w:r>
          </w:p>
        </w:tc>
        <w:tc>
          <w:tcPr>
            <w:tcW w:w="1962" w:type="dxa"/>
            <w:vMerge w:val="restart"/>
            <w:tcBorders>
              <w:top w:val="nil"/>
              <w:left w:val="nil"/>
              <w:bottom w:val="nil"/>
              <w:right w:val="nil"/>
            </w:tcBorders>
            <w:tcMar>
              <w:top w:w="0" w:type="dxa"/>
              <w:left w:w="62" w:type="dxa"/>
              <w:bottom w:w="0" w:type="dxa"/>
              <w:right w:w="62" w:type="dxa"/>
            </w:tcMar>
          </w:tcPr>
          <w:p w:rsidR="00000000" w:rsidP="004161D9">
            <w:pPr>
              <w:pStyle w:val="BodyText"/>
              <w:rPr>
                <w:lang w:val="en-NZ"/>
              </w:rPr>
            </w:pPr>
            <w:r w:rsidRPr="004161D9">
              <w:t>Apply analysis tool</w:t>
            </w:r>
          </w:p>
        </w:tc>
        <w:tc>
          <w:tcPr>
            <w:tcW w:w="770" w:type="dxa"/>
            <w:tcBorders>
              <w:top w:val="nil"/>
              <w:left w:val="nil"/>
              <w:bottom w:val="nil"/>
              <w:right w:val="nil"/>
            </w:tcBorders>
            <w:tcMar>
              <w:top w:w="0" w:type="dxa"/>
              <w:left w:w="62" w:type="dxa"/>
              <w:bottom w:w="0" w:type="dxa"/>
              <w:right w:w="62" w:type="dxa"/>
            </w:tcMar>
          </w:tcPr>
          <w:p w:rsidR="00000000" w:rsidP="004161D9">
            <w:pPr>
              <w:pStyle w:val="BodyText"/>
              <w:rPr>
                <w:lang w:val="en-NZ"/>
              </w:rPr>
            </w:pPr>
            <w:r w:rsidRPr="004161D9">
              <w:t>2.1</w:t>
            </w:r>
          </w:p>
        </w:tc>
        <w:tc>
          <w:tcPr>
            <w:tcW w:w="5610" w:type="dxa"/>
            <w:tcBorders>
              <w:top w:val="nil"/>
              <w:left w:val="nil"/>
              <w:bottom w:val="nil"/>
              <w:right w:val="nil"/>
            </w:tcBorders>
            <w:tcMar>
              <w:top w:w="0" w:type="dxa"/>
              <w:left w:w="62" w:type="dxa"/>
              <w:bottom w:w="0" w:type="dxa"/>
              <w:right w:w="62" w:type="dxa"/>
            </w:tcMar>
          </w:tcPr>
          <w:p w:rsidR="00000000" w:rsidP="004161D9">
            <w:pPr>
              <w:pStyle w:val="BodyText"/>
              <w:rPr>
                <w:lang w:val="en-NZ"/>
              </w:rPr>
            </w:pPr>
            <w:r w:rsidRPr="004161D9">
              <w:t>Select appropriate analysis tool</w:t>
            </w:r>
          </w:p>
        </w:tc>
      </w:tr>
      <w:tr w:rsidTr="004161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61D9">
            <w:pPr>
              <w:pStyle w:val="BodyText"/>
              <w:rPr>
                <w:lang w:val="en-NZ"/>
              </w:rPr>
            </w:pPr>
            <w:r w:rsidRPr="004161D9">
              <w:t>2.2</w:t>
            </w:r>
          </w:p>
        </w:tc>
        <w:tc>
          <w:tcPr>
            <w:tcW w:w="5610" w:type="dxa"/>
            <w:tcBorders>
              <w:top w:val="nil"/>
              <w:left w:val="nil"/>
              <w:bottom w:val="nil"/>
              <w:right w:val="nil"/>
            </w:tcBorders>
            <w:tcMar>
              <w:top w:w="0" w:type="dxa"/>
              <w:left w:w="62" w:type="dxa"/>
              <w:bottom w:w="0" w:type="dxa"/>
              <w:right w:w="62" w:type="dxa"/>
            </w:tcMar>
          </w:tcPr>
          <w:p w:rsidR="00000000" w:rsidP="004161D9">
            <w:pPr>
              <w:pStyle w:val="BodyText"/>
              <w:rPr>
                <w:lang w:val="en-NZ"/>
              </w:rPr>
            </w:pPr>
            <w:r w:rsidRPr="004161D9">
              <w:t>Apply the tool</w:t>
            </w:r>
          </w:p>
        </w:tc>
      </w:tr>
      <w:tr w:rsidTr="004161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61D9">
            <w:pPr>
              <w:pStyle w:val="BodyText"/>
              <w:rPr>
                <w:lang w:val="en-NZ"/>
              </w:rPr>
            </w:pPr>
            <w:r w:rsidRPr="004161D9">
              <w:t>2.3</w:t>
            </w:r>
          </w:p>
        </w:tc>
        <w:tc>
          <w:tcPr>
            <w:tcW w:w="5610" w:type="dxa"/>
            <w:tcBorders>
              <w:top w:val="nil"/>
              <w:left w:val="nil"/>
              <w:bottom w:val="nil"/>
              <w:right w:val="nil"/>
            </w:tcBorders>
            <w:tcMar>
              <w:top w:w="0" w:type="dxa"/>
              <w:left w:w="62" w:type="dxa"/>
              <w:bottom w:w="0" w:type="dxa"/>
              <w:right w:w="62" w:type="dxa"/>
            </w:tcMar>
          </w:tcPr>
          <w:p w:rsidR="00000000" w:rsidP="004161D9">
            <w:pPr>
              <w:pStyle w:val="BodyText"/>
              <w:rPr>
                <w:lang w:val="en-NZ"/>
              </w:rPr>
            </w:pPr>
            <w:r w:rsidRPr="004161D9">
              <w:t>Test for sensitivity, as appropriate</w:t>
            </w:r>
          </w:p>
        </w:tc>
      </w:tr>
      <w:tr w:rsidTr="004161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61D9">
            <w:pPr>
              <w:pStyle w:val="BodyText"/>
              <w:rPr>
                <w:lang w:val="en-NZ"/>
              </w:rPr>
            </w:pPr>
            <w:r w:rsidRPr="004161D9">
              <w:t>2.4</w:t>
            </w:r>
          </w:p>
        </w:tc>
        <w:tc>
          <w:tcPr>
            <w:tcW w:w="5610" w:type="dxa"/>
            <w:tcBorders>
              <w:top w:val="nil"/>
              <w:left w:val="nil"/>
              <w:bottom w:val="nil"/>
              <w:right w:val="nil"/>
            </w:tcBorders>
            <w:tcMar>
              <w:top w:w="0" w:type="dxa"/>
              <w:left w:w="62" w:type="dxa"/>
              <w:bottom w:w="0" w:type="dxa"/>
              <w:right w:w="62" w:type="dxa"/>
            </w:tcMar>
          </w:tcPr>
          <w:p w:rsidR="00000000" w:rsidP="004161D9">
            <w:pPr>
              <w:pStyle w:val="BodyText"/>
              <w:rPr>
                <w:lang w:val="en-NZ"/>
              </w:rPr>
            </w:pPr>
            <w:r w:rsidRPr="004161D9">
              <w:t>Confirm ranking of product groupings</w:t>
            </w:r>
          </w:p>
        </w:tc>
      </w:tr>
      <w:tr w:rsidTr="004161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61D9">
            <w:pPr>
              <w:pStyle w:val="BodyText"/>
              <w:rPr>
                <w:lang w:val="en-NZ"/>
              </w:rPr>
            </w:pPr>
            <w:r w:rsidRPr="004161D9">
              <w:t>2.5</w:t>
            </w:r>
          </w:p>
        </w:tc>
        <w:tc>
          <w:tcPr>
            <w:tcW w:w="5610" w:type="dxa"/>
            <w:tcBorders>
              <w:top w:val="nil"/>
              <w:left w:val="nil"/>
              <w:bottom w:val="nil"/>
              <w:right w:val="nil"/>
            </w:tcBorders>
            <w:tcMar>
              <w:top w:w="0" w:type="dxa"/>
              <w:left w:w="62" w:type="dxa"/>
              <w:bottom w:w="0" w:type="dxa"/>
              <w:right w:w="62" w:type="dxa"/>
            </w:tcMar>
          </w:tcPr>
          <w:p w:rsidR="00000000" w:rsidRPr="004161D9" w:rsidP="004161D9">
            <w:pPr>
              <w:pStyle w:val="BodyText"/>
            </w:pPr>
            <w:r w:rsidRPr="004161D9">
              <w:t>Tabulate and communicate the results</w:t>
            </w:r>
          </w:p>
        </w:tc>
      </w:tr>
    </w:tbl>
    <w:p w:rsidR="00000000" w:rsidRPr="004161D9" w:rsidP="004161D9">
      <w:pPr>
        <w:pStyle w:val="BodyText"/>
      </w:pPr>
    </w:p>
    <w:tbl>
      <w:tblPr>
        <w:tblW w:w="0" w:type="auto"/>
        <w:tblLayout w:type="fixed"/>
        <w:tblCellMar>
          <w:left w:w="62" w:type="dxa"/>
          <w:right w:w="62" w:type="dxa"/>
        </w:tblCellMar>
        <w:tblLook w:val="0000"/>
      </w:tblPr>
      <w:tblGrid>
        <w:gridCol w:w="678"/>
        <w:gridCol w:w="1962"/>
        <w:gridCol w:w="770"/>
        <w:gridCol w:w="5610"/>
      </w:tblGrid>
      <w:tr w:rsidTr="004161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161D9">
            <w:pPr>
              <w:pStyle w:val="BodyText"/>
              <w:rPr>
                <w:lang w:val="en-NZ"/>
              </w:rPr>
            </w:pPr>
            <w:r w:rsidRPr="004161D9">
              <w:t>3</w:t>
            </w:r>
          </w:p>
        </w:tc>
        <w:tc>
          <w:tcPr>
            <w:tcW w:w="1962" w:type="dxa"/>
            <w:vMerge w:val="restart"/>
            <w:tcBorders>
              <w:top w:val="nil"/>
              <w:left w:val="nil"/>
              <w:bottom w:val="nil"/>
              <w:right w:val="nil"/>
            </w:tcBorders>
            <w:tcMar>
              <w:top w:w="0" w:type="dxa"/>
              <w:left w:w="62" w:type="dxa"/>
              <w:bottom w:w="0" w:type="dxa"/>
              <w:right w:w="62" w:type="dxa"/>
            </w:tcMar>
          </w:tcPr>
          <w:p w:rsidR="00000000" w:rsidP="004161D9">
            <w:pPr>
              <w:pStyle w:val="BodyText"/>
              <w:rPr>
                <w:lang w:val="en-NZ"/>
              </w:rPr>
            </w:pPr>
            <w:r w:rsidRPr="004161D9">
              <w:t>Develop a strategic response to the results</w:t>
            </w:r>
          </w:p>
        </w:tc>
        <w:tc>
          <w:tcPr>
            <w:tcW w:w="770" w:type="dxa"/>
            <w:tcBorders>
              <w:top w:val="nil"/>
              <w:left w:val="nil"/>
              <w:bottom w:val="nil"/>
              <w:right w:val="nil"/>
            </w:tcBorders>
            <w:tcMar>
              <w:top w:w="0" w:type="dxa"/>
              <w:left w:w="62" w:type="dxa"/>
              <w:bottom w:w="0" w:type="dxa"/>
              <w:right w:w="62" w:type="dxa"/>
            </w:tcMar>
          </w:tcPr>
          <w:p w:rsidR="00000000" w:rsidP="004161D9">
            <w:pPr>
              <w:pStyle w:val="BodyText"/>
              <w:rPr>
                <w:lang w:val="en-NZ"/>
              </w:rPr>
            </w:pPr>
            <w:r w:rsidRPr="004161D9">
              <w:t>3.1</w:t>
            </w:r>
          </w:p>
        </w:tc>
        <w:tc>
          <w:tcPr>
            <w:tcW w:w="5610" w:type="dxa"/>
            <w:tcBorders>
              <w:top w:val="nil"/>
              <w:left w:val="nil"/>
              <w:bottom w:val="nil"/>
              <w:right w:val="nil"/>
            </w:tcBorders>
            <w:tcMar>
              <w:top w:w="0" w:type="dxa"/>
              <w:left w:w="62" w:type="dxa"/>
              <w:bottom w:w="0" w:type="dxa"/>
              <w:right w:w="62" w:type="dxa"/>
            </w:tcMar>
          </w:tcPr>
          <w:p w:rsidR="00000000" w:rsidP="004161D9">
            <w:pPr>
              <w:pStyle w:val="BodyText"/>
              <w:rPr>
                <w:lang w:val="en-NZ"/>
              </w:rPr>
            </w:pPr>
            <w:r w:rsidRPr="004161D9">
              <w:t xml:space="preserve">Analyse product groupings for opportunities for increased flow based on customer pull and elimination of waste </w:t>
            </w:r>
          </w:p>
        </w:tc>
      </w:tr>
      <w:tr w:rsidTr="004161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61D9">
            <w:pPr>
              <w:pStyle w:val="BodyText"/>
              <w:rPr>
                <w:lang w:val="en-NZ"/>
              </w:rPr>
            </w:pPr>
            <w:r w:rsidRPr="004161D9">
              <w:t>3.2</w:t>
            </w:r>
          </w:p>
        </w:tc>
        <w:tc>
          <w:tcPr>
            <w:tcW w:w="5610" w:type="dxa"/>
            <w:tcBorders>
              <w:top w:val="nil"/>
              <w:left w:val="nil"/>
              <w:bottom w:val="nil"/>
              <w:right w:val="nil"/>
            </w:tcBorders>
            <w:tcMar>
              <w:top w:w="0" w:type="dxa"/>
              <w:left w:w="62" w:type="dxa"/>
              <w:bottom w:w="0" w:type="dxa"/>
              <w:right w:w="62" w:type="dxa"/>
            </w:tcMar>
          </w:tcPr>
          <w:p w:rsidR="00000000" w:rsidP="004161D9">
            <w:pPr>
              <w:pStyle w:val="BodyText"/>
              <w:rPr>
                <w:lang w:val="en-NZ"/>
              </w:rPr>
            </w:pPr>
            <w:r w:rsidRPr="004161D9">
              <w:t xml:space="preserve">Select relevant competitive systems and practices tools </w:t>
            </w:r>
          </w:p>
        </w:tc>
      </w:tr>
      <w:tr w:rsidTr="004161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61D9">
            <w:pPr>
              <w:pStyle w:val="BodyText"/>
              <w:rPr>
                <w:lang w:val="en-NZ"/>
              </w:rPr>
            </w:pPr>
            <w:r w:rsidRPr="004161D9">
              <w:t>3.3</w:t>
            </w:r>
          </w:p>
        </w:tc>
        <w:tc>
          <w:tcPr>
            <w:tcW w:w="5610" w:type="dxa"/>
            <w:tcBorders>
              <w:top w:val="nil"/>
              <w:left w:val="nil"/>
              <w:bottom w:val="nil"/>
              <w:right w:val="nil"/>
            </w:tcBorders>
            <w:tcMar>
              <w:top w:w="0" w:type="dxa"/>
              <w:left w:w="62" w:type="dxa"/>
              <w:bottom w:w="0" w:type="dxa"/>
              <w:right w:w="62" w:type="dxa"/>
            </w:tcMar>
          </w:tcPr>
          <w:p w:rsidR="00000000" w:rsidP="004161D9">
            <w:pPr>
              <w:pStyle w:val="BodyText"/>
              <w:rPr>
                <w:lang w:val="en-NZ"/>
              </w:rPr>
            </w:pPr>
            <w:r w:rsidRPr="004161D9">
              <w:t>Develop a strategy deployment plan</w:t>
            </w:r>
          </w:p>
        </w:tc>
      </w:tr>
      <w:tr w:rsidTr="004161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61D9">
            <w:pPr>
              <w:pStyle w:val="BodyText"/>
              <w:rPr>
                <w:lang w:val="en-NZ"/>
              </w:rPr>
            </w:pPr>
            <w:r w:rsidRPr="004161D9">
              <w:t>3.4</w:t>
            </w:r>
          </w:p>
        </w:tc>
        <w:tc>
          <w:tcPr>
            <w:tcW w:w="5610" w:type="dxa"/>
            <w:tcBorders>
              <w:top w:val="nil"/>
              <w:left w:val="nil"/>
              <w:bottom w:val="nil"/>
              <w:right w:val="nil"/>
            </w:tcBorders>
            <w:tcMar>
              <w:top w:w="0" w:type="dxa"/>
              <w:left w:w="62" w:type="dxa"/>
              <w:bottom w:w="0" w:type="dxa"/>
              <w:right w:w="62" w:type="dxa"/>
            </w:tcMar>
          </w:tcPr>
          <w:p w:rsidR="00000000" w:rsidRPr="004161D9" w:rsidP="004161D9">
            <w:pPr>
              <w:pStyle w:val="BodyText"/>
            </w:pPr>
            <w:r w:rsidRPr="004161D9">
              <w:t>Obtain required approvals</w:t>
            </w:r>
          </w:p>
        </w:tc>
      </w:tr>
    </w:tbl>
    <w:p w:rsidR="00055E9C" w:rsidP="004161D9">
      <w:pPr>
        <w:pStyle w:val="BodyText"/>
      </w:pPr>
    </w:p>
    <w:p w:rsidR="00055E9C" w:rsidP="004161D9">
      <w:pPr>
        <w:pStyle w:val="BodyText"/>
      </w:pPr>
    </w:p>
    <w:p w:rsidR="00000000" w:rsidRPr="004161D9" w:rsidP="004161D9">
      <w:pPr>
        <w:pStyle w:val="Heading1"/>
      </w:pPr>
      <w:bookmarkStart w:id="9" w:name="O_466964"/>
      <w:bookmarkEnd w:id="9"/>
      <w:r w:rsidRPr="004161D9">
        <w:t>Required Skills and Knowledge</w:t>
      </w:r>
    </w:p>
    <w:tbl>
      <w:tblPr>
        <w:tblW w:w="9462" w:type="dxa"/>
        <w:tblLayout w:type="fixed"/>
        <w:tblCellMar>
          <w:left w:w="62" w:type="dxa"/>
          <w:right w:w="62" w:type="dxa"/>
        </w:tblCellMar>
        <w:tblLook w:val="0000"/>
      </w:tblPr>
      <w:tblGrid>
        <w:gridCol w:w="9462"/>
      </w:tblGrid>
      <w:tr w:rsidTr="004161D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161D9">
            <w:pPr>
              <w:pStyle w:val="BodyText"/>
              <w:rPr>
                <w:lang w:val="en-NZ"/>
              </w:rPr>
            </w:pPr>
            <w:r w:rsidRPr="004161D9">
              <w:t>This section describes the skills and knowledge required for this unit.</w:t>
            </w:r>
          </w:p>
        </w:tc>
      </w:tr>
      <w:tr w:rsidTr="004161D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161D9">
            <w:pPr>
              <w:pStyle w:val="BodyText"/>
              <w:rPr>
                <w:lang w:val="en-NZ"/>
              </w:rPr>
            </w:pPr>
            <w:r w:rsidRPr="004161D9">
              <w:rPr>
                <w:rStyle w:val="SpecialBold"/>
              </w:rPr>
              <w:t>Required skills</w:t>
            </w:r>
          </w:p>
        </w:tc>
      </w:tr>
      <w:tr w:rsidTr="004161D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161D9" w:rsidP="004161D9">
            <w:pPr>
              <w:pStyle w:val="BodyText"/>
            </w:pPr>
            <w:r w:rsidRPr="004161D9">
              <w:t>Required skills include:</w:t>
            </w:r>
          </w:p>
          <w:p w:rsidR="00000000" w:rsidRPr="004161D9" w:rsidP="004161D9">
            <w:pPr>
              <w:pStyle w:val="ListBullet"/>
            </w:pPr>
            <w:r w:rsidRPr="004161D9">
              <w:t>analysing and manipulating data on current operations</w:t>
            </w:r>
          </w:p>
          <w:p w:rsidR="00000000" w:rsidRPr="004161D9" w:rsidP="004161D9">
            <w:pPr>
              <w:pStyle w:val="ListBullet"/>
            </w:pPr>
            <w:r w:rsidRPr="004161D9">
              <w:t>communicating with relevant people and asking leading questions</w:t>
            </w:r>
          </w:p>
          <w:p w:rsidR="00000000" w:rsidRPr="004161D9" w:rsidP="004161D9">
            <w:pPr>
              <w:pStyle w:val="ListBullet"/>
            </w:pPr>
            <w:r w:rsidRPr="004161D9">
              <w:t>analysing operations to identify current batching and non-flow related activities</w:t>
            </w:r>
          </w:p>
          <w:p w:rsidR="00000000" w:rsidRPr="004161D9" w:rsidP="004161D9">
            <w:pPr>
              <w:pStyle w:val="ListBullet"/>
            </w:pPr>
            <w:r w:rsidRPr="004161D9">
              <w:t>identifying opportunities for increased customer pull and flow-based operations</w:t>
            </w:r>
          </w:p>
          <w:p w:rsidR="00000000" w:rsidRPr="004161D9" w:rsidP="004161D9">
            <w:pPr>
              <w:pStyle w:val="ListBullet"/>
            </w:pPr>
            <w:r w:rsidRPr="004161D9">
              <w:t>selecting appropriate competitive systems and practices for organising products or service events into groups (e.g. Pareto analysis and Glenday Sieve)</w:t>
            </w:r>
          </w:p>
          <w:p w:rsidR="00000000" w:rsidRPr="004161D9" w:rsidP="004161D9">
            <w:pPr>
              <w:pStyle w:val="ListBullet"/>
            </w:pPr>
            <w:r w:rsidRPr="004161D9">
              <w:t>developing strategic plan</w:t>
            </w:r>
            <w:r w:rsidRPr="004161D9">
              <w:t>s for implementation of particular competitive systems and practices to product groups</w:t>
            </w:r>
          </w:p>
          <w:p w:rsidR="00000000" w:rsidP="004161D9">
            <w:pPr>
              <w:pStyle w:val="ListBullet"/>
              <w:rPr>
                <w:lang w:val="en-NZ"/>
              </w:rPr>
            </w:pPr>
            <w:r w:rsidRPr="004161D9">
              <w:t>preparing reports and recommendations</w:t>
            </w:r>
          </w:p>
        </w:tc>
      </w:tr>
      <w:tr w:rsidTr="004161D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161D9">
            <w:pPr>
              <w:pStyle w:val="BodyText"/>
              <w:rPr>
                <w:lang w:val="en-NZ"/>
              </w:rPr>
            </w:pPr>
          </w:p>
        </w:tc>
      </w:tr>
      <w:tr w:rsidTr="004161D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161D9">
            <w:pPr>
              <w:pStyle w:val="BodyText"/>
              <w:rPr>
                <w:lang w:val="en-NZ"/>
              </w:rPr>
            </w:pPr>
            <w:r w:rsidRPr="004161D9">
              <w:rPr>
                <w:rStyle w:val="SpecialBold"/>
              </w:rPr>
              <w:t>Required knowledge</w:t>
            </w:r>
          </w:p>
        </w:tc>
      </w:tr>
      <w:tr w:rsidTr="004161D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161D9" w:rsidP="004161D9">
            <w:pPr>
              <w:pStyle w:val="BodyText"/>
            </w:pPr>
            <w:r w:rsidRPr="004161D9">
              <w:t>Required knowledge includes:</w:t>
            </w:r>
          </w:p>
          <w:p w:rsidR="00000000" w:rsidRPr="004161D9" w:rsidP="004161D9">
            <w:pPr>
              <w:pStyle w:val="ListBullet"/>
            </w:pPr>
            <w:r w:rsidRPr="004161D9">
              <w:t xml:space="preserve">methodologies for sorting of products and service events and their advantages </w:t>
            </w:r>
            <w:r w:rsidRPr="004161D9">
              <w:t>and disadvantages (e.g. Pareto analysis and the Glenday Sieve)</w:t>
            </w:r>
          </w:p>
          <w:p w:rsidR="00000000" w:rsidRPr="004161D9" w:rsidP="004161D9">
            <w:pPr>
              <w:pStyle w:val="ListBullet"/>
            </w:pPr>
            <w:r w:rsidRPr="004161D9">
              <w:t>advantages of customer pull-based operations</w:t>
            </w:r>
          </w:p>
          <w:p w:rsidR="00000000" w:rsidRPr="004161D9" w:rsidP="004161D9">
            <w:pPr>
              <w:pStyle w:val="ListBullet"/>
            </w:pPr>
            <w:r w:rsidRPr="004161D9">
              <w:t xml:space="preserve">concept of waste (muda) </w:t>
            </w:r>
          </w:p>
          <w:p w:rsidR="00000000" w:rsidRPr="004161D9" w:rsidP="004161D9">
            <w:pPr>
              <w:pStyle w:val="ListBullet"/>
            </w:pPr>
            <w:r w:rsidRPr="004161D9">
              <w:t>basic data manipulation, including ratios</w:t>
            </w:r>
          </w:p>
        </w:tc>
      </w:tr>
    </w:tbl>
    <w:p w:rsidR="00055E9C" w:rsidP="004161D9">
      <w:pPr>
        <w:pStyle w:val="BodyText"/>
      </w:pPr>
    </w:p>
    <w:p w:rsidR="00055E9C" w:rsidP="004161D9">
      <w:pPr>
        <w:pStyle w:val="BodyText"/>
      </w:pPr>
    </w:p>
    <w:p w:rsidR="00000000" w:rsidRPr="004161D9" w:rsidP="004161D9">
      <w:pPr>
        <w:pStyle w:val="Heading1"/>
      </w:pPr>
      <w:bookmarkStart w:id="10" w:name="O_466965"/>
      <w:bookmarkEnd w:id="10"/>
      <w:r w:rsidRPr="004161D9">
        <w:t>Evidence Guide</w:t>
      </w:r>
    </w:p>
    <w:tbl>
      <w:tblPr>
        <w:tblW w:w="9462" w:type="dxa"/>
        <w:tblLayout w:type="fixed"/>
        <w:tblCellMar>
          <w:left w:w="62" w:type="dxa"/>
          <w:right w:w="62" w:type="dxa"/>
        </w:tblCellMar>
        <w:tblLook w:val="0000"/>
      </w:tblPr>
      <w:tblGrid>
        <w:gridCol w:w="3800"/>
        <w:gridCol w:w="5662"/>
      </w:tblGrid>
      <w:tr w:rsidTr="004161D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4161D9">
            <w:pPr>
              <w:pStyle w:val="BodyText"/>
              <w:rPr>
                <w:lang w:val="en-NZ"/>
              </w:rPr>
            </w:pPr>
            <w:r w:rsidRPr="004161D9">
              <w:t>The evidence guide provides advice on assessment and must be read in conjunction with the performance criteria, required skills and knowledge, range statement and the Assessment Guidelines for the Training Package.</w:t>
            </w:r>
          </w:p>
        </w:tc>
      </w:tr>
      <w:tr w:rsidTr="004161D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1D9">
            <w:pPr>
              <w:pStyle w:val="BodyText"/>
              <w:rPr>
                <w:lang w:val="en-NZ"/>
              </w:rPr>
            </w:pPr>
            <w:r w:rsidRPr="004161D9">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1D9" w:rsidP="004161D9">
            <w:pPr>
              <w:pStyle w:val="BodyText"/>
            </w:pPr>
            <w:r w:rsidRPr="004161D9">
              <w:t>A person who demonstrates competency in this unit must be able to provide evidence of the ability to:</w:t>
            </w:r>
          </w:p>
          <w:p w:rsidR="00000000" w:rsidRPr="004161D9" w:rsidP="004161D9">
            <w:pPr>
              <w:pStyle w:val="ListBullet"/>
            </w:pPr>
            <w:r w:rsidRPr="004161D9">
              <w:t>select an appropriate analysis tool and metrics</w:t>
            </w:r>
          </w:p>
          <w:p w:rsidR="00000000" w:rsidRPr="004161D9" w:rsidP="004161D9">
            <w:pPr>
              <w:pStyle w:val="ListBullet"/>
            </w:pPr>
            <w:r w:rsidRPr="004161D9">
              <w:t>apply that t</w:t>
            </w:r>
            <w:r w:rsidRPr="004161D9">
              <w:t>ool to group SKUs</w:t>
            </w:r>
          </w:p>
          <w:p w:rsidR="00000000" w:rsidP="004161D9">
            <w:pPr>
              <w:pStyle w:val="ListBullet"/>
              <w:rPr>
                <w:lang w:val="en-NZ"/>
              </w:rPr>
            </w:pPr>
            <w:r w:rsidRPr="004161D9">
              <w:t>develop and recommend an appropriate response.</w:t>
            </w:r>
          </w:p>
        </w:tc>
      </w:tr>
      <w:tr w:rsidTr="004161D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1D9">
            <w:pPr>
              <w:pStyle w:val="BodyText"/>
              <w:rPr>
                <w:lang w:val="en-NZ"/>
              </w:rPr>
            </w:pPr>
            <w:r w:rsidRPr="004161D9">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1D9" w:rsidP="004161D9">
            <w:pPr>
              <w:pStyle w:val="BodyText"/>
            </w:pPr>
            <w:r w:rsidRPr="004161D9">
              <w:t xml:space="preserve">Assessment of performance must be undertaken in a workplace using or implementing one or more competitive systems and practices. </w:t>
            </w:r>
          </w:p>
          <w:p w:rsidR="00000000" w:rsidRPr="004161D9" w:rsidP="004161D9">
            <w:pPr>
              <w:pStyle w:val="BodyText"/>
            </w:pPr>
            <w:r w:rsidRPr="004161D9">
              <w:t>Access may be required to:</w:t>
            </w:r>
          </w:p>
          <w:p w:rsidR="00000000" w:rsidRPr="004161D9" w:rsidP="004161D9">
            <w:pPr>
              <w:pStyle w:val="ListBullet"/>
            </w:pPr>
            <w:r w:rsidRPr="004161D9">
              <w:t>workplace procedures and plans relevant to work area</w:t>
            </w:r>
          </w:p>
          <w:p w:rsidR="00000000" w:rsidRPr="004161D9" w:rsidP="004161D9">
            <w:pPr>
              <w:pStyle w:val="ListBullet"/>
            </w:pPr>
            <w:r w:rsidRPr="004161D9">
              <w:t>specifications and documentation relating to planned, currently being implemented, or implemented changes to work processes and procedures relevant to the assessee</w:t>
            </w:r>
          </w:p>
          <w:p w:rsidR="00000000" w:rsidRPr="004161D9" w:rsidP="004161D9">
            <w:pPr>
              <w:pStyle w:val="ListBullet"/>
            </w:pPr>
            <w:r w:rsidRPr="004161D9">
              <w:t>documentati</w:t>
            </w:r>
            <w:r w:rsidRPr="004161D9">
              <w:t>on and information in relation to production, waste, overheads and hazard control/management</w:t>
            </w:r>
          </w:p>
          <w:p w:rsidR="00000000" w:rsidRPr="004161D9" w:rsidP="004161D9">
            <w:pPr>
              <w:pStyle w:val="ListBullet"/>
            </w:pPr>
            <w:r w:rsidRPr="004161D9">
              <w:t>reports from supervisors/managers</w:t>
            </w:r>
          </w:p>
          <w:p w:rsidR="00000000" w:rsidP="004161D9">
            <w:pPr>
              <w:pStyle w:val="ListBullet"/>
              <w:rPr>
                <w:lang w:val="en-NZ"/>
              </w:rPr>
            </w:pPr>
            <w:r w:rsidRPr="004161D9">
              <w:t>case studies and scenarios to assess responses to contingencies.</w:t>
            </w:r>
          </w:p>
        </w:tc>
      </w:tr>
      <w:tr w:rsidTr="004161D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1D9">
            <w:pPr>
              <w:pStyle w:val="BodyText"/>
              <w:rPr>
                <w:lang w:val="en-NZ"/>
              </w:rPr>
            </w:pPr>
            <w:r w:rsidRPr="004161D9">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1D9" w:rsidP="004161D9">
            <w:pPr>
              <w:pStyle w:val="BodyText"/>
            </w:pPr>
            <w:r w:rsidRPr="004161D9">
              <w:t>A holistic approach should be taken to the</w:t>
            </w:r>
            <w:r w:rsidRPr="004161D9">
              <w:t xml:space="preserve"> assessment.</w:t>
            </w:r>
          </w:p>
          <w:p w:rsidR="00000000" w:rsidRPr="004161D9" w:rsidP="004161D9">
            <w:pPr>
              <w:pStyle w:val="BodyText"/>
            </w:pPr>
            <w:r w:rsidRPr="004161D9">
              <w:t>Competence in this unit may be assessed by using some combination of the following to generate evidence:</w:t>
            </w:r>
          </w:p>
          <w:p w:rsidR="00000000" w:rsidRPr="004161D9" w:rsidP="004161D9">
            <w:pPr>
              <w:pStyle w:val="ListBullet"/>
            </w:pPr>
            <w:r w:rsidRPr="004161D9">
              <w:t>demonstration in the workplace</w:t>
            </w:r>
          </w:p>
          <w:p w:rsidR="00000000" w:rsidRPr="004161D9" w:rsidP="004161D9">
            <w:pPr>
              <w:pStyle w:val="ListBullet"/>
            </w:pPr>
            <w:r w:rsidRPr="004161D9">
              <w:t>workplace projects</w:t>
            </w:r>
          </w:p>
          <w:p w:rsidR="00000000" w:rsidRPr="004161D9" w:rsidP="004161D9">
            <w:pPr>
              <w:pStyle w:val="ListBullet"/>
            </w:pPr>
            <w:r w:rsidRPr="004161D9">
              <w:t>suitable simulation</w:t>
            </w:r>
          </w:p>
          <w:p w:rsidR="00000000" w:rsidRPr="004161D9" w:rsidP="004161D9">
            <w:pPr>
              <w:pStyle w:val="ListBullet"/>
            </w:pPr>
            <w:r w:rsidRPr="004161D9">
              <w:t>case studies/scenarios (particularly for assessment of contingencie</w:t>
            </w:r>
            <w:r w:rsidRPr="004161D9">
              <w:t>s, improvement scenarios, and so on)</w:t>
            </w:r>
          </w:p>
          <w:p w:rsidR="00000000" w:rsidRPr="004161D9" w:rsidP="004161D9">
            <w:pPr>
              <w:pStyle w:val="ListBullet"/>
            </w:pPr>
            <w:r w:rsidRPr="004161D9">
              <w:t xml:space="preserve">targeted questioning </w:t>
            </w:r>
          </w:p>
          <w:p w:rsidR="00000000" w:rsidRPr="004161D9" w:rsidP="004161D9">
            <w:pPr>
              <w:pStyle w:val="ListBullet"/>
            </w:pPr>
            <w:r w:rsidRPr="004161D9">
              <w:t>reports from supervisors, peers and colleagues (third-party reports)</w:t>
            </w:r>
          </w:p>
          <w:p w:rsidR="00000000" w:rsidRPr="004161D9" w:rsidP="004161D9">
            <w:pPr>
              <w:pStyle w:val="ListBullet"/>
            </w:pPr>
            <w:r w:rsidRPr="004161D9">
              <w:t>portfolio of evidence.</w:t>
            </w:r>
          </w:p>
          <w:p w:rsidR="00000000" w:rsidRPr="004161D9" w:rsidP="004161D9">
            <w:pPr>
              <w:pStyle w:val="BodyText"/>
            </w:pPr>
            <w:r w:rsidRPr="004161D9">
              <w:t xml:space="preserve">In all cases it is expected that practical assessment will be combined with targeted questioning to assess underpinning knowledge. </w:t>
            </w:r>
          </w:p>
          <w:p w:rsidR="00000000" w:rsidP="004161D9">
            <w:pPr>
              <w:pStyle w:val="BodyText"/>
              <w:rPr>
                <w:lang w:val="en-NZ"/>
              </w:rPr>
            </w:pPr>
            <w:r w:rsidRPr="004161D9">
              <w:t xml:space="preserve">Where applicable, reasonable adjustment must be made to work environments and training situations to accommodate ethnicity, </w:t>
            </w:r>
            <w:r w:rsidRPr="004161D9">
              <w:t>age, gender, demographics and disability.</w:t>
            </w:r>
          </w:p>
        </w:tc>
      </w:tr>
      <w:tr w:rsidTr="004161D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1D9">
            <w:pPr>
              <w:pStyle w:val="BodyText"/>
              <w:rPr>
                <w:lang w:val="en-NZ"/>
              </w:rPr>
            </w:pPr>
            <w:r w:rsidRPr="004161D9">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1D9" w:rsidP="004161D9">
            <w:pPr>
              <w:pStyle w:val="BodyText"/>
            </w:pPr>
            <w:r w:rsidRPr="004161D9">
              <w:t>Assessment processes and techniques must be culturally appropriate and appropriate to the oracy, language and literacy capacity of the candidate and the work being performed.</w:t>
            </w:r>
          </w:p>
        </w:tc>
      </w:tr>
    </w:tbl>
    <w:p w:rsidR="00055E9C" w:rsidP="004161D9">
      <w:pPr>
        <w:pStyle w:val="BodyText"/>
      </w:pPr>
    </w:p>
    <w:p w:rsidR="00055E9C" w:rsidP="004161D9">
      <w:pPr>
        <w:pStyle w:val="BodyText"/>
      </w:pPr>
    </w:p>
    <w:p w:rsidR="00000000" w:rsidRPr="004161D9" w:rsidP="004161D9">
      <w:pPr>
        <w:pStyle w:val="Heading1"/>
      </w:pPr>
      <w:bookmarkStart w:id="11" w:name="O_466966"/>
      <w:bookmarkEnd w:id="11"/>
      <w:r w:rsidRPr="004161D9">
        <w:t>Range Statement</w:t>
      </w:r>
    </w:p>
    <w:tbl>
      <w:tblPr>
        <w:tblW w:w="9462" w:type="dxa"/>
        <w:tblLayout w:type="fixed"/>
        <w:tblCellMar>
          <w:left w:w="62" w:type="dxa"/>
          <w:right w:w="62" w:type="dxa"/>
        </w:tblCellMar>
        <w:tblLook w:val="0000"/>
      </w:tblPr>
      <w:tblGrid>
        <w:gridCol w:w="3800"/>
        <w:gridCol w:w="5662"/>
      </w:tblGrid>
      <w:tr w:rsidTr="004161D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4161D9">
            <w:pPr>
              <w:pStyle w:val="BodyText"/>
              <w:rPr>
                <w:lang w:val="en-NZ"/>
              </w:rPr>
            </w:pPr>
            <w:r w:rsidRPr="004161D9">
              <w:t>The range statement relates to the unit of competency as a whole. It allows for different work environments and situations that may affect performance. Bold italicised wording, if used in the performance criteria, is detai</w:t>
            </w:r>
            <w:r w:rsidRPr="004161D9">
              <w:t>led below. Essential operating conditions that may be present with training and assessment (depending on the work situation, needs of the candidate, accessibility of the item, and local industry and regional contexts) may also be included.</w:t>
            </w:r>
          </w:p>
        </w:tc>
      </w:tr>
      <w:tr w:rsidTr="004161D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1D9" w:rsidP="004161D9">
            <w:pPr>
              <w:pStyle w:val="BodyText"/>
            </w:pPr>
            <w:r w:rsidRPr="004161D9">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1D9" w:rsidP="004161D9">
            <w:pPr>
              <w:pStyle w:val="BodyText"/>
            </w:pPr>
            <w:r w:rsidRPr="004161D9">
              <w:t>Competitive systems and practices may include, but are not limited to:</w:t>
            </w:r>
          </w:p>
          <w:p w:rsidR="00000000" w:rsidRPr="004161D9" w:rsidP="004161D9">
            <w:pPr>
              <w:pStyle w:val="ListBullet"/>
            </w:pPr>
            <w:r w:rsidRPr="004161D9">
              <w:t>lean operations</w:t>
            </w:r>
          </w:p>
          <w:p w:rsidR="00000000" w:rsidRPr="004161D9" w:rsidP="004161D9">
            <w:pPr>
              <w:pStyle w:val="ListBullet"/>
            </w:pPr>
            <w:r w:rsidRPr="004161D9">
              <w:t>agile operations</w:t>
            </w:r>
          </w:p>
          <w:p w:rsidR="00000000" w:rsidRPr="004161D9" w:rsidP="004161D9">
            <w:pPr>
              <w:pStyle w:val="ListBullet"/>
            </w:pPr>
            <w:r w:rsidRPr="004161D9">
              <w:t>preventative and predictive maintenance approaches</w:t>
            </w:r>
          </w:p>
          <w:p w:rsidR="00000000" w:rsidRPr="004161D9" w:rsidP="004161D9">
            <w:pPr>
              <w:pStyle w:val="ListBullet"/>
            </w:pPr>
            <w:r w:rsidRPr="004161D9">
              <w:t>monitoring and data gathering systems, such as Systems Control an</w:t>
            </w:r>
            <w:r w:rsidRPr="004161D9">
              <w:t xml:space="preserve">d Data Acquisition (SCADA) software, Enterprise Resource Planning (ERP) systems, Materials Resource Planning (MRP) and proprietary systems </w:t>
            </w:r>
          </w:p>
          <w:p w:rsidR="00000000" w:rsidRPr="004161D9" w:rsidP="004161D9">
            <w:pPr>
              <w:pStyle w:val="ListBullet"/>
            </w:pPr>
            <w:r w:rsidRPr="004161D9">
              <w:t>statistical process control systems, including six sigma and three sigma</w:t>
            </w:r>
          </w:p>
          <w:p w:rsidR="00000000" w:rsidRPr="004161D9" w:rsidP="004161D9">
            <w:pPr>
              <w:pStyle w:val="ListBullet"/>
            </w:pPr>
            <w:r w:rsidRPr="004161D9">
              <w:t>Just in Time (JIT), kanban and other pull-r</w:t>
            </w:r>
            <w:r w:rsidRPr="004161D9">
              <w:t>elated operations control systems</w:t>
            </w:r>
          </w:p>
          <w:p w:rsidR="00000000" w:rsidRPr="004161D9" w:rsidP="004161D9">
            <w:pPr>
              <w:pStyle w:val="ListBullet"/>
            </w:pPr>
            <w:r w:rsidRPr="004161D9">
              <w:t>supply, value, and demand chain monitoring and analysis</w:t>
            </w:r>
          </w:p>
          <w:p w:rsidR="00000000" w:rsidRPr="004161D9" w:rsidP="004161D9">
            <w:pPr>
              <w:pStyle w:val="ListBullet"/>
            </w:pPr>
            <w:r w:rsidRPr="004161D9">
              <w:t xml:space="preserve">5S </w:t>
            </w:r>
          </w:p>
          <w:p w:rsidR="00000000" w:rsidRPr="004161D9" w:rsidP="004161D9">
            <w:pPr>
              <w:pStyle w:val="ListBullet"/>
            </w:pPr>
            <w:r w:rsidRPr="004161D9">
              <w:t>continuous improvement (kaizen)</w:t>
            </w:r>
          </w:p>
          <w:p w:rsidR="00000000" w:rsidRPr="004161D9" w:rsidP="004161D9">
            <w:pPr>
              <w:pStyle w:val="ListBullet"/>
            </w:pPr>
            <w:r w:rsidRPr="004161D9">
              <w:t>breakthrough improvement (kaizen blitz)</w:t>
            </w:r>
          </w:p>
          <w:p w:rsidR="00000000" w:rsidRPr="004161D9" w:rsidP="004161D9">
            <w:pPr>
              <w:pStyle w:val="ListBullet"/>
            </w:pPr>
            <w:r w:rsidRPr="004161D9">
              <w:t>cause/effect diagrams</w:t>
            </w:r>
          </w:p>
          <w:p w:rsidR="00000000" w:rsidRPr="004161D9" w:rsidP="004161D9">
            <w:pPr>
              <w:pStyle w:val="ListBullet"/>
            </w:pPr>
            <w:r w:rsidRPr="004161D9">
              <w:t>overall equipment effectiveness (OEE)</w:t>
            </w:r>
          </w:p>
          <w:p w:rsidR="00000000" w:rsidRPr="004161D9" w:rsidP="004161D9">
            <w:pPr>
              <w:pStyle w:val="ListBullet"/>
            </w:pPr>
            <w:r w:rsidRPr="004161D9">
              <w:t>takt time</w:t>
            </w:r>
          </w:p>
          <w:p w:rsidR="00000000" w:rsidRPr="004161D9" w:rsidP="004161D9">
            <w:pPr>
              <w:pStyle w:val="ListBullet"/>
            </w:pPr>
            <w:r w:rsidRPr="004161D9">
              <w:t>process mapping</w:t>
            </w:r>
          </w:p>
          <w:p w:rsidR="00000000" w:rsidRPr="004161D9" w:rsidP="004161D9">
            <w:pPr>
              <w:pStyle w:val="ListBullet"/>
            </w:pPr>
            <w:r w:rsidRPr="004161D9">
              <w:t xml:space="preserve">problem solving </w:t>
            </w:r>
          </w:p>
          <w:p w:rsidR="00000000" w:rsidRPr="004161D9" w:rsidP="004161D9">
            <w:pPr>
              <w:pStyle w:val="ListBullet"/>
            </w:pPr>
            <w:r w:rsidRPr="004161D9">
              <w:t>run charts</w:t>
            </w:r>
          </w:p>
          <w:p w:rsidR="00000000" w:rsidRPr="004161D9" w:rsidP="004161D9">
            <w:pPr>
              <w:pStyle w:val="ListBullet"/>
            </w:pPr>
            <w:r w:rsidRPr="004161D9">
              <w:t>standard procedures</w:t>
            </w:r>
          </w:p>
          <w:p w:rsidR="00000000" w:rsidRPr="004161D9" w:rsidP="004161D9">
            <w:pPr>
              <w:pStyle w:val="ListBullet"/>
            </w:pPr>
            <w:r w:rsidRPr="004161D9">
              <w:t>current reality tree</w:t>
            </w:r>
          </w:p>
          <w:p w:rsidR="00000000" w:rsidRPr="004161D9" w:rsidP="004161D9">
            <w:pPr>
              <w:pStyle w:val="BodyText"/>
            </w:pPr>
            <w:r w:rsidRPr="004161D9">
              <w:t>Competitive systems and practices should be interpreted so as to take into account:</w:t>
            </w:r>
          </w:p>
          <w:p w:rsidR="00000000" w:rsidRPr="004161D9" w:rsidP="004161D9">
            <w:pPr>
              <w:pStyle w:val="ListBullet"/>
            </w:pPr>
            <w:r w:rsidRPr="004161D9">
              <w:t>the stage of implementation of competitive systems and practices</w:t>
            </w:r>
          </w:p>
          <w:p w:rsidR="00000000" w:rsidRPr="004161D9" w:rsidP="004161D9">
            <w:pPr>
              <w:pStyle w:val="ListBullet"/>
            </w:pPr>
            <w:r w:rsidRPr="004161D9">
              <w:t>the size of the enterprise</w:t>
            </w:r>
          </w:p>
          <w:p w:rsidR="00000000" w:rsidP="004161D9">
            <w:pPr>
              <w:pStyle w:val="ListBullet"/>
              <w:rPr>
                <w:lang w:val="en-NZ"/>
              </w:rPr>
            </w:pPr>
            <w:r w:rsidRPr="004161D9">
              <w:t>the work o</w:t>
            </w:r>
            <w:r w:rsidRPr="004161D9">
              <w:t>rganisation, culture, regulatory environment and the industry sector</w:t>
            </w:r>
          </w:p>
        </w:tc>
      </w:tr>
      <w:tr w:rsidTr="004161D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1D9">
            <w:pPr>
              <w:pStyle w:val="BodyText"/>
              <w:rPr>
                <w:lang w:val="en-NZ"/>
              </w:rPr>
            </w:pPr>
            <w:r w:rsidRPr="004161D9">
              <w:rPr>
                <w:rStyle w:val="SpecialBold"/>
              </w:rPr>
              <w:t>Stock keeping unit (SKU)</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1D9" w:rsidP="004161D9">
            <w:pPr>
              <w:pStyle w:val="BodyText"/>
            </w:pPr>
            <w:r w:rsidRPr="004161D9">
              <w:t xml:space="preserve">SKUs are products or services that have a unique identifier in an organisation’s inventory system. They may relate to items that are </w:t>
            </w:r>
            <w:r w:rsidRPr="004161D9">
              <w:t>either purchased, offered for sale, or manufactured/conducted internally and which needs to be tracked. An SKU will usually be a physical product but may include:</w:t>
            </w:r>
          </w:p>
          <w:p w:rsidR="00000000" w:rsidP="004161D9">
            <w:pPr>
              <w:pStyle w:val="ListBullet"/>
              <w:rPr>
                <w:lang w:val="en-NZ"/>
              </w:rPr>
            </w:pPr>
            <w:r w:rsidRPr="004161D9">
              <w:t xml:space="preserve">countable services/events (e.g. time slots available for service calls charged by the hour, </w:t>
            </w:r>
            <w:r w:rsidRPr="004161D9">
              <w:t>insurance claims)</w:t>
            </w:r>
          </w:p>
        </w:tc>
      </w:tr>
      <w:tr w:rsidTr="004161D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1D9">
            <w:pPr>
              <w:pStyle w:val="BodyText"/>
              <w:rPr>
                <w:lang w:val="en-NZ"/>
              </w:rPr>
            </w:pPr>
            <w:r w:rsidRPr="004161D9">
              <w:rPr>
                <w:rStyle w:val="SpecialBold"/>
              </w:rPr>
              <w:t>Relevant metric</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1D9" w:rsidP="004161D9">
            <w:pPr>
              <w:pStyle w:val="BodyText"/>
            </w:pPr>
            <w:r w:rsidRPr="004161D9">
              <w:t>Relevant metric is the metric on which the analysis will be based. For a Glenday Sieve this will be sales volume. However, other appropriate metrics may include:</w:t>
            </w:r>
          </w:p>
          <w:p w:rsidR="00000000" w:rsidRPr="004161D9" w:rsidP="004161D9">
            <w:pPr>
              <w:pStyle w:val="ListBullet"/>
            </w:pPr>
            <w:r w:rsidRPr="004161D9">
              <w:t>profit</w:t>
            </w:r>
          </w:p>
          <w:p w:rsidR="00000000" w:rsidRPr="004161D9" w:rsidP="004161D9">
            <w:pPr>
              <w:pStyle w:val="ListBullet"/>
            </w:pPr>
            <w:r w:rsidRPr="004161D9">
              <w:t>profitability</w:t>
            </w:r>
          </w:p>
          <w:p w:rsidR="00000000" w:rsidP="004161D9">
            <w:pPr>
              <w:pStyle w:val="ListBullet"/>
              <w:rPr>
                <w:lang w:val="en-NZ"/>
              </w:rPr>
            </w:pPr>
            <w:r w:rsidRPr="004161D9">
              <w:t>sales/profit growth</w:t>
            </w:r>
          </w:p>
        </w:tc>
      </w:tr>
      <w:tr w:rsidTr="004161D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1D9">
            <w:pPr>
              <w:pStyle w:val="BodyText"/>
              <w:rPr>
                <w:lang w:val="en-NZ"/>
              </w:rPr>
            </w:pPr>
            <w:r w:rsidRPr="004161D9">
              <w:rPr>
                <w:rStyle w:val="SpecialBold"/>
              </w:rPr>
              <w:t>Time basis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1D9">
            <w:pPr>
              <w:pStyle w:val="BodyText"/>
              <w:rPr>
                <w:lang w:val="en-NZ"/>
              </w:rPr>
            </w:pPr>
            <w:r w:rsidRPr="004161D9">
              <w:t>The t</w:t>
            </w:r>
            <w:r w:rsidRPr="004161D9">
              <w:t>ime basis is the period of time over which the metric is considered. For a Glenday Sieve this will be one year. However, other periods may be appropriate, particularly in a cyclical/seasonal business and longer/shorter periods may yield better results</w:t>
            </w:r>
          </w:p>
        </w:tc>
      </w:tr>
      <w:tr w:rsidTr="004161D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1D9">
            <w:pPr>
              <w:pStyle w:val="BodyText"/>
              <w:rPr>
                <w:lang w:val="en-NZ"/>
              </w:rPr>
            </w:pPr>
            <w:r w:rsidRPr="004161D9">
              <w:rPr>
                <w:rStyle w:val="SpecialBold"/>
              </w:rPr>
              <w:t>Ana</w:t>
            </w:r>
            <w:r w:rsidRPr="004161D9">
              <w:rPr>
                <w:rStyle w:val="SpecialBold"/>
              </w:rPr>
              <w:t>lysis tool</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1D9" w:rsidP="004161D9">
            <w:pPr>
              <w:pStyle w:val="BodyText"/>
            </w:pPr>
            <w:r w:rsidRPr="004161D9">
              <w:t>Analysis tool is the methodology used for grouping the SKUs and may include, but is not limited to:</w:t>
            </w:r>
          </w:p>
          <w:p w:rsidR="00000000" w:rsidRPr="004161D9" w:rsidP="004161D9">
            <w:pPr>
              <w:pStyle w:val="ListBullet"/>
            </w:pPr>
            <w:r w:rsidRPr="004161D9">
              <w:t>Glenday Sieve</w:t>
            </w:r>
          </w:p>
          <w:p w:rsidR="00000000" w:rsidRPr="004161D9" w:rsidP="004161D9">
            <w:pPr>
              <w:pStyle w:val="ListBullet"/>
            </w:pPr>
            <w:r w:rsidRPr="004161D9">
              <w:t>Pareto analysis</w:t>
            </w:r>
          </w:p>
          <w:p w:rsidR="00000000" w:rsidP="004161D9">
            <w:pPr>
              <w:pStyle w:val="ListBullet"/>
              <w:rPr>
                <w:lang w:val="en-NZ"/>
              </w:rPr>
            </w:pPr>
            <w:r w:rsidRPr="004161D9">
              <w:t>80:20 rule</w:t>
            </w:r>
          </w:p>
        </w:tc>
      </w:tr>
      <w:tr w:rsidTr="004161D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1D9">
            <w:pPr>
              <w:pStyle w:val="BodyText"/>
              <w:rPr>
                <w:lang w:val="en-NZ"/>
              </w:rPr>
            </w:pPr>
            <w:r w:rsidRPr="004161D9">
              <w:rPr>
                <w:rStyle w:val="SpecialBold"/>
              </w:rPr>
              <w:t>Sensitivity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1D9" w:rsidP="004161D9">
            <w:pPr>
              <w:pStyle w:val="BodyText"/>
            </w:pPr>
            <w:r w:rsidRPr="004161D9">
              <w:t>Sensitivity testing is:</w:t>
            </w:r>
          </w:p>
          <w:p w:rsidR="00000000" w:rsidP="004161D9">
            <w:pPr>
              <w:pStyle w:val="ListBullet"/>
              <w:rPr>
                <w:lang w:val="en-NZ"/>
              </w:rPr>
            </w:pPr>
            <w:r w:rsidRPr="004161D9">
              <w:t>repeating the analysis using either a different tool or a different metric/time basis and examining the change this makes to the groupings</w:t>
            </w:r>
          </w:p>
        </w:tc>
      </w:tr>
      <w:tr w:rsidTr="004161D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1D9">
            <w:pPr>
              <w:pStyle w:val="BodyText"/>
              <w:rPr>
                <w:lang w:val="en-NZ"/>
              </w:rPr>
            </w:pPr>
            <w:r w:rsidRPr="004161D9">
              <w:rPr>
                <w:rStyle w:val="SpecialBold"/>
              </w:rPr>
              <w:t>Strategic response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1D9" w:rsidP="004161D9">
            <w:pPr>
              <w:pStyle w:val="BodyText"/>
            </w:pPr>
            <w:r w:rsidRPr="004161D9">
              <w:t>The strategic response is the application to which this grouping is to be put. This may include:</w:t>
            </w:r>
          </w:p>
          <w:p w:rsidR="00000000" w:rsidRPr="004161D9" w:rsidP="004161D9">
            <w:pPr>
              <w:pStyle w:val="ListBullet"/>
            </w:pPr>
            <w:r w:rsidRPr="004161D9">
              <w:t>the levelling of production</w:t>
            </w:r>
          </w:p>
          <w:p w:rsidR="00000000" w:rsidRPr="004161D9" w:rsidP="004161D9">
            <w:pPr>
              <w:pStyle w:val="ListBullet"/>
            </w:pPr>
            <w:r w:rsidRPr="004161D9">
              <w:t>the creation of different virtual production processes</w:t>
            </w:r>
          </w:p>
          <w:p w:rsidR="00000000" w:rsidRPr="004161D9" w:rsidP="004161D9">
            <w:pPr>
              <w:pStyle w:val="ListBullet"/>
            </w:pPr>
            <w:r w:rsidRPr="004161D9">
              <w:t>the application of kaizen blitz to some groups</w:t>
            </w:r>
          </w:p>
          <w:p w:rsidR="00000000" w:rsidRPr="004161D9" w:rsidP="004161D9">
            <w:pPr>
              <w:pStyle w:val="ListBullet"/>
            </w:pPr>
            <w:r w:rsidRPr="004161D9">
              <w:t xml:space="preserve"> other relevant tool or strategy</w:t>
            </w:r>
          </w:p>
        </w:tc>
      </w:tr>
    </w:tbl>
    <w:p w:rsidR="00000000" w:rsidRPr="004161D9" w:rsidP="004161D9">
      <w:pPr>
        <w:pStyle w:val="BodyText"/>
      </w:pPr>
    </w:p>
    <w:p w:rsidR="00000000" w:rsidRPr="004161D9" w:rsidP="004161D9">
      <w:pPr>
        <w:pStyle w:val="AllowPageBreak"/>
      </w:pPr>
    </w:p>
    <w:p w:rsidR="00000000" w:rsidRPr="004161D9" w:rsidP="004161D9">
      <w:pPr>
        <w:pStyle w:val="Heading1"/>
      </w:pPr>
      <w:bookmarkStart w:id="12" w:name="O_466967"/>
      <w:bookmarkEnd w:id="12"/>
      <w:r w:rsidRPr="004161D9">
        <w:t>Unit Sector(s)</w:t>
      </w:r>
    </w:p>
    <w:tbl>
      <w:tblPr>
        <w:tblW w:w="9354" w:type="dxa"/>
        <w:tblLayout w:type="fixed"/>
        <w:tblCellMar>
          <w:left w:w="62" w:type="dxa"/>
          <w:right w:w="62" w:type="dxa"/>
        </w:tblCellMar>
        <w:tblLook w:val="0000"/>
      </w:tblPr>
      <w:tblGrid>
        <w:gridCol w:w="2592"/>
        <w:gridCol w:w="6762"/>
      </w:tblGrid>
      <w:tr w:rsidTr="004161D9">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4161D9">
            <w:pPr>
              <w:pStyle w:val="BodyText"/>
              <w:rPr>
                <w:lang w:val="en-NZ"/>
              </w:rPr>
            </w:pPr>
            <w:r w:rsidRPr="004161D9">
              <w:t>Unit sector</w:t>
            </w:r>
          </w:p>
        </w:tc>
        <w:tc>
          <w:tcPr>
            <w:tcW w:w="6762" w:type="dxa"/>
            <w:tcBorders>
              <w:top w:val="nil"/>
              <w:left w:val="nil"/>
              <w:bottom w:val="nil"/>
              <w:right w:val="nil"/>
            </w:tcBorders>
            <w:tcMar>
              <w:top w:w="0" w:type="dxa"/>
              <w:left w:w="62" w:type="dxa"/>
              <w:bottom w:w="0" w:type="dxa"/>
              <w:right w:w="62" w:type="dxa"/>
            </w:tcMar>
          </w:tcPr>
          <w:p w:rsidR="00000000" w:rsidRPr="004161D9" w:rsidP="004161D9">
            <w:pPr>
              <w:pStyle w:val="BodyText"/>
            </w:pPr>
            <w:r w:rsidRPr="004161D9">
              <w:t>Competitive systems and practices</w:t>
            </w:r>
          </w:p>
        </w:tc>
      </w:tr>
    </w:tbl>
    <w:p w:rsidR="00000000" w:rsidRPr="004161D9" w:rsidP="004161D9">
      <w:pPr>
        <w:pStyle w:val="BodyText"/>
      </w:pPr>
    </w:p>
    <w:p w:rsidR="00000000" w:rsidRPr="004161D9" w:rsidP="004161D9">
      <w:pPr>
        <w:pStyle w:val="AllowPageBreak"/>
      </w:pPr>
    </w:p>
    <w:p w:rsidR="00000000" w:rsidRPr="004161D9" w:rsidP="004161D9">
      <w:pPr>
        <w:pStyle w:val="Heading1"/>
      </w:pPr>
      <w:bookmarkStart w:id="13" w:name="O_466968"/>
      <w:bookmarkEnd w:id="13"/>
      <w:r w:rsidRPr="004161D9">
        <w:t>Custom Content Section</w:t>
      </w:r>
    </w:p>
    <w:p w:rsidR="00000000" w:rsidRPr="004161D9" w:rsidP="004161D9">
      <w:pPr>
        <w:pStyle w:val="BodyText"/>
      </w:pPr>
      <w:r w:rsidRPr="004161D9">
        <w:t>Not applicable.</w:t>
      </w:r>
    </w:p>
    <w:p w:rsidR="00000000" w:rsidRPr="004161D9" w:rsidP="004161D9"/>
    <w:sectPr w:rsidSect="004161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1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5E9C" w:rsidP="00055E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1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E9C" w:rsidP="004161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55E9C" w:rsidP="004161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55E9C" w:rsidP="004161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1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5E9C" w:rsidP="00055E9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1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E9C" w:rsidP="004161D9">
    <w:pPr>
      <w:pStyle w:val="Header"/>
      <w:framePr w:wrap="around"/>
    </w:pPr>
    <w:r>
      <w:fldChar w:fldCharType="begin"/>
    </w:r>
    <w:r>
      <w:instrText xml:space="preserve"> TITLE   \* MERGEFORMAT </w:instrText>
    </w:r>
    <w:r>
      <w:fldChar w:fldCharType="separate"/>
    </w:r>
    <w:r>
      <w:t>MSS403034A Organise products into groups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55E9C" w:rsidP="004161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1A61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98B4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1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61D9"/>
    <w:pPr>
      <w:spacing w:before="360" w:after="60"/>
      <w:outlineLvl w:val="0"/>
    </w:pPr>
    <w:rPr>
      <w:sz w:val="32"/>
    </w:rPr>
  </w:style>
  <w:style w:type="paragraph" w:styleId="Heading2">
    <w:name w:val="heading 2"/>
    <w:basedOn w:val="HeadingBase"/>
    <w:next w:val="BodyText"/>
    <w:link w:val="Heading2Char"/>
    <w:qFormat/>
    <w:rsid w:val="004161D9"/>
    <w:pPr>
      <w:keepLines/>
      <w:spacing w:before="240" w:after="120"/>
      <w:outlineLvl w:val="1"/>
    </w:pPr>
    <w:rPr>
      <w:sz w:val="28"/>
      <w:szCs w:val="40"/>
    </w:rPr>
  </w:style>
  <w:style w:type="paragraph" w:styleId="Heading3">
    <w:name w:val="heading 3"/>
    <w:basedOn w:val="HeadingBase"/>
    <w:next w:val="BodyText"/>
    <w:link w:val="Heading3Char"/>
    <w:qFormat/>
    <w:rsid w:val="004161D9"/>
    <w:pPr>
      <w:spacing w:before="180" w:after="120"/>
      <w:outlineLvl w:val="2"/>
    </w:pPr>
    <w:rPr>
      <w:spacing w:val="-10"/>
      <w:kern w:val="32"/>
    </w:rPr>
  </w:style>
  <w:style w:type="paragraph" w:styleId="Heading4">
    <w:name w:val="heading 4"/>
    <w:basedOn w:val="HeadingBase"/>
    <w:next w:val="BodyText"/>
    <w:link w:val="Heading4Char"/>
    <w:qFormat/>
    <w:rsid w:val="004161D9"/>
    <w:pPr>
      <w:spacing w:before="160" w:after="120"/>
      <w:outlineLvl w:val="3"/>
    </w:pPr>
    <w:rPr>
      <w:sz w:val="22"/>
    </w:rPr>
  </w:style>
  <w:style w:type="paragraph" w:styleId="Heading5">
    <w:name w:val="heading 5"/>
    <w:basedOn w:val="HeadingBase"/>
    <w:next w:val="Normal"/>
    <w:link w:val="Heading5Char"/>
    <w:qFormat/>
    <w:rsid w:val="004161D9"/>
    <w:pPr>
      <w:spacing w:before="80"/>
      <w:outlineLvl w:val="4"/>
    </w:pPr>
    <w:rPr>
      <w:color w:val="918585"/>
      <w:sz w:val="20"/>
    </w:rPr>
  </w:style>
  <w:style w:type="paragraph" w:styleId="Heading6">
    <w:name w:val="heading 6"/>
    <w:basedOn w:val="HeadingBase"/>
    <w:next w:val="Normal"/>
    <w:link w:val="Heading6Char"/>
    <w:qFormat/>
    <w:rsid w:val="004161D9"/>
    <w:pPr>
      <w:spacing w:before="60"/>
      <w:outlineLvl w:val="5"/>
    </w:pPr>
    <w:rPr>
      <w:color w:val="918585"/>
      <w:sz w:val="20"/>
    </w:rPr>
  </w:style>
  <w:style w:type="paragraph" w:styleId="Heading7">
    <w:name w:val="heading 7"/>
    <w:basedOn w:val="Normal"/>
    <w:next w:val="Normal"/>
    <w:link w:val="Heading7Char"/>
    <w:qFormat/>
    <w:rsid w:val="004161D9"/>
    <w:pPr>
      <w:ind w:left="720"/>
      <w:outlineLvl w:val="6"/>
    </w:pPr>
    <w:rPr>
      <w:i/>
    </w:rPr>
  </w:style>
  <w:style w:type="paragraph" w:styleId="Heading8">
    <w:name w:val="heading 8"/>
    <w:basedOn w:val="Normal"/>
    <w:next w:val="Normal"/>
    <w:link w:val="Heading8Char"/>
    <w:qFormat/>
    <w:rsid w:val="004161D9"/>
    <w:pPr>
      <w:ind w:left="720"/>
      <w:outlineLvl w:val="7"/>
    </w:pPr>
    <w:rPr>
      <w:i/>
    </w:rPr>
  </w:style>
  <w:style w:type="paragraph" w:styleId="Heading9">
    <w:name w:val="heading 9"/>
    <w:basedOn w:val="Normal"/>
    <w:next w:val="Normal"/>
    <w:link w:val="Heading9Char"/>
    <w:qFormat/>
    <w:rsid w:val="004161D9"/>
    <w:pPr>
      <w:ind w:left="720"/>
      <w:outlineLvl w:val="8"/>
    </w:pPr>
    <w:rPr>
      <w:i/>
    </w:rPr>
  </w:style>
  <w:style w:type="character" w:default="1" w:styleId="DefaultParagraphFont">
    <w:name w:val="Default Paragraph Font"/>
    <w:uiPriority w:val="1"/>
    <w:unhideWhenUsed/>
    <w:rsid w:val="004161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61D9"/>
  </w:style>
  <w:style w:type="character" w:customStyle="1" w:styleId="Heading1Char">
    <w:name w:val="Heading 1 Char"/>
    <w:link w:val="Heading1"/>
    <w:rsid w:val="004161D9"/>
    <w:rPr>
      <w:rFonts w:ascii="Times New Roman" w:eastAsia="Times New Roman" w:hAnsi="Times New Roman" w:cs="Times New Roman"/>
      <w:b/>
      <w:sz w:val="32"/>
      <w:szCs w:val="20"/>
      <w:lang w:eastAsia="en-US"/>
    </w:rPr>
  </w:style>
  <w:style w:type="paragraph" w:styleId="BodyText">
    <w:name w:val="Body Text"/>
    <w:basedOn w:val="Normal"/>
    <w:link w:val="BodyTextChar"/>
    <w:rsid w:val="004161D9"/>
    <w:pPr>
      <w:spacing w:before="120" w:after="120"/>
      <w:contextualSpacing/>
    </w:pPr>
    <w:rPr>
      <w:rFonts w:ascii="Times New Roman" w:hAnsi="Times New Roman"/>
      <w:sz w:val="24"/>
      <w:szCs w:val="22"/>
    </w:rPr>
  </w:style>
  <w:style w:type="character" w:customStyle="1" w:styleId="BodyTextChar">
    <w:name w:val="Body Text Char"/>
    <w:link w:val="BodyText"/>
    <w:rsid w:val="004161D9"/>
    <w:rPr>
      <w:rFonts w:ascii="Times New Roman" w:eastAsia="Times New Roman" w:hAnsi="Times New Roman" w:cs="Times New Roman"/>
      <w:sz w:val="24"/>
      <w:lang w:val="en-US" w:eastAsia="en-US"/>
    </w:rPr>
  </w:style>
  <w:style w:type="paragraph" w:styleId="Footer">
    <w:name w:val="footer"/>
    <w:basedOn w:val="Normal"/>
    <w:link w:val="FooterChar"/>
    <w:rsid w:val="004161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161D9"/>
    <w:rPr>
      <w:rFonts w:ascii="Times New Roman" w:eastAsia="Times New Roman" w:hAnsi="Times New Roman" w:cs="Times New Roman"/>
      <w:sz w:val="16"/>
      <w:lang w:val="en-US" w:eastAsia="en-US"/>
    </w:rPr>
  </w:style>
  <w:style w:type="paragraph" w:styleId="ListBullet">
    <w:name w:val="List Bullet"/>
    <w:basedOn w:val="List"/>
    <w:rsid w:val="004161D9"/>
    <w:pPr>
      <w:numPr>
        <w:numId w:val="12"/>
      </w:numPr>
      <w:tabs>
        <w:tab w:val="clear" w:pos="340"/>
      </w:tabs>
      <w:spacing w:before="40" w:after="40"/>
    </w:pPr>
  </w:style>
  <w:style w:type="character" w:customStyle="1" w:styleId="SpecialBold">
    <w:name w:val="Special Bold"/>
    <w:rsid w:val="004161D9"/>
    <w:rPr>
      <w:b/>
      <w:spacing w:val="0"/>
    </w:rPr>
  </w:style>
  <w:style w:type="paragraph" w:styleId="Header">
    <w:name w:val="header"/>
    <w:basedOn w:val="Normal"/>
    <w:link w:val="HeaderChar"/>
    <w:rsid w:val="004161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161D9"/>
    <w:rPr>
      <w:rFonts w:ascii="Times New Roman" w:eastAsia="Times New Roman" w:hAnsi="Times New Roman" w:cs="Times New Roman"/>
      <w:sz w:val="16"/>
      <w:szCs w:val="20"/>
      <w:lang w:val="en-GB" w:eastAsia="en-US"/>
    </w:rPr>
  </w:style>
  <w:style w:type="character" w:styleId="Emphasis">
    <w:name w:val="Emphasis"/>
    <w:qFormat/>
    <w:rsid w:val="004161D9"/>
    <w:rPr>
      <w:i/>
    </w:rPr>
  </w:style>
  <w:style w:type="paragraph" w:customStyle="1" w:styleId="SuperHeading">
    <w:name w:val="SuperHeading"/>
    <w:basedOn w:val="Normal"/>
    <w:rsid w:val="004161D9"/>
    <w:pPr>
      <w:spacing w:before="240" w:after="120"/>
      <w:outlineLvl w:val="0"/>
    </w:pPr>
    <w:rPr>
      <w:rFonts w:ascii="Times New Roman" w:hAnsi="Times New Roman"/>
      <w:b/>
      <w:sz w:val="28"/>
    </w:rPr>
  </w:style>
  <w:style w:type="paragraph" w:customStyle="1" w:styleId="AllowPageBreak">
    <w:name w:val="AllowPageBreak"/>
    <w:rsid w:val="004161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161D9"/>
    <w:rPr>
      <w:rFonts w:ascii="Times New Roman" w:eastAsia="Times New Roman" w:hAnsi="Times New Roman" w:cs="Times New Roman"/>
      <w:b/>
      <w:sz w:val="28"/>
      <w:szCs w:val="40"/>
      <w:lang w:eastAsia="en-US"/>
    </w:rPr>
  </w:style>
  <w:style w:type="character" w:customStyle="1" w:styleId="Heading3Char">
    <w:name w:val="Heading 3 Char"/>
    <w:link w:val="Heading3"/>
    <w:rsid w:val="004161D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161D9"/>
    <w:rPr>
      <w:rFonts w:ascii="Times New Roman" w:eastAsia="Times New Roman" w:hAnsi="Times New Roman" w:cs="Times New Roman"/>
      <w:b/>
      <w:szCs w:val="20"/>
      <w:lang w:eastAsia="en-US"/>
    </w:rPr>
  </w:style>
  <w:style w:type="character" w:customStyle="1" w:styleId="Heading5Char">
    <w:name w:val="Heading 5 Char"/>
    <w:link w:val="Heading5"/>
    <w:rsid w:val="004161D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161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61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61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61D9"/>
    <w:rPr>
      <w:rFonts w:ascii="Courier New" w:eastAsia="Times New Roman" w:hAnsi="Courier New" w:cs="Times New Roman"/>
      <w:i/>
      <w:szCs w:val="20"/>
      <w:lang w:val="en-US" w:eastAsia="en-US"/>
    </w:rPr>
  </w:style>
  <w:style w:type="paragraph" w:customStyle="1" w:styleId="HeadingBase">
    <w:name w:val="Heading Base"/>
    <w:rsid w:val="004161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61D9"/>
    <w:pPr>
      <w:tabs>
        <w:tab w:val="right" w:leader="dot" w:pos="9072"/>
      </w:tabs>
      <w:ind w:left="567"/>
    </w:pPr>
    <w:rPr>
      <w:szCs w:val="22"/>
    </w:rPr>
  </w:style>
  <w:style w:type="paragraph" w:customStyle="1" w:styleId="TOCBase">
    <w:name w:val="TOC Base"/>
    <w:rsid w:val="004161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61D9"/>
    <w:pPr>
      <w:tabs>
        <w:tab w:val="right" w:leader="dot" w:pos="9072"/>
      </w:tabs>
      <w:spacing w:before="40" w:after="40"/>
      <w:ind w:left="284"/>
    </w:pPr>
    <w:rPr>
      <w:rFonts w:ascii="Times New Roman" w:hAnsi="Times New Roman"/>
    </w:rPr>
  </w:style>
  <w:style w:type="paragraph" w:styleId="TOC1">
    <w:name w:val="toc 1"/>
    <w:basedOn w:val="TOCBase"/>
    <w:next w:val="Normal"/>
    <w:rsid w:val="004161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61D9"/>
    <w:pPr>
      <w:spacing w:before="5040"/>
      <w:jc w:val="center"/>
    </w:pPr>
    <w:rPr>
      <w:sz w:val="48"/>
      <w:szCs w:val="72"/>
      <w:lang w:val="en-US"/>
    </w:rPr>
  </w:style>
  <w:style w:type="character" w:customStyle="1" w:styleId="TitleChar">
    <w:name w:val="Title Char"/>
    <w:link w:val="Title"/>
    <w:rsid w:val="004161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61D9"/>
    <w:pPr>
      <w:tabs>
        <w:tab w:val="left" w:pos="3600"/>
        <w:tab w:val="left" w:pos="3958"/>
      </w:tabs>
    </w:pPr>
  </w:style>
  <w:style w:type="paragraph" w:styleId="List">
    <w:name w:val="List"/>
    <w:basedOn w:val="BodyText"/>
    <w:next w:val="BodyText"/>
    <w:rsid w:val="004161D9"/>
    <w:pPr>
      <w:tabs>
        <w:tab w:val="left" w:pos="340"/>
      </w:tabs>
      <w:spacing w:before="60" w:after="60"/>
      <w:ind w:left="340" w:hanging="340"/>
    </w:pPr>
  </w:style>
  <w:style w:type="paragraph" w:customStyle="1" w:styleId="Note">
    <w:name w:val="Note"/>
    <w:basedOn w:val="BodyText"/>
    <w:rsid w:val="004161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61D9"/>
    <w:pPr>
      <w:framePr w:wrap="auto" w:hAnchor="text" w:y="6049"/>
    </w:pPr>
    <w:rPr>
      <w:color w:val="000000"/>
      <w:sz w:val="40"/>
    </w:rPr>
  </w:style>
  <w:style w:type="paragraph" w:customStyle="1" w:styleId="TOCTitle">
    <w:name w:val="TOCTitle"/>
    <w:basedOn w:val="Heading1"/>
    <w:rsid w:val="004161D9"/>
    <w:pPr>
      <w:spacing w:after="240"/>
      <w:jc w:val="center"/>
      <w:outlineLvl w:val="9"/>
    </w:pPr>
    <w:rPr>
      <w:caps/>
    </w:rPr>
  </w:style>
  <w:style w:type="paragraph" w:customStyle="1" w:styleId="Version">
    <w:name w:val="Version"/>
    <w:rsid w:val="004161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61D9"/>
    <w:pPr>
      <w:numPr>
        <w:numId w:val="13"/>
      </w:numPr>
      <w:tabs>
        <w:tab w:val="clear" w:pos="680"/>
      </w:tabs>
    </w:pPr>
  </w:style>
  <w:style w:type="paragraph" w:styleId="Index1">
    <w:name w:val="index 1"/>
    <w:basedOn w:val="Normal"/>
    <w:next w:val="Normal"/>
    <w:semiHidden/>
    <w:rsid w:val="004161D9"/>
    <w:pPr>
      <w:keepNext w:val="0"/>
      <w:tabs>
        <w:tab w:val="right" w:pos="4176"/>
      </w:tabs>
      <w:ind w:left="198" w:hanging="198"/>
    </w:pPr>
    <w:rPr>
      <w:rFonts w:ascii="Garamond" w:hAnsi="Garamond"/>
    </w:rPr>
  </w:style>
  <w:style w:type="paragraph" w:styleId="IndexHeading">
    <w:name w:val="index heading"/>
    <w:basedOn w:val="Normal"/>
    <w:next w:val="Index1"/>
    <w:semiHidden/>
    <w:rsid w:val="004161D9"/>
    <w:pPr>
      <w:spacing w:before="120" w:after="120"/>
    </w:pPr>
    <w:rPr>
      <w:rFonts w:ascii="Arial" w:hAnsi="Arial"/>
      <w:b/>
      <w:color w:val="918585"/>
      <w:sz w:val="24"/>
    </w:rPr>
  </w:style>
  <w:style w:type="paragraph" w:customStyle="1" w:styleId="Chapter">
    <w:name w:val="Chapter"/>
    <w:basedOn w:val="Normal"/>
    <w:rsid w:val="004161D9"/>
    <w:pPr>
      <w:spacing w:before="240"/>
    </w:pPr>
    <w:rPr>
      <w:rFonts w:ascii="Times New Roman" w:hAnsi="Times New Roman"/>
      <w:smallCaps/>
      <w:spacing w:val="80"/>
      <w:sz w:val="28"/>
    </w:rPr>
  </w:style>
  <w:style w:type="paragraph" w:customStyle="1" w:styleId="InChapter">
    <w:name w:val="InChapter"/>
    <w:basedOn w:val="Heading3"/>
    <w:rsid w:val="004161D9"/>
    <w:pPr>
      <w:spacing w:after="240"/>
      <w:outlineLvl w:val="9"/>
    </w:pPr>
    <w:rPr>
      <w:noProof/>
    </w:rPr>
  </w:style>
  <w:style w:type="paragraph" w:styleId="Index2">
    <w:name w:val="index 2"/>
    <w:basedOn w:val="Normal"/>
    <w:next w:val="Normal"/>
    <w:semiHidden/>
    <w:rsid w:val="004161D9"/>
    <w:pPr>
      <w:tabs>
        <w:tab w:val="right" w:pos="4176"/>
      </w:tabs>
      <w:ind w:left="568" w:hanging="284"/>
    </w:pPr>
    <w:rPr>
      <w:rFonts w:ascii="Garamond" w:hAnsi="Garamond"/>
    </w:rPr>
  </w:style>
  <w:style w:type="paragraph" w:customStyle="1" w:styleId="Byline">
    <w:name w:val="Byline"/>
    <w:rsid w:val="004161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61D9"/>
    <w:pPr>
      <w:tabs>
        <w:tab w:val="clear" w:pos="3600"/>
        <w:tab w:val="clear" w:pos="3958"/>
      </w:tabs>
      <w:jc w:val="right"/>
    </w:pPr>
  </w:style>
  <w:style w:type="paragraph" w:styleId="Caption">
    <w:name w:val="caption"/>
    <w:basedOn w:val="BodyText"/>
    <w:next w:val="Normal"/>
    <w:qFormat/>
    <w:rsid w:val="004161D9"/>
    <w:pPr>
      <w:framePr w:w="2268" w:hSpace="181" w:vSpace="181" w:wrap="around" w:vAnchor="text" w:hAnchor="page" w:x="1135" w:y="285" w:anchorLock="1"/>
    </w:pPr>
    <w:rPr>
      <w:i/>
    </w:rPr>
  </w:style>
  <w:style w:type="paragraph" w:customStyle="1" w:styleId="MiniTOCTitle">
    <w:name w:val="MiniTOCTitle"/>
    <w:basedOn w:val="Heading4"/>
    <w:rsid w:val="004161D9"/>
    <w:pPr>
      <w:spacing w:before="240"/>
      <w:outlineLvl w:val="9"/>
    </w:pPr>
    <w:rPr>
      <w:noProof/>
      <w:sz w:val="24"/>
    </w:rPr>
  </w:style>
  <w:style w:type="paragraph" w:customStyle="1" w:styleId="MiniTOCItem">
    <w:name w:val="MiniTOCItem"/>
    <w:basedOn w:val="ListBullet"/>
    <w:rsid w:val="004161D9"/>
    <w:pPr>
      <w:numPr>
        <w:numId w:val="0"/>
      </w:numPr>
      <w:tabs>
        <w:tab w:val="right" w:leader="dot" w:pos="6521"/>
      </w:tabs>
      <w:spacing w:before="0" w:after="0"/>
    </w:pPr>
  </w:style>
  <w:style w:type="paragraph" w:customStyle="1" w:styleId="TOFTitle">
    <w:name w:val="TOFTitle"/>
    <w:basedOn w:val="TOCTitle"/>
    <w:rsid w:val="004161D9"/>
  </w:style>
  <w:style w:type="paragraph" w:styleId="TableofFigures">
    <w:name w:val="table of figures"/>
    <w:basedOn w:val="Normal"/>
    <w:next w:val="Normal"/>
    <w:semiHidden/>
    <w:rsid w:val="004161D9"/>
    <w:pPr>
      <w:tabs>
        <w:tab w:val="right" w:leader="dot" w:pos="9072"/>
      </w:tabs>
      <w:ind w:left="970" w:hanging="403"/>
    </w:pPr>
    <w:rPr>
      <w:rFonts w:ascii="Times New Roman" w:hAnsi="Times New Roman"/>
      <w:b/>
    </w:rPr>
  </w:style>
  <w:style w:type="paragraph" w:styleId="ListNumber">
    <w:name w:val="List Number"/>
    <w:basedOn w:val="List"/>
    <w:rsid w:val="004161D9"/>
    <w:pPr>
      <w:numPr>
        <w:numId w:val="10"/>
      </w:numPr>
    </w:pPr>
  </w:style>
  <w:style w:type="character" w:customStyle="1" w:styleId="WingdingSymbols">
    <w:name w:val="Wingding Symbols"/>
    <w:rsid w:val="004161D9"/>
    <w:rPr>
      <w:rFonts w:ascii="Wingdings" w:hAnsi="Wingdings"/>
    </w:rPr>
  </w:style>
  <w:style w:type="paragraph" w:customStyle="1" w:styleId="TableHeading">
    <w:name w:val="Table Heading"/>
    <w:basedOn w:val="HeadingBase"/>
    <w:rsid w:val="004161D9"/>
    <w:pPr>
      <w:keepLines/>
      <w:pBdr>
        <w:bottom w:val="single" w:sz="6" w:space="1" w:color="918585"/>
      </w:pBdr>
      <w:spacing w:before="240"/>
    </w:pPr>
  </w:style>
  <w:style w:type="character" w:customStyle="1" w:styleId="HotSpot">
    <w:name w:val="HotSpot"/>
    <w:rsid w:val="004161D9"/>
    <w:rPr>
      <w:color w:val="0033CC"/>
      <w:u w:val="none"/>
    </w:rPr>
  </w:style>
  <w:style w:type="paragraph" w:customStyle="1" w:styleId="BodyTextRight">
    <w:name w:val="Body Text Right"/>
    <w:basedOn w:val="BodyText"/>
    <w:rsid w:val="004161D9"/>
    <w:pPr>
      <w:spacing w:before="0" w:after="0"/>
      <w:jc w:val="right"/>
    </w:pPr>
  </w:style>
  <w:style w:type="paragraph" w:styleId="Index3">
    <w:name w:val="index 3"/>
    <w:basedOn w:val="ListNumber2"/>
    <w:next w:val="Normal"/>
    <w:semiHidden/>
    <w:rsid w:val="004161D9"/>
    <w:pPr>
      <w:numPr>
        <w:numId w:val="0"/>
      </w:numPr>
      <w:tabs>
        <w:tab w:val="right" w:leader="dot" w:pos="4176"/>
      </w:tabs>
    </w:pPr>
  </w:style>
  <w:style w:type="paragraph" w:styleId="ListNumber2">
    <w:name w:val="List Number 2"/>
    <w:basedOn w:val="List2"/>
    <w:rsid w:val="004161D9"/>
    <w:pPr>
      <w:numPr>
        <w:numId w:val="9"/>
      </w:numPr>
      <w:tabs>
        <w:tab w:val="clear" w:pos="1060"/>
      </w:tabs>
    </w:pPr>
  </w:style>
  <w:style w:type="paragraph" w:customStyle="1" w:styleId="MarginNote">
    <w:name w:val="Margin Note"/>
    <w:basedOn w:val="BodyText"/>
    <w:rsid w:val="004161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61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161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61D9"/>
    <w:rPr>
      <w:sz w:val="32"/>
    </w:rPr>
  </w:style>
  <w:style w:type="paragraph" w:customStyle="1" w:styleId="HeadingProcedure">
    <w:name w:val="Heading Procedure"/>
    <w:basedOn w:val="HeadingBase"/>
    <w:next w:val="Normal"/>
    <w:rsid w:val="004161D9"/>
    <w:pPr>
      <w:tabs>
        <w:tab w:val="left" w:pos="0"/>
      </w:tabs>
      <w:spacing w:before="120" w:after="60"/>
    </w:pPr>
    <w:rPr>
      <w:i/>
      <w:color w:val="918585"/>
      <w:sz w:val="22"/>
    </w:rPr>
  </w:style>
  <w:style w:type="paragraph" w:customStyle="1" w:styleId="TableBodyText">
    <w:name w:val="Table Body Text"/>
    <w:basedOn w:val="BodyText"/>
    <w:rsid w:val="004161D9"/>
    <w:pPr>
      <w:spacing w:before="60" w:after="60"/>
    </w:pPr>
  </w:style>
  <w:style w:type="paragraph" w:styleId="ListContinue">
    <w:name w:val="List Continue"/>
    <w:basedOn w:val="List"/>
    <w:rsid w:val="004161D9"/>
    <w:pPr>
      <w:ind w:firstLine="0"/>
    </w:pPr>
  </w:style>
  <w:style w:type="paragraph" w:customStyle="1" w:styleId="ListNote">
    <w:name w:val="List Note"/>
    <w:basedOn w:val="List"/>
    <w:rsid w:val="004161D9"/>
    <w:pPr>
      <w:pBdr>
        <w:top w:val="single" w:sz="6" w:space="2" w:color="918585"/>
        <w:bottom w:val="single" w:sz="6" w:space="2" w:color="918585"/>
      </w:pBdr>
      <w:tabs>
        <w:tab w:val="left" w:pos="1021"/>
      </w:tabs>
      <w:ind w:firstLine="0"/>
    </w:pPr>
  </w:style>
  <w:style w:type="paragraph" w:customStyle="1" w:styleId="Warning">
    <w:name w:val="Warning"/>
    <w:basedOn w:val="BodyText"/>
    <w:rsid w:val="004161D9"/>
    <w:pPr>
      <w:shd w:val="clear" w:color="auto" w:fill="D9D9D9"/>
      <w:tabs>
        <w:tab w:val="left" w:pos="992"/>
      </w:tabs>
      <w:ind w:left="119" w:right="119"/>
    </w:pPr>
    <w:rPr>
      <w:sz w:val="20"/>
    </w:rPr>
  </w:style>
  <w:style w:type="paragraph" w:customStyle="1" w:styleId="MarginIcons">
    <w:name w:val="Margin Icons"/>
    <w:basedOn w:val="BodyText"/>
    <w:rsid w:val="004161D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161D9"/>
    <w:rPr>
      <w:rFonts w:ascii="Courier New" w:hAnsi="Courier New"/>
    </w:rPr>
  </w:style>
  <w:style w:type="paragraph" w:customStyle="1" w:styleId="NoteBullet">
    <w:name w:val="Note Bullet"/>
    <w:basedOn w:val="Note"/>
    <w:rsid w:val="004161D9"/>
    <w:pPr>
      <w:tabs>
        <w:tab w:val="clear" w:pos="680"/>
      </w:tabs>
      <w:spacing w:before="60" w:after="60"/>
    </w:pPr>
  </w:style>
  <w:style w:type="paragraph" w:customStyle="1" w:styleId="SubHeading2">
    <w:name w:val="SubHeading2"/>
    <w:basedOn w:val="HeadingBase"/>
    <w:rsid w:val="004161D9"/>
    <w:pPr>
      <w:spacing w:before="240" w:after="60"/>
    </w:pPr>
    <w:rPr>
      <w:sz w:val="20"/>
    </w:rPr>
  </w:style>
  <w:style w:type="paragraph" w:customStyle="1" w:styleId="SubHeading1">
    <w:name w:val="SubHeading1"/>
    <w:basedOn w:val="HeadingBase"/>
    <w:rsid w:val="004161D9"/>
    <w:pPr>
      <w:spacing w:before="240" w:after="60"/>
    </w:pPr>
    <w:rPr>
      <w:color w:val="918585"/>
      <w:sz w:val="22"/>
    </w:rPr>
  </w:style>
  <w:style w:type="paragraph" w:customStyle="1" w:styleId="SideHeading">
    <w:name w:val="Side Heading"/>
    <w:basedOn w:val="HeadingBase"/>
    <w:rsid w:val="004161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61D9"/>
    <w:pPr>
      <w:tabs>
        <w:tab w:val="num" w:pos="360"/>
      </w:tabs>
    </w:pPr>
  </w:style>
  <w:style w:type="paragraph" w:styleId="PlainText">
    <w:name w:val="Plain Text"/>
    <w:basedOn w:val="Normal"/>
    <w:link w:val="PlainTextChar"/>
    <w:rsid w:val="004161D9"/>
    <w:rPr>
      <w:sz w:val="20"/>
    </w:rPr>
  </w:style>
  <w:style w:type="character" w:customStyle="1" w:styleId="PlainTextChar">
    <w:name w:val="Plain Text Char"/>
    <w:basedOn w:val="DefaultParagraphFont"/>
    <w:link w:val="PlainText"/>
    <w:rsid w:val="004161D9"/>
    <w:rPr>
      <w:rFonts w:ascii="Courier New" w:eastAsia="Times New Roman" w:hAnsi="Courier New" w:cs="Times New Roman"/>
      <w:sz w:val="20"/>
      <w:szCs w:val="20"/>
      <w:lang w:val="en-US" w:eastAsia="en-US"/>
    </w:rPr>
  </w:style>
  <w:style w:type="character" w:customStyle="1" w:styleId="MenuOption">
    <w:name w:val="Menu Option"/>
    <w:rsid w:val="004161D9"/>
    <w:rPr>
      <w:b/>
      <w:smallCaps/>
    </w:rPr>
  </w:style>
  <w:style w:type="paragraph" w:customStyle="1" w:styleId="TableListNumber">
    <w:name w:val="Table List Number"/>
    <w:basedOn w:val="ListNumber"/>
    <w:rsid w:val="004161D9"/>
    <w:pPr>
      <w:numPr>
        <w:numId w:val="0"/>
      </w:numPr>
    </w:pPr>
  </w:style>
  <w:style w:type="paragraph" w:styleId="TOC4">
    <w:name w:val="toc 4"/>
    <w:basedOn w:val="TOCBase"/>
    <w:next w:val="Normal"/>
    <w:semiHidden/>
    <w:rsid w:val="004161D9"/>
    <w:pPr>
      <w:tabs>
        <w:tab w:val="right" w:leader="dot" w:pos="9071"/>
      </w:tabs>
      <w:ind w:left="1701"/>
    </w:pPr>
  </w:style>
  <w:style w:type="paragraph" w:customStyle="1" w:styleId="ListAlpha">
    <w:name w:val="List Alpha"/>
    <w:basedOn w:val="List"/>
    <w:rsid w:val="004161D9"/>
    <w:pPr>
      <w:numPr>
        <w:numId w:val="8"/>
      </w:numPr>
    </w:pPr>
  </w:style>
  <w:style w:type="paragraph" w:customStyle="1" w:styleId="ListAlpha2">
    <w:name w:val="List Alpha 2"/>
    <w:basedOn w:val="List2"/>
    <w:rsid w:val="004161D9"/>
    <w:pPr>
      <w:numPr>
        <w:numId w:val="7"/>
      </w:numPr>
    </w:pPr>
  </w:style>
  <w:style w:type="paragraph" w:styleId="List2">
    <w:name w:val="List 2"/>
    <w:basedOn w:val="BodyText"/>
    <w:rsid w:val="004161D9"/>
    <w:pPr>
      <w:tabs>
        <w:tab w:val="left" w:pos="680"/>
      </w:tabs>
      <w:spacing w:before="60" w:after="60"/>
      <w:ind w:left="680" w:hanging="340"/>
    </w:pPr>
  </w:style>
  <w:style w:type="paragraph" w:styleId="List3">
    <w:name w:val="List 3"/>
    <w:basedOn w:val="BodyText"/>
    <w:rsid w:val="004161D9"/>
    <w:pPr>
      <w:tabs>
        <w:tab w:val="left" w:pos="1021"/>
      </w:tabs>
      <w:spacing w:before="60" w:after="60"/>
      <w:ind w:left="1020" w:hanging="340"/>
    </w:pPr>
  </w:style>
  <w:style w:type="paragraph" w:styleId="List4">
    <w:name w:val="List 4"/>
    <w:basedOn w:val="BodyText"/>
    <w:rsid w:val="004161D9"/>
    <w:pPr>
      <w:tabs>
        <w:tab w:val="left" w:pos="1361"/>
      </w:tabs>
      <w:spacing w:before="60" w:after="60"/>
      <w:ind w:left="1361" w:hanging="340"/>
    </w:pPr>
  </w:style>
  <w:style w:type="paragraph" w:styleId="List5">
    <w:name w:val="List 5"/>
    <w:basedOn w:val="BodyText"/>
    <w:rsid w:val="004161D9"/>
    <w:pPr>
      <w:tabs>
        <w:tab w:val="left" w:pos="1701"/>
      </w:tabs>
      <w:spacing w:before="60" w:after="60"/>
      <w:ind w:left="1701" w:hanging="340"/>
    </w:pPr>
  </w:style>
  <w:style w:type="paragraph" w:styleId="ListBullet3">
    <w:name w:val="List Bullet 3"/>
    <w:basedOn w:val="List3"/>
    <w:rsid w:val="004161D9"/>
    <w:pPr>
      <w:numPr>
        <w:numId w:val="14"/>
      </w:numPr>
      <w:tabs>
        <w:tab w:val="clear" w:pos="1021"/>
      </w:tabs>
      <w:ind w:left="1037" w:hanging="357"/>
    </w:pPr>
  </w:style>
  <w:style w:type="paragraph" w:styleId="ListBullet4">
    <w:name w:val="List Bullet 4"/>
    <w:basedOn w:val="List4"/>
    <w:rsid w:val="004161D9"/>
    <w:pPr>
      <w:numPr>
        <w:numId w:val="2"/>
      </w:numPr>
    </w:pPr>
  </w:style>
  <w:style w:type="paragraph" w:styleId="ListBullet5">
    <w:name w:val="List Bullet 5"/>
    <w:basedOn w:val="List5"/>
    <w:rsid w:val="004161D9"/>
    <w:pPr>
      <w:numPr>
        <w:numId w:val="3"/>
      </w:numPr>
    </w:pPr>
  </w:style>
  <w:style w:type="paragraph" w:styleId="ListContinue2">
    <w:name w:val="List Continue 2"/>
    <w:basedOn w:val="List2"/>
    <w:rsid w:val="004161D9"/>
    <w:pPr>
      <w:ind w:firstLine="0"/>
    </w:pPr>
  </w:style>
  <w:style w:type="paragraph" w:styleId="ListContinue3">
    <w:name w:val="List Continue 3"/>
    <w:basedOn w:val="List3"/>
    <w:rsid w:val="004161D9"/>
    <w:pPr>
      <w:ind w:left="1021" w:firstLine="0"/>
    </w:pPr>
  </w:style>
  <w:style w:type="paragraph" w:styleId="ListContinue4">
    <w:name w:val="List Continue 4"/>
    <w:basedOn w:val="List4"/>
    <w:rsid w:val="004161D9"/>
    <w:pPr>
      <w:ind w:firstLine="0"/>
    </w:pPr>
  </w:style>
  <w:style w:type="paragraph" w:styleId="ListContinue5">
    <w:name w:val="List Continue 5"/>
    <w:basedOn w:val="List5"/>
    <w:rsid w:val="004161D9"/>
    <w:pPr>
      <w:ind w:firstLine="0"/>
    </w:pPr>
  </w:style>
  <w:style w:type="paragraph" w:styleId="ListNumber3">
    <w:name w:val="List Number 3"/>
    <w:basedOn w:val="List3"/>
    <w:rsid w:val="004161D9"/>
    <w:pPr>
      <w:numPr>
        <w:numId w:val="4"/>
      </w:numPr>
    </w:pPr>
  </w:style>
  <w:style w:type="paragraph" w:styleId="ListNumber4">
    <w:name w:val="List Number 4"/>
    <w:basedOn w:val="List4"/>
    <w:rsid w:val="004161D9"/>
    <w:pPr>
      <w:numPr>
        <w:numId w:val="5"/>
      </w:numPr>
    </w:pPr>
  </w:style>
  <w:style w:type="paragraph" w:styleId="ListNumber5">
    <w:name w:val="List Number 5"/>
    <w:basedOn w:val="List5"/>
    <w:rsid w:val="004161D9"/>
    <w:pPr>
      <w:numPr>
        <w:numId w:val="6"/>
      </w:numPr>
    </w:pPr>
  </w:style>
  <w:style w:type="paragraph" w:styleId="BlockText">
    <w:name w:val="Block Text"/>
    <w:basedOn w:val="Normal"/>
    <w:rsid w:val="004161D9"/>
    <w:pPr>
      <w:spacing w:after="120"/>
      <w:ind w:left="1440" w:right="1440"/>
    </w:pPr>
  </w:style>
  <w:style w:type="character" w:customStyle="1" w:styleId="Subscript">
    <w:name w:val="Subscript"/>
    <w:rsid w:val="004161D9"/>
    <w:rPr>
      <w:sz w:val="16"/>
      <w:vertAlign w:val="subscript"/>
    </w:rPr>
  </w:style>
  <w:style w:type="character" w:customStyle="1" w:styleId="Superscript">
    <w:name w:val="Superscript"/>
    <w:rsid w:val="004161D9"/>
    <w:rPr>
      <w:sz w:val="16"/>
      <w:vertAlign w:val="superscript"/>
    </w:rPr>
  </w:style>
  <w:style w:type="character" w:customStyle="1" w:styleId="Symbols">
    <w:name w:val="Symbols"/>
    <w:rsid w:val="004161D9"/>
    <w:rPr>
      <w:rFonts w:ascii="Symbol" w:hAnsi="Symbol"/>
    </w:rPr>
  </w:style>
  <w:style w:type="character" w:customStyle="1" w:styleId="MenuOptions">
    <w:name w:val="Menu Options"/>
    <w:rsid w:val="004161D9"/>
    <w:rPr>
      <w:rFonts w:ascii="Arial Narrow" w:hAnsi="Arial Narrow"/>
      <w:smallCaps/>
    </w:rPr>
  </w:style>
  <w:style w:type="character" w:customStyle="1" w:styleId="Buttons">
    <w:name w:val="Buttons"/>
    <w:rsid w:val="004161D9"/>
    <w:rPr>
      <w:b/>
    </w:rPr>
  </w:style>
  <w:style w:type="character" w:customStyle="1" w:styleId="Underlined">
    <w:name w:val="Underlined"/>
    <w:rsid w:val="004161D9"/>
    <w:rPr>
      <w:u w:val="single"/>
    </w:rPr>
  </w:style>
  <w:style w:type="paragraph" w:customStyle="1" w:styleId="TableBodyTextRight">
    <w:name w:val="Table Body Text Right"/>
    <w:basedOn w:val="TableBodyText"/>
    <w:rsid w:val="004161D9"/>
    <w:pPr>
      <w:widowControl w:val="0"/>
      <w:autoSpaceDE w:val="0"/>
      <w:autoSpaceDN w:val="0"/>
      <w:adjustRightInd w:val="0"/>
      <w:jc w:val="right"/>
    </w:pPr>
    <w:rPr>
      <w:rFonts w:cs="Arial"/>
      <w:szCs w:val="18"/>
    </w:rPr>
  </w:style>
  <w:style w:type="paragraph" w:customStyle="1" w:styleId="CopyrightText">
    <w:name w:val="Copyright Text"/>
    <w:basedOn w:val="BodyText"/>
    <w:rsid w:val="004161D9"/>
    <w:rPr>
      <w:sz w:val="18"/>
    </w:rPr>
  </w:style>
  <w:style w:type="paragraph" w:customStyle="1" w:styleId="BodySmallRight">
    <w:name w:val="Body Small Right"/>
    <w:basedOn w:val="BodyTextRight"/>
    <w:rsid w:val="004161D9"/>
    <w:rPr>
      <w:sz w:val="18"/>
      <w:szCs w:val="18"/>
    </w:rPr>
  </w:style>
  <w:style w:type="paragraph" w:customStyle="1" w:styleId="MarginEdition">
    <w:name w:val="Margin Edition"/>
    <w:basedOn w:val="MarginNote"/>
    <w:rsid w:val="004161D9"/>
    <w:pPr>
      <w:spacing w:before="0" w:after="0"/>
    </w:pPr>
    <w:rPr>
      <w:rFonts w:ascii="Times New Roman" w:hAnsi="Times New Roman"/>
      <w:color w:val="999999"/>
    </w:rPr>
  </w:style>
  <w:style w:type="paragraph" w:customStyle="1" w:styleId="Spacer">
    <w:name w:val="Spacer"/>
    <w:basedOn w:val="Normal"/>
    <w:rsid w:val="004161D9"/>
    <w:rPr>
      <w:sz w:val="2"/>
      <w:szCs w:val="2"/>
    </w:rPr>
  </w:style>
  <w:style w:type="character" w:customStyle="1" w:styleId="Small">
    <w:name w:val="Small"/>
    <w:rsid w:val="004161D9"/>
    <w:rPr>
      <w:sz w:val="16"/>
    </w:rPr>
  </w:style>
  <w:style w:type="paragraph" w:customStyle="1" w:styleId="WideTable">
    <w:name w:val="Wide Table"/>
    <w:basedOn w:val="Normal"/>
    <w:rsid w:val="004161D9"/>
    <w:pPr>
      <w:ind w:left="-1418"/>
    </w:pPr>
    <w:rPr>
      <w:sz w:val="2"/>
      <w:szCs w:val="2"/>
    </w:rPr>
  </w:style>
  <w:style w:type="character" w:styleId="PageNumber">
    <w:name w:val="page number"/>
    <w:rsid w:val="004161D9"/>
  </w:style>
  <w:style w:type="paragraph" w:styleId="Quote">
    <w:name w:val="Quote"/>
    <w:basedOn w:val="Heading1"/>
    <w:link w:val="QuoteChar"/>
    <w:qFormat/>
    <w:rsid w:val="004161D9"/>
    <w:rPr>
      <w:b w:val="0"/>
      <w:sz w:val="72"/>
      <w:szCs w:val="72"/>
      <w:lang w:val="en-NZ"/>
    </w:rPr>
  </w:style>
  <w:style w:type="character" w:customStyle="1" w:styleId="QuoteChar">
    <w:name w:val="Quote Char"/>
    <w:link w:val="Quote"/>
    <w:rsid w:val="004161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61D9"/>
    <w:pPr>
      <w:pageBreakBefore/>
    </w:pPr>
  </w:style>
  <w:style w:type="paragraph" w:customStyle="1" w:styleId="Border">
    <w:name w:val="Border"/>
    <w:basedOn w:val="Normal"/>
    <w:qFormat/>
    <w:rsid w:val="004161D9"/>
    <w:pPr>
      <w:pBdr>
        <w:top w:val="single" w:sz="18" w:space="1" w:color="auto"/>
      </w:pBdr>
    </w:pPr>
    <w:rPr>
      <w:rFonts w:ascii="Times New Roman" w:hAnsi="Times New Roman"/>
      <w:color w:val="FFFFFF"/>
      <w:sz w:val="2"/>
    </w:rPr>
  </w:style>
  <w:style w:type="character" w:styleId="IntenseEmphasis">
    <w:name w:val="Intense Emphasis"/>
    <w:uiPriority w:val="21"/>
    <w:qFormat/>
    <w:rsid w:val="004161D9"/>
    <w:rPr>
      <w:b/>
      <w:bCs/>
      <w:i/>
      <w:iCs/>
      <w:color w:val="auto"/>
    </w:rPr>
  </w:style>
  <w:style w:type="paragraph" w:styleId="IntenseQuote">
    <w:name w:val="Intense Quote"/>
    <w:basedOn w:val="Normal"/>
    <w:next w:val="Normal"/>
    <w:link w:val="IntenseQuoteChar"/>
    <w:uiPriority w:val="30"/>
    <w:qFormat/>
    <w:rsid w:val="004161D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161D9"/>
    <w:rPr>
      <w:rFonts w:ascii="Courier New" w:eastAsia="Times New Roman" w:hAnsi="Courier New" w:cs="Times New Roman"/>
      <w:b/>
      <w:bCs/>
      <w:i/>
      <w:iCs/>
      <w:szCs w:val="20"/>
      <w:lang w:val="en-US" w:eastAsia="en-US"/>
    </w:rPr>
  </w:style>
  <w:style w:type="character" w:styleId="SubtleReference">
    <w:name w:val="Subtle Reference"/>
    <w:uiPriority w:val="31"/>
    <w:qFormat/>
    <w:rsid w:val="004161D9"/>
    <w:rPr>
      <w:smallCaps/>
      <w:color w:val="auto"/>
      <w:u w:val="single"/>
    </w:rPr>
  </w:style>
  <w:style w:type="character" w:styleId="IntenseReference">
    <w:name w:val="Intense Reference"/>
    <w:uiPriority w:val="32"/>
    <w:qFormat/>
    <w:rsid w:val="004161D9"/>
    <w:rPr>
      <w:b/>
      <w:bCs/>
      <w:smallCaps/>
      <w:color w:val="auto"/>
      <w:spacing w:val="5"/>
      <w:u w:val="single"/>
    </w:rPr>
  </w:style>
  <w:style w:type="paragraph" w:customStyle="1" w:styleId="2ColumnHeading">
    <w:name w:val="2Column Heading"/>
    <w:basedOn w:val="BodyText"/>
    <w:qFormat/>
    <w:rsid w:val="004161D9"/>
    <w:pPr>
      <w:spacing w:after="60"/>
      <w:ind w:left="-2268"/>
    </w:pPr>
    <w:rPr>
      <w:b/>
    </w:rPr>
  </w:style>
  <w:style w:type="paragraph" w:customStyle="1" w:styleId="Heading1TOC">
    <w:name w:val="Heading1 TOC"/>
    <w:basedOn w:val="Normal"/>
    <w:qFormat/>
    <w:rsid w:val="004161D9"/>
    <w:pPr>
      <w:spacing w:before="240" w:after="120"/>
    </w:pPr>
    <w:rPr>
      <w:rFonts w:ascii="Times New Roman" w:hAnsi="Times New Roman"/>
      <w:b/>
      <w:sz w:val="32"/>
    </w:rPr>
  </w:style>
  <w:style w:type="paragraph" w:customStyle="1" w:styleId="Heading2TOC">
    <w:name w:val="Heading2 TOC"/>
    <w:basedOn w:val="Normal"/>
    <w:qFormat/>
    <w:rsid w:val="004161D9"/>
    <w:pPr>
      <w:spacing w:before="240" w:after="60"/>
    </w:pPr>
    <w:rPr>
      <w:rFonts w:ascii="Times New Roman" w:hAnsi="Times New Roman"/>
      <w:b/>
      <w:sz w:val="28"/>
    </w:rPr>
  </w:style>
  <w:style w:type="character" w:customStyle="1" w:styleId="Underline">
    <w:name w:val="Underline"/>
    <w:qFormat/>
    <w:rsid w:val="004161D9"/>
    <w:rPr>
      <w:u w:val="single"/>
    </w:rPr>
  </w:style>
  <w:style w:type="character" w:customStyle="1" w:styleId="BoldandItalics">
    <w:name w:val="Bold and Italics"/>
    <w:qFormat/>
    <w:rsid w:val="004161D9"/>
    <w:rPr>
      <w:b/>
      <w:i/>
      <w:u w:val="none"/>
    </w:rPr>
  </w:style>
  <w:style w:type="paragraph" w:styleId="BalloonText">
    <w:name w:val="Balloon Text"/>
    <w:basedOn w:val="Normal"/>
    <w:link w:val="BalloonTextChar"/>
    <w:rsid w:val="004161D9"/>
    <w:rPr>
      <w:rFonts w:ascii="Tahoma" w:hAnsi="Tahoma" w:cs="Tahoma"/>
      <w:sz w:val="16"/>
      <w:szCs w:val="16"/>
    </w:rPr>
  </w:style>
  <w:style w:type="character" w:customStyle="1" w:styleId="BalloonTextChar">
    <w:name w:val="Balloon Text Char"/>
    <w:link w:val="BalloonText"/>
    <w:rsid w:val="004161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61D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161D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1332</Words>
  <Characters>7978</Characters>
  <Application>Microsoft Office Word</Application>
  <DocSecurity>0</DocSecurity>
  <Lines>287</Lines>
  <Paragraphs>153</Paragraphs>
  <ScaleCrop>false</ScaleCrop>
  <Company>Author-it Software Corporation Ltd.</Company>
  <LinksUpToDate>false</LinksUpToDate>
  <CharactersWithSpaces>9225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MSS403034A Organise products into groups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2012-05-26T18:47:00Z</dcterms:created>
  <dcterms:modified xsi:type="dcterms:W3CDTF">2012-05-26T18:47:00Z</dcterms:modified>
</cp:coreProperties>
</file>