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6A9" w:rsidP="006706A9">
      <w:pPr>
        <w:pStyle w:val="Title"/>
      </w:pPr>
      <w:r>
        <w:fldChar w:fldCharType="begin"/>
      </w:r>
      <w:r>
        <w:instrText xml:space="preserve"> TITLE   \* MERGEFORMAT </w:instrText>
      </w:r>
      <w:r>
        <w:fldChar w:fldCharType="separate"/>
      </w:r>
      <w:r>
        <w:t>MSS403033A Map an operational process</w:t>
      </w:r>
      <w:r>
        <w:fldChar w:fldCharType="end"/>
      </w:r>
    </w:p>
    <w:p w:rsidR="006706A9" w:rsidP="006706A9">
      <w:pPr>
        <w:pStyle w:val="Version"/>
        <w:sectPr w:rsidSect="00C96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30D" w:rsidP="00C9630D">
      <w:pPr>
        <w:pStyle w:val="SuperHeading"/>
      </w:pPr>
      <w:r w:rsidRPr="00C9630D">
        <w:t>MSS403033A Map an operational process</w:t>
      </w:r>
    </w:p>
    <w:p w:rsidR="00000000" w:rsidRPr="00C9630D" w:rsidP="00C9630D">
      <w:pPr>
        <w:pStyle w:val="Heading1"/>
      </w:pPr>
      <w:bookmarkStart w:id="1" w:name="O_466941"/>
      <w:bookmarkEnd w:id="1"/>
      <w:r w:rsidRPr="00C9630D">
        <w:t>Modification History</w:t>
      </w:r>
    </w:p>
    <w:p w:rsidR="00000000" w:rsidRPr="00C9630D" w:rsidP="00C9630D">
      <w:pPr>
        <w:pStyle w:val="BodyText"/>
      </w:pPr>
      <w:r w:rsidRPr="00C9630D">
        <w:t>New unit</w:t>
      </w:r>
    </w:p>
    <w:p w:rsidR="00000000" w:rsidRPr="00C9630D" w:rsidP="00C9630D">
      <w:pPr>
        <w:pStyle w:val="AllowPageBreak"/>
      </w:pPr>
    </w:p>
    <w:p w:rsidR="00000000" w:rsidRPr="00C9630D" w:rsidP="00C9630D">
      <w:pPr>
        <w:pStyle w:val="Heading1"/>
      </w:pPr>
      <w:bookmarkStart w:id="2" w:name="O_466942"/>
      <w:bookmarkEnd w:id="2"/>
      <w:r w:rsidRPr="00C9630D">
        <w:t>Unit Descriptor</w:t>
      </w:r>
    </w:p>
    <w:p w:rsidR="00000000" w:rsidRPr="00C9630D" w:rsidP="00C9630D">
      <w:pPr>
        <w:pStyle w:val="BodyText"/>
      </w:pPr>
      <w:r w:rsidRPr="00C9630D">
        <w:t>This unit of competency covers the skills and knowledge required to identify and visually document the sequence and interac</w:t>
      </w:r>
      <w:r w:rsidRPr="00C9630D">
        <w:t>tions of related steps, activities or tasks that make up an individual operational process, from beginning to end.</w:t>
      </w:r>
    </w:p>
    <w:p w:rsidR="006706A9" w:rsidP="00C9630D">
      <w:pPr>
        <w:pStyle w:val="BodyText"/>
      </w:pPr>
      <w:r w:rsidRPr="00C9630D">
        <w:t>For the purposes of this unit, an operational process is a group of structured and identifiable activities that contribute to delivering a sp</w:t>
      </w:r>
      <w:r w:rsidRPr="00C9630D">
        <w:t xml:space="preserve">ecified and measurable result, such as a product, deliverable or service. </w:t>
      </w:r>
    </w:p>
    <w:p w:rsidR="006706A9" w:rsidP="00C9630D">
      <w:pPr>
        <w:pStyle w:val="BodyText"/>
      </w:pPr>
    </w:p>
    <w:p w:rsidR="00000000" w:rsidRPr="00C9630D" w:rsidP="00C9630D">
      <w:pPr>
        <w:pStyle w:val="Heading1"/>
      </w:pPr>
      <w:bookmarkStart w:id="3" w:name="O_466943"/>
      <w:bookmarkEnd w:id="3"/>
      <w:r w:rsidRPr="00C9630D">
        <w:t>Application of the Unit</w:t>
      </w:r>
    </w:p>
    <w:p w:rsidR="006706A9" w:rsidP="00C9630D">
      <w:pPr>
        <w:pStyle w:val="BodyText"/>
      </w:pPr>
      <w:r w:rsidRPr="00C9630D">
        <w:t xml:space="preserve">The unit applies to individuals in a competitive systems and practices implementation role who need to identify and document the steps and </w:t>
      </w:r>
      <w:r w:rsidRPr="00C9630D">
        <w:t>specific aspects of an operational process. The process mapping may be done for a number of purposes, including identifying the scope and purpose of a process, identifying opportunities for improvement using other competitive systems and practices techniqu</w:t>
      </w:r>
      <w:r w:rsidRPr="00C9630D">
        <w:t xml:space="preserve">es, or increasing the knowledge and engagement of others with the process. The specific aspects to focus on in the mapping should align to the goal or reason for the mapping. </w:t>
      </w:r>
    </w:p>
    <w:p w:rsidR="006706A9" w:rsidP="00C9630D">
      <w:pPr>
        <w:pStyle w:val="BodyText"/>
      </w:pPr>
    </w:p>
    <w:p w:rsidR="00000000" w:rsidRPr="00C9630D" w:rsidP="00C9630D">
      <w:pPr>
        <w:pStyle w:val="Heading1"/>
      </w:pPr>
      <w:bookmarkStart w:id="4" w:name="O_466944"/>
      <w:bookmarkEnd w:id="4"/>
      <w:r w:rsidRPr="00C9630D">
        <w:t>Licensing/Regulatory Information</w:t>
      </w:r>
    </w:p>
    <w:p w:rsidR="00000000" w:rsidRPr="00C9630D" w:rsidP="00C9630D">
      <w:pPr>
        <w:pStyle w:val="BodyText"/>
      </w:pPr>
      <w:r w:rsidRPr="00C9630D">
        <w:t>Not applicable.</w:t>
      </w:r>
    </w:p>
    <w:p w:rsidR="00000000" w:rsidRPr="00C9630D" w:rsidP="00C9630D">
      <w:pPr>
        <w:pStyle w:val="AllowPageBreak"/>
      </w:pPr>
    </w:p>
    <w:p w:rsidR="00000000" w:rsidRPr="00C9630D" w:rsidP="00C9630D">
      <w:pPr>
        <w:pStyle w:val="Heading1"/>
      </w:pPr>
      <w:bookmarkStart w:id="5" w:name="O_466945"/>
      <w:bookmarkEnd w:id="5"/>
      <w:r w:rsidRPr="00C9630D">
        <w:t>Pre-Requisites</w:t>
      </w:r>
    </w:p>
    <w:p w:rsidR="00000000" w:rsidRPr="00C9630D" w:rsidP="00C9630D">
      <w:pPr>
        <w:pStyle w:val="BodyText"/>
      </w:pPr>
      <w:r w:rsidRPr="00C9630D">
        <w:t>Not applicable.</w:t>
      </w:r>
    </w:p>
    <w:p w:rsidR="00000000" w:rsidRPr="00C9630D" w:rsidP="00C9630D">
      <w:pPr>
        <w:pStyle w:val="AllowPageBreak"/>
      </w:pPr>
    </w:p>
    <w:p w:rsidR="00000000" w:rsidRPr="00C9630D" w:rsidP="00C9630D">
      <w:pPr>
        <w:pStyle w:val="Heading1"/>
      </w:pPr>
      <w:bookmarkStart w:id="6" w:name="O_466946"/>
      <w:bookmarkEnd w:id="6"/>
      <w:r w:rsidRPr="00C9630D">
        <w:t>Employability Skills Information</w:t>
      </w:r>
    </w:p>
    <w:p w:rsidR="006706A9" w:rsidP="00C9630D">
      <w:pPr>
        <w:pStyle w:val="BodyText"/>
      </w:pPr>
      <w:r w:rsidRPr="00C9630D">
        <w:t>This unit contains employability skills.</w:t>
      </w:r>
    </w:p>
    <w:p w:rsidR="006706A9" w:rsidP="00C9630D">
      <w:pPr>
        <w:pStyle w:val="BodyText"/>
      </w:pPr>
    </w:p>
    <w:p w:rsidR="00000000" w:rsidRPr="00C9630D" w:rsidP="00C9630D">
      <w:pPr>
        <w:pStyle w:val="Heading1"/>
      </w:pPr>
      <w:bookmarkStart w:id="7" w:name="O_466947"/>
      <w:bookmarkEnd w:id="7"/>
      <w:r w:rsidRPr="00C9630D">
        <w:t>Elements and Performance Criteria Pre-Content</w:t>
      </w:r>
    </w:p>
    <w:tbl>
      <w:tblPr>
        <w:tblW w:w="0" w:type="auto"/>
        <w:tblLayout w:type="fixed"/>
        <w:tblCellMar>
          <w:left w:w="62" w:type="dxa"/>
          <w:right w:w="62" w:type="dxa"/>
        </w:tblCellMar>
        <w:tblLook w:val="0000"/>
      </w:tblPr>
      <w:tblGrid>
        <w:gridCol w:w="2640"/>
        <w:gridCol w:w="6380"/>
      </w:tblGrid>
      <w:tr w:rsidTr="00C9630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9630D" w:rsidP="00C9630D">
            <w:pPr>
              <w:pStyle w:val="BodyText"/>
            </w:pPr>
            <w:r w:rsidRPr="00C9630D">
              <w:t>Performance criteria describe the performance needed to demonstrate achievement of the element. Where bold italicised text is used, further information is detailed in the required skills and</w:t>
            </w:r>
            <w:r w:rsidRPr="00C9630D">
              <w:t xml:space="preserve"> knowledge section and the range statement. Assessment of performance is to be consistent with the evidence guide.</w:t>
            </w:r>
          </w:p>
        </w:tc>
      </w:tr>
    </w:tbl>
    <w:p w:rsidR="00000000" w:rsidRPr="00C9630D" w:rsidP="00C9630D">
      <w:pPr>
        <w:pStyle w:val="BodyText"/>
      </w:pPr>
    </w:p>
    <w:p w:rsidR="00000000" w:rsidRPr="00C9630D" w:rsidP="00C9630D">
      <w:pPr>
        <w:pStyle w:val="AllowPageBreak"/>
      </w:pPr>
    </w:p>
    <w:p w:rsidR="00000000" w:rsidRPr="00C9630D" w:rsidP="00C9630D">
      <w:pPr>
        <w:pStyle w:val="Heading1"/>
      </w:pPr>
      <w:bookmarkStart w:id="8" w:name="O_466948"/>
      <w:bookmarkEnd w:id="8"/>
      <w:r w:rsidRPr="00C9630D">
        <w:t>Elements and Performance Criteria</w:t>
      </w:r>
    </w:p>
    <w:p w:rsidR="00000000" w:rsidRPr="00C9630D" w:rsidP="00C9630D">
      <w:pPr>
        <w:pStyle w:val="BodyText"/>
      </w:pPr>
    </w:p>
    <w:tbl>
      <w:tblPr>
        <w:tblW w:w="0" w:type="auto"/>
        <w:tblLayout w:type="fixed"/>
        <w:tblCellMar>
          <w:left w:w="62" w:type="dxa"/>
          <w:right w:w="62" w:type="dxa"/>
        </w:tblCellMar>
        <w:tblLook w:val="0000"/>
      </w:tblPr>
      <w:tblGrid>
        <w:gridCol w:w="678"/>
        <w:gridCol w:w="1962"/>
        <w:gridCol w:w="770"/>
        <w:gridCol w:w="5610"/>
      </w:tblGrid>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1</w:t>
            </w:r>
          </w:p>
        </w:tc>
        <w:tc>
          <w:tcPr>
            <w:tcW w:w="1962" w:type="dxa"/>
            <w:vMerge w:val="restart"/>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Define the scope of the process map</w:t>
            </w: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1.1</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 xml:space="preserve">Identify the purpose for the process mapping </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1.2</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 xml:space="preserve">Define the boundaries of the process to be mapped </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1.3</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 xml:space="preserve">Identify process stakeholders to participate in the mapping </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1.4</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 xml:space="preserve">Identify the aspects to be mapped </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1.5</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Select an appropriate process mapping technique</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1.6</w:t>
            </w:r>
          </w:p>
        </w:tc>
        <w:tc>
          <w:tcPr>
            <w:tcW w:w="5610" w:type="dxa"/>
            <w:tcBorders>
              <w:top w:val="nil"/>
              <w:left w:val="nil"/>
              <w:bottom w:val="nil"/>
              <w:right w:val="nil"/>
            </w:tcBorders>
            <w:tcMar>
              <w:top w:w="0" w:type="dxa"/>
              <w:left w:w="62" w:type="dxa"/>
              <w:bottom w:w="0" w:type="dxa"/>
              <w:right w:w="62" w:type="dxa"/>
            </w:tcMar>
          </w:tcPr>
          <w:p w:rsidR="00000000" w:rsidRPr="00C9630D" w:rsidP="00C9630D">
            <w:pPr>
              <w:pStyle w:val="BodyText"/>
            </w:pPr>
            <w:r w:rsidRPr="00C9630D">
              <w:t>Identify sources of information to populate and validate the process map</w:t>
            </w:r>
          </w:p>
        </w:tc>
      </w:tr>
    </w:tbl>
    <w:p w:rsidR="00000000" w:rsidRPr="00C9630D" w:rsidP="00C9630D">
      <w:pPr>
        <w:pStyle w:val="BodyText"/>
      </w:pPr>
    </w:p>
    <w:tbl>
      <w:tblPr>
        <w:tblW w:w="0" w:type="auto"/>
        <w:tblLayout w:type="fixed"/>
        <w:tblCellMar>
          <w:left w:w="62" w:type="dxa"/>
          <w:right w:w="62" w:type="dxa"/>
        </w:tblCellMar>
        <w:tblLook w:val="0000"/>
      </w:tblPr>
      <w:tblGrid>
        <w:gridCol w:w="678"/>
        <w:gridCol w:w="1962"/>
        <w:gridCol w:w="770"/>
        <w:gridCol w:w="5610"/>
      </w:tblGrid>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2</w:t>
            </w:r>
          </w:p>
        </w:tc>
        <w:tc>
          <w:tcPr>
            <w:tcW w:w="1962" w:type="dxa"/>
            <w:vMerge w:val="restart"/>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Map the process</w:t>
            </w: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2.1</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Liaise with process stakeholders to identify steps in the process</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2.2</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 xml:space="preserve">Rank information gained about process steps into critical, important and optional steps </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2.3</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 xml:space="preserve">Document the agreed process steps using the selected process mapping technique </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2.4</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Document the aspects being mapped using the selected process mapping tech</w:t>
            </w:r>
            <w:r w:rsidRPr="00C9630D">
              <w:t>nique, and show how they relate to the steps</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2.5</w:t>
            </w:r>
          </w:p>
        </w:tc>
        <w:tc>
          <w:tcPr>
            <w:tcW w:w="5610" w:type="dxa"/>
            <w:tcBorders>
              <w:top w:val="nil"/>
              <w:left w:val="nil"/>
              <w:bottom w:val="nil"/>
              <w:right w:val="nil"/>
            </w:tcBorders>
            <w:tcMar>
              <w:top w:w="0" w:type="dxa"/>
              <w:left w:w="62" w:type="dxa"/>
              <w:bottom w:w="0" w:type="dxa"/>
              <w:right w:w="62" w:type="dxa"/>
            </w:tcMar>
          </w:tcPr>
          <w:p w:rsidR="00000000" w:rsidRPr="00C9630D" w:rsidP="00C9630D">
            <w:pPr>
              <w:pStyle w:val="BodyText"/>
            </w:pPr>
            <w:r w:rsidRPr="00C9630D">
              <w:t>Validate steps and techniques with appropriate internal or external sources of information</w:t>
            </w:r>
          </w:p>
        </w:tc>
      </w:tr>
    </w:tbl>
    <w:p w:rsidR="00000000" w:rsidRPr="00C9630D" w:rsidP="00C9630D">
      <w:pPr>
        <w:pStyle w:val="BodyText"/>
      </w:pPr>
    </w:p>
    <w:tbl>
      <w:tblPr>
        <w:tblW w:w="0" w:type="auto"/>
        <w:tblLayout w:type="fixed"/>
        <w:tblCellMar>
          <w:left w:w="62" w:type="dxa"/>
          <w:right w:w="62" w:type="dxa"/>
        </w:tblCellMar>
        <w:tblLook w:val="0000"/>
      </w:tblPr>
      <w:tblGrid>
        <w:gridCol w:w="678"/>
        <w:gridCol w:w="1962"/>
        <w:gridCol w:w="770"/>
        <w:gridCol w:w="5610"/>
      </w:tblGrid>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3</w:t>
            </w:r>
          </w:p>
        </w:tc>
        <w:tc>
          <w:tcPr>
            <w:tcW w:w="1962" w:type="dxa"/>
            <w:vMerge w:val="restart"/>
            <w:tcBorders>
              <w:top w:val="nil"/>
              <w:left w:val="nil"/>
              <w:bottom w:val="nil"/>
              <w:right w:val="nil"/>
            </w:tcBorders>
            <w:tcMar>
              <w:top w:w="0" w:type="dxa"/>
              <w:left w:w="62" w:type="dxa"/>
              <w:bottom w:w="0" w:type="dxa"/>
              <w:right w:w="62" w:type="dxa"/>
            </w:tcMar>
          </w:tcPr>
          <w:p w:rsidR="00000000" w:rsidRPr="00C9630D" w:rsidP="00C9630D">
            <w:pPr>
              <w:pStyle w:val="BodyText"/>
            </w:pPr>
            <w:r w:rsidRPr="00C9630D">
              <w:t>Apply the map</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3.1</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 xml:space="preserve">Analyse the process map to ensure that it is fit for its intended purpose </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3.2</w:t>
            </w:r>
          </w:p>
        </w:tc>
        <w:tc>
          <w:tcPr>
            <w:tcW w:w="561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 xml:space="preserve">Identify any further changes needed to the process map as a result of the analysis  </w:t>
            </w:r>
          </w:p>
        </w:tc>
      </w:tr>
      <w:tr w:rsidTr="00C96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3.3</w:t>
            </w:r>
          </w:p>
        </w:tc>
        <w:tc>
          <w:tcPr>
            <w:tcW w:w="5610" w:type="dxa"/>
            <w:tcBorders>
              <w:top w:val="nil"/>
              <w:left w:val="nil"/>
              <w:bottom w:val="nil"/>
              <w:right w:val="nil"/>
            </w:tcBorders>
            <w:tcMar>
              <w:top w:w="0" w:type="dxa"/>
              <w:left w:w="62" w:type="dxa"/>
              <w:bottom w:w="0" w:type="dxa"/>
              <w:right w:w="62" w:type="dxa"/>
            </w:tcMar>
          </w:tcPr>
          <w:p w:rsidR="00000000" w:rsidRPr="00C9630D" w:rsidP="00C9630D">
            <w:pPr>
              <w:pStyle w:val="BodyText"/>
            </w:pPr>
            <w:r w:rsidRPr="00C9630D">
              <w:t>Validate changes and finalise process map</w:t>
            </w:r>
          </w:p>
        </w:tc>
      </w:tr>
    </w:tbl>
    <w:p w:rsidR="006706A9" w:rsidP="00C9630D">
      <w:pPr>
        <w:pStyle w:val="BodyText"/>
      </w:pPr>
    </w:p>
    <w:p w:rsidR="006706A9" w:rsidP="00C9630D">
      <w:pPr>
        <w:pStyle w:val="BodyText"/>
      </w:pPr>
    </w:p>
    <w:p w:rsidR="00000000" w:rsidRPr="00C9630D" w:rsidP="00C9630D">
      <w:pPr>
        <w:pStyle w:val="Heading1"/>
      </w:pPr>
      <w:bookmarkStart w:id="9" w:name="O_466949"/>
      <w:bookmarkEnd w:id="9"/>
      <w:r w:rsidRPr="00C9630D">
        <w:t>Required Skills and Knowledge</w:t>
      </w:r>
    </w:p>
    <w:tbl>
      <w:tblPr>
        <w:tblW w:w="9462" w:type="dxa"/>
        <w:tblLayout w:type="fixed"/>
        <w:tblCellMar>
          <w:left w:w="62" w:type="dxa"/>
          <w:right w:w="62" w:type="dxa"/>
        </w:tblCellMar>
        <w:tblLook w:val="0000"/>
      </w:tblPr>
      <w:tblGrid>
        <w:gridCol w:w="9462"/>
      </w:tblGrid>
      <w:tr w:rsidTr="00C96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This section describes the skills and knowledge required for this unit.</w:t>
            </w:r>
          </w:p>
        </w:tc>
      </w:tr>
      <w:tr w:rsidTr="00C96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rPr>
                <w:rStyle w:val="SpecialBold"/>
              </w:rPr>
              <w:t>Required skills</w:t>
            </w:r>
          </w:p>
        </w:tc>
      </w:tr>
      <w:tr w:rsidTr="00C96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9630D" w:rsidP="00C9630D">
            <w:pPr>
              <w:pStyle w:val="BodyText"/>
            </w:pPr>
            <w:r w:rsidRPr="00C9630D">
              <w:t>Required skills include:</w:t>
            </w:r>
          </w:p>
          <w:p w:rsidR="00000000" w:rsidRPr="00C9630D" w:rsidP="00C9630D">
            <w:pPr>
              <w:pStyle w:val="ListBullet"/>
            </w:pPr>
            <w:r w:rsidRPr="00C9630D">
              <w:t>communicating with fellow employees, managers and internal and external stakeholders to determine potential information for inclusion in process map</w:t>
            </w:r>
          </w:p>
          <w:p w:rsidR="00000000" w:rsidRPr="00C9630D" w:rsidP="00C9630D">
            <w:pPr>
              <w:pStyle w:val="ListBullet"/>
            </w:pPr>
            <w:r w:rsidRPr="00C9630D">
              <w:t>s</w:t>
            </w:r>
            <w:r w:rsidRPr="00C9630D">
              <w:t xml:space="preserve">orting and analysing information from a variety of sources which may include: </w:t>
            </w:r>
          </w:p>
          <w:p w:rsidR="00000000" w:rsidRPr="00C9630D" w:rsidP="00C9630D">
            <w:pPr>
              <w:pStyle w:val="ListBullet2"/>
            </w:pPr>
            <w:r w:rsidRPr="00C9630D">
              <w:t xml:space="preserve">manuals </w:t>
            </w:r>
          </w:p>
          <w:p w:rsidR="00000000" w:rsidRPr="00C9630D" w:rsidP="00C9630D">
            <w:pPr>
              <w:pStyle w:val="ListBullet2"/>
            </w:pPr>
            <w:r w:rsidRPr="00C9630D">
              <w:t>technical documentation from suppliers</w:t>
            </w:r>
          </w:p>
          <w:p w:rsidR="00000000" w:rsidRPr="00C9630D" w:rsidP="00C9630D">
            <w:pPr>
              <w:pStyle w:val="ListBullet2"/>
            </w:pPr>
            <w:r w:rsidRPr="00C9630D">
              <w:t>standard operating procedures</w:t>
            </w:r>
          </w:p>
          <w:p w:rsidR="00000000" w:rsidRPr="00C9630D" w:rsidP="00C9630D">
            <w:pPr>
              <w:pStyle w:val="ListBullet2"/>
            </w:pPr>
            <w:r w:rsidRPr="00C9630D">
              <w:t>observation of employees performing tasks</w:t>
            </w:r>
          </w:p>
          <w:p w:rsidR="00000000" w:rsidRPr="00C9630D" w:rsidP="00C9630D">
            <w:pPr>
              <w:pStyle w:val="ListBullet2"/>
            </w:pPr>
            <w:r w:rsidRPr="00C9630D">
              <w:t>interviews with others</w:t>
            </w:r>
          </w:p>
          <w:p w:rsidR="00000000" w:rsidRPr="00C9630D" w:rsidP="00C9630D">
            <w:pPr>
              <w:pStyle w:val="ListBullet2"/>
            </w:pPr>
            <w:r w:rsidRPr="00C9630D">
              <w:t xml:space="preserve">desk/internet research </w:t>
            </w:r>
          </w:p>
          <w:p w:rsidR="00000000" w:rsidRPr="00C9630D" w:rsidP="00C9630D">
            <w:pPr>
              <w:pStyle w:val="ListBullet2"/>
            </w:pPr>
            <w:r w:rsidRPr="00C9630D">
              <w:t xml:space="preserve">identifying relationships between processes or process steps </w:t>
            </w:r>
          </w:p>
          <w:p w:rsidR="00000000" w:rsidRPr="00C9630D" w:rsidP="00C9630D">
            <w:pPr>
              <w:pStyle w:val="ListBullet"/>
            </w:pPr>
            <w:r w:rsidRPr="00C9630D">
              <w:t>decision-making based on information from a variety of sources and analysis of needs of internal and external stakeholders in regards to process mapping</w:t>
            </w:r>
          </w:p>
          <w:p w:rsidR="00000000" w:rsidP="00C9630D">
            <w:pPr>
              <w:pStyle w:val="ListBullet"/>
              <w:rPr>
                <w:lang w:val="en-NZ"/>
              </w:rPr>
            </w:pPr>
            <w:r w:rsidRPr="00C9630D">
              <w:t>drawing or software skills in order to p</w:t>
            </w:r>
            <w:r w:rsidRPr="00C9630D">
              <w:t xml:space="preserve">roduce a visual process map </w:t>
            </w:r>
          </w:p>
        </w:tc>
      </w:tr>
      <w:tr w:rsidTr="00C96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p>
        </w:tc>
      </w:tr>
      <w:tr w:rsidTr="00C96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rPr>
                <w:rStyle w:val="SpecialBold"/>
              </w:rPr>
              <w:t>Required knowledge</w:t>
            </w:r>
          </w:p>
        </w:tc>
      </w:tr>
      <w:tr w:rsidTr="00C96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9630D" w:rsidP="00C9630D">
            <w:pPr>
              <w:pStyle w:val="BodyText"/>
            </w:pPr>
            <w:r w:rsidRPr="00C9630D">
              <w:t>Required knowledge includes:</w:t>
            </w:r>
          </w:p>
          <w:p w:rsidR="00000000" w:rsidRPr="00C9630D" w:rsidP="00C9630D">
            <w:pPr>
              <w:pStyle w:val="ListBullet"/>
            </w:pPr>
            <w:r w:rsidRPr="00C9630D">
              <w:t xml:space="preserve">organisation and customer outcomes/requirements </w:t>
            </w:r>
          </w:p>
          <w:p w:rsidR="00000000" w:rsidRPr="00C9630D" w:rsidP="00C9630D">
            <w:pPr>
              <w:pStyle w:val="ListBullet"/>
            </w:pPr>
            <w:r w:rsidRPr="00C9630D">
              <w:t>purposes of process mapping</w:t>
            </w:r>
          </w:p>
          <w:p w:rsidR="00000000" w:rsidRPr="00C9630D" w:rsidP="00C9630D">
            <w:pPr>
              <w:pStyle w:val="ListBullet"/>
            </w:pPr>
            <w:r w:rsidRPr="00C9630D">
              <w:t xml:space="preserve">methods of process mapping, including use of relevant software </w:t>
            </w:r>
          </w:p>
          <w:p w:rsidR="00000000" w:rsidRPr="00C9630D" w:rsidP="00C9630D">
            <w:pPr>
              <w:pStyle w:val="ListBullet"/>
            </w:pPr>
            <w:r w:rsidRPr="00C9630D">
              <w:t>implications of including or excluding specific activities and/or people from the mapping process</w:t>
            </w:r>
          </w:p>
          <w:p w:rsidR="00000000" w:rsidRPr="00C9630D" w:rsidP="00C9630D">
            <w:pPr>
              <w:pStyle w:val="ListBullet"/>
            </w:pPr>
            <w:r w:rsidRPr="00C9630D">
              <w:t>methods of identifying and evaluating options</w:t>
            </w:r>
          </w:p>
        </w:tc>
      </w:tr>
    </w:tbl>
    <w:p w:rsidR="006706A9" w:rsidP="00C9630D">
      <w:pPr>
        <w:pStyle w:val="BodyText"/>
      </w:pPr>
    </w:p>
    <w:p w:rsidR="006706A9" w:rsidP="00C9630D">
      <w:pPr>
        <w:pStyle w:val="BodyText"/>
      </w:pPr>
    </w:p>
    <w:p w:rsidR="00000000" w:rsidRPr="00C9630D" w:rsidP="00C9630D">
      <w:pPr>
        <w:pStyle w:val="Heading1"/>
      </w:pPr>
      <w:bookmarkStart w:id="10" w:name="O_466950"/>
      <w:bookmarkEnd w:id="10"/>
      <w:r w:rsidRPr="00C9630D">
        <w:t>Evidence Guide</w:t>
      </w:r>
    </w:p>
    <w:tbl>
      <w:tblPr>
        <w:tblW w:w="9462" w:type="dxa"/>
        <w:tblLayout w:type="fixed"/>
        <w:tblCellMar>
          <w:left w:w="62" w:type="dxa"/>
          <w:right w:w="62" w:type="dxa"/>
        </w:tblCellMar>
        <w:tblLook w:val="0000"/>
      </w:tblPr>
      <w:tblGrid>
        <w:gridCol w:w="3800"/>
        <w:gridCol w:w="5662"/>
      </w:tblGrid>
      <w:tr w:rsidTr="00C963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9630D">
            <w:pPr>
              <w:pStyle w:val="BodyText"/>
              <w:rPr>
                <w:lang w:val="en-NZ"/>
              </w:rPr>
            </w:pPr>
            <w:r w:rsidRPr="00C9630D">
              <w:t>The evidence guide provides advice on assessment and must be read in conjunction with the performance criteria, required skills and knowledge, range statement and the Assessment Guidelines for the Training Package.</w:t>
            </w:r>
          </w:p>
        </w:tc>
      </w:tr>
      <w:tr w:rsidTr="00C96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0D">
            <w:pPr>
              <w:pStyle w:val="BodyText"/>
              <w:rPr>
                <w:lang w:val="en-NZ"/>
              </w:rPr>
            </w:pPr>
            <w:r w:rsidRPr="00C9630D">
              <w:rPr>
                <w:rStyle w:val="SpecialBold"/>
              </w:rPr>
              <w:t>Critical aspects for assessment and evi</w:t>
            </w:r>
            <w:r w:rsidRPr="00C9630D">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t>A person who demonstrates competency in this unit must be able to provide evidence of the ability to:</w:t>
            </w:r>
          </w:p>
          <w:p w:rsidR="00000000" w:rsidRPr="00C9630D" w:rsidP="00C9630D">
            <w:pPr>
              <w:pStyle w:val="ListBullet"/>
            </w:pPr>
            <w:r w:rsidRPr="00C9630D">
              <w:t>identify organisation and customer requirements and relate process steps to those requirements</w:t>
            </w:r>
          </w:p>
          <w:p w:rsidR="00000000" w:rsidRPr="00C9630D" w:rsidP="00C9630D">
            <w:pPr>
              <w:pStyle w:val="ListBullet"/>
            </w:pPr>
            <w:r w:rsidRPr="00C9630D">
              <w:t>iden</w:t>
            </w:r>
            <w:r w:rsidRPr="00C9630D">
              <w:t>tify, analyse and evaluate information from a variety of sources</w:t>
            </w:r>
          </w:p>
          <w:p w:rsidR="00000000" w:rsidRPr="00C9630D" w:rsidP="00C9630D">
            <w:pPr>
              <w:pStyle w:val="ListBullet"/>
            </w:pPr>
            <w:r w:rsidRPr="00C9630D">
              <w:t xml:space="preserve">identify, map and document process steps for a defined purpose </w:t>
            </w:r>
          </w:p>
          <w:p w:rsidR="00000000" w:rsidP="00C9630D">
            <w:pPr>
              <w:pStyle w:val="ListBullet"/>
              <w:rPr>
                <w:lang w:val="en-NZ"/>
              </w:rPr>
            </w:pPr>
            <w:r w:rsidRPr="00C9630D">
              <w:t>analyse process map to determine suitability against the original purpose of the process mapping.</w:t>
            </w:r>
          </w:p>
        </w:tc>
      </w:tr>
      <w:tr w:rsidTr="00C96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0D">
            <w:pPr>
              <w:pStyle w:val="BodyText"/>
              <w:rPr>
                <w:lang w:val="en-NZ"/>
              </w:rPr>
            </w:pPr>
            <w:r w:rsidRPr="00C9630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t xml:space="preserve">Assessment of performance must be undertaken in a workplace using or implementing one or more competitive systems and practices. </w:t>
            </w:r>
          </w:p>
          <w:p w:rsidR="00000000" w:rsidRPr="00C9630D" w:rsidP="00C9630D">
            <w:pPr>
              <w:pStyle w:val="BodyText"/>
            </w:pPr>
            <w:r w:rsidRPr="00C9630D">
              <w:t>Access may be required to:</w:t>
            </w:r>
          </w:p>
          <w:p w:rsidR="00000000" w:rsidRPr="00C9630D" w:rsidP="00C9630D">
            <w:pPr>
              <w:pStyle w:val="ListBullet"/>
            </w:pPr>
            <w:r w:rsidRPr="00C9630D">
              <w:t>workplace procedures and plans relevant to work a</w:t>
            </w:r>
            <w:r w:rsidRPr="00C9630D">
              <w:t>rea</w:t>
            </w:r>
          </w:p>
          <w:p w:rsidR="00000000" w:rsidRPr="00C9630D" w:rsidP="00C9630D">
            <w:pPr>
              <w:pStyle w:val="ListBullet"/>
            </w:pPr>
            <w:r w:rsidRPr="00C9630D">
              <w:t>specifications and documentation relating to planned, currently being implemented, or implemented changes to work processes and procedures relevant to the assessee</w:t>
            </w:r>
          </w:p>
          <w:p w:rsidR="00000000" w:rsidRPr="00C9630D" w:rsidP="00C9630D">
            <w:pPr>
              <w:pStyle w:val="ListBullet"/>
            </w:pPr>
            <w:r w:rsidRPr="00C9630D">
              <w:t>documentation and information in relation to production, waste, overheads and hazard con</w:t>
            </w:r>
            <w:r w:rsidRPr="00C9630D">
              <w:t>trol/management</w:t>
            </w:r>
          </w:p>
          <w:p w:rsidR="00000000" w:rsidRPr="00C9630D" w:rsidP="00C9630D">
            <w:pPr>
              <w:pStyle w:val="ListBullet"/>
            </w:pPr>
            <w:r w:rsidRPr="00C9630D">
              <w:t>reports from supervisors/managers</w:t>
            </w:r>
          </w:p>
          <w:p w:rsidR="00000000" w:rsidP="00C9630D">
            <w:pPr>
              <w:pStyle w:val="ListBullet"/>
              <w:rPr>
                <w:lang w:val="en-NZ"/>
              </w:rPr>
            </w:pPr>
            <w:r w:rsidRPr="00C9630D">
              <w:t>case studies and scenarios to assess responses to contingencies.</w:t>
            </w:r>
          </w:p>
        </w:tc>
      </w:tr>
      <w:tr w:rsidTr="00C96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0D">
            <w:pPr>
              <w:pStyle w:val="BodyText"/>
              <w:rPr>
                <w:lang w:val="en-NZ"/>
              </w:rPr>
            </w:pPr>
            <w:r w:rsidRPr="00C9630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t>A holistic approach should be taken to the assessment.</w:t>
            </w:r>
          </w:p>
          <w:p w:rsidR="00000000" w:rsidRPr="00C9630D" w:rsidP="00C9630D">
            <w:pPr>
              <w:pStyle w:val="BodyText"/>
            </w:pPr>
            <w:r w:rsidRPr="00C9630D">
              <w:t>Competence in this unit may be assessed by using a combination o</w:t>
            </w:r>
            <w:r w:rsidRPr="00C9630D">
              <w:t>f the following to generate evidence:</w:t>
            </w:r>
          </w:p>
          <w:p w:rsidR="00000000" w:rsidRPr="00C9630D" w:rsidP="00C9630D">
            <w:pPr>
              <w:pStyle w:val="ListBullet"/>
            </w:pPr>
            <w:r w:rsidRPr="00C9630D">
              <w:t>demonstration in the workplace</w:t>
            </w:r>
          </w:p>
          <w:p w:rsidR="00000000" w:rsidRPr="00C9630D" w:rsidP="00C9630D">
            <w:pPr>
              <w:pStyle w:val="ListBullet"/>
            </w:pPr>
            <w:r w:rsidRPr="00C9630D">
              <w:t>workplace projects</w:t>
            </w:r>
          </w:p>
          <w:p w:rsidR="00000000" w:rsidRPr="00C9630D" w:rsidP="00C9630D">
            <w:pPr>
              <w:pStyle w:val="ListBullet"/>
            </w:pPr>
            <w:r w:rsidRPr="00C9630D">
              <w:t>suitable simulation</w:t>
            </w:r>
          </w:p>
          <w:p w:rsidR="00000000" w:rsidRPr="00C9630D" w:rsidP="00C9630D">
            <w:pPr>
              <w:pStyle w:val="ListBullet"/>
            </w:pPr>
            <w:r w:rsidRPr="00C9630D">
              <w:t>case studies/scenarios (particularly for assessment of contingencies, improvement scenarios, and so on)</w:t>
            </w:r>
          </w:p>
          <w:p w:rsidR="00000000" w:rsidRPr="00C9630D" w:rsidP="00C9630D">
            <w:pPr>
              <w:pStyle w:val="ListBullet"/>
            </w:pPr>
            <w:r w:rsidRPr="00C9630D">
              <w:t xml:space="preserve">targeted questioning </w:t>
            </w:r>
          </w:p>
          <w:p w:rsidR="00000000" w:rsidRPr="00C9630D" w:rsidP="00C9630D">
            <w:pPr>
              <w:pStyle w:val="ListBullet"/>
            </w:pPr>
            <w:r w:rsidRPr="00C9630D">
              <w:t>reports from supervisors, peers and colleagues (third-party reports)</w:t>
            </w:r>
          </w:p>
          <w:p w:rsidR="00000000" w:rsidRPr="00C9630D" w:rsidP="00C9630D">
            <w:pPr>
              <w:pStyle w:val="ListBullet"/>
            </w:pPr>
            <w:r w:rsidRPr="00C9630D">
              <w:t>portfolio of evidence.</w:t>
            </w:r>
          </w:p>
          <w:p w:rsidR="00000000" w:rsidRPr="00C9630D" w:rsidP="00C9630D">
            <w:pPr>
              <w:pStyle w:val="BodyText"/>
            </w:pPr>
            <w:r w:rsidRPr="00C9630D">
              <w:t xml:space="preserve">In all cases it is expected that practical assessment will be combined with targeted questioning to assess underpinning knowledge. </w:t>
            </w:r>
          </w:p>
          <w:p w:rsidR="00000000" w:rsidP="00C9630D">
            <w:pPr>
              <w:pStyle w:val="BodyText"/>
              <w:rPr>
                <w:lang w:val="en-NZ"/>
              </w:rPr>
            </w:pPr>
            <w:r w:rsidRPr="00C9630D">
              <w:t>Where applicable, reasonable adj</w:t>
            </w:r>
            <w:r w:rsidRPr="00C9630D">
              <w:t>ustment must be made to work environments and training situations to accommodate ethnicity, age, gender, demographics and disability.</w:t>
            </w:r>
          </w:p>
        </w:tc>
      </w:tr>
      <w:tr w:rsidTr="00C96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0D">
            <w:pPr>
              <w:pStyle w:val="BodyText"/>
              <w:rPr>
                <w:lang w:val="en-NZ"/>
              </w:rPr>
            </w:pPr>
            <w:r w:rsidRPr="00C9630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t>Assessment processes and techniques must be culturally appropriate and appropriate to</w:t>
            </w:r>
            <w:r w:rsidRPr="00C9630D">
              <w:t xml:space="preserve"> the oracy, language and literacy capacity of the candidate and the work being performed.</w:t>
            </w:r>
          </w:p>
        </w:tc>
      </w:tr>
    </w:tbl>
    <w:p w:rsidR="006706A9" w:rsidP="00C9630D">
      <w:pPr>
        <w:pStyle w:val="BodyText"/>
      </w:pPr>
    </w:p>
    <w:p w:rsidR="006706A9" w:rsidP="00C9630D">
      <w:pPr>
        <w:pStyle w:val="BodyText"/>
      </w:pPr>
    </w:p>
    <w:p w:rsidR="00000000" w:rsidRPr="00C9630D" w:rsidP="00C9630D">
      <w:pPr>
        <w:pStyle w:val="Heading1"/>
      </w:pPr>
      <w:bookmarkStart w:id="11" w:name="O_466951"/>
      <w:bookmarkEnd w:id="11"/>
      <w:r w:rsidRPr="00C9630D">
        <w:t>Range Statement</w:t>
      </w:r>
    </w:p>
    <w:tbl>
      <w:tblPr>
        <w:tblW w:w="0" w:type="auto"/>
        <w:tblCellMar>
          <w:left w:w="62" w:type="dxa"/>
          <w:right w:w="62" w:type="dxa"/>
        </w:tblCellMar>
        <w:tblLook w:val="0000"/>
      </w:tblPr>
      <w:tblGrid>
        <w:gridCol w:w="3138"/>
        <w:gridCol w:w="6058"/>
      </w:tblGrid>
      <w:tr w:rsidTr="006706A9">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9630D">
            <w:pPr>
              <w:pStyle w:val="BodyText"/>
              <w:rPr>
                <w:lang w:val="en-NZ"/>
              </w:rPr>
            </w:pPr>
            <w:r w:rsidRPr="00C9630D">
              <w:t>The range statement relates to the unit of competency as a whole. It allows for different work environments and situations that may affect performance. Bold italicised wording, if used in the performance criteria, is detailed below. Essential operating con</w:t>
            </w:r>
            <w:r w:rsidRPr="00C9630D">
              <w:t>ditions that may be present with training and assessment (depending on the work situation, needs of the candidate, accessibility of the item, and local industry and regional contexts) may also be included.</w:t>
            </w:r>
          </w:p>
        </w:tc>
      </w:tr>
      <w:tr w:rsidTr="00670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t>Competitive s</w:t>
            </w:r>
            <w:r w:rsidRPr="00C9630D">
              <w:t>ystems and practices may include, but are not limited to:</w:t>
            </w:r>
          </w:p>
          <w:p w:rsidR="00000000" w:rsidRPr="00C9630D" w:rsidP="00C9630D">
            <w:pPr>
              <w:pStyle w:val="ListBullet"/>
            </w:pPr>
            <w:r w:rsidRPr="00C9630D">
              <w:t>lean operations</w:t>
            </w:r>
          </w:p>
          <w:p w:rsidR="00000000" w:rsidRPr="00C9630D" w:rsidP="00C9630D">
            <w:pPr>
              <w:pStyle w:val="ListBullet"/>
            </w:pPr>
            <w:r w:rsidRPr="00C9630D">
              <w:t>agile operations</w:t>
            </w:r>
          </w:p>
          <w:p w:rsidR="00000000" w:rsidRPr="00C9630D" w:rsidP="00C9630D">
            <w:pPr>
              <w:pStyle w:val="ListBullet"/>
            </w:pPr>
            <w:r w:rsidRPr="00C9630D">
              <w:t>preventative and predictive maintenance approaches</w:t>
            </w:r>
          </w:p>
          <w:p w:rsidR="00000000" w:rsidRPr="00C9630D" w:rsidP="00C9630D">
            <w:pPr>
              <w:pStyle w:val="ListBullet"/>
            </w:pPr>
            <w:r w:rsidRPr="00C9630D">
              <w:t xml:space="preserve">monitoring and data gathering systems, such as Systems Control and Data Acquisition (SCADA) software, Enterprise </w:t>
            </w:r>
            <w:r w:rsidRPr="00C9630D">
              <w:t xml:space="preserve">Resource Planning (ERP) systems, Materials Resource Planning (MRP) and proprietary systems </w:t>
            </w:r>
          </w:p>
          <w:p w:rsidR="00000000" w:rsidRPr="00C9630D" w:rsidP="00C9630D">
            <w:pPr>
              <w:pStyle w:val="ListBullet"/>
            </w:pPr>
            <w:r w:rsidRPr="00C9630D">
              <w:t>statistical process control systems, including six sigma and three sigma</w:t>
            </w:r>
          </w:p>
          <w:p w:rsidR="00000000" w:rsidRPr="00C9630D" w:rsidP="00C9630D">
            <w:pPr>
              <w:pStyle w:val="ListBullet"/>
            </w:pPr>
            <w:r w:rsidRPr="00C9630D">
              <w:t>Just in Time (JIT), kanban and other pull-related operations control systems</w:t>
            </w:r>
          </w:p>
          <w:p w:rsidR="00000000" w:rsidRPr="00C9630D" w:rsidP="00C9630D">
            <w:pPr>
              <w:pStyle w:val="ListBullet"/>
            </w:pPr>
            <w:r w:rsidRPr="00C9630D">
              <w:t>supply, value,</w:t>
            </w:r>
            <w:r w:rsidRPr="00C9630D">
              <w:t xml:space="preserve"> and demand chain monitoring and analysis</w:t>
            </w:r>
          </w:p>
          <w:p w:rsidR="00000000" w:rsidRPr="00C9630D" w:rsidP="00C9630D">
            <w:pPr>
              <w:pStyle w:val="ListBullet"/>
            </w:pPr>
            <w:r w:rsidRPr="00C9630D">
              <w:t xml:space="preserve">5S </w:t>
            </w:r>
          </w:p>
          <w:p w:rsidR="00000000" w:rsidRPr="00C9630D" w:rsidP="00C9630D">
            <w:pPr>
              <w:pStyle w:val="ListBullet"/>
            </w:pPr>
            <w:r w:rsidRPr="00C9630D">
              <w:t>continuous improvement (kaizen)</w:t>
            </w:r>
          </w:p>
          <w:p w:rsidR="00000000" w:rsidRPr="00C9630D" w:rsidP="00C9630D">
            <w:pPr>
              <w:pStyle w:val="ListBullet"/>
            </w:pPr>
            <w:r w:rsidRPr="00C9630D">
              <w:t>breakthrough improvement (kaizen blitz)</w:t>
            </w:r>
          </w:p>
          <w:p w:rsidR="00000000" w:rsidRPr="00C9630D" w:rsidP="00C9630D">
            <w:pPr>
              <w:pStyle w:val="ListBullet"/>
            </w:pPr>
            <w:r w:rsidRPr="00C9630D">
              <w:t>cause/effect diagrams</w:t>
            </w:r>
          </w:p>
          <w:p w:rsidR="00000000" w:rsidRPr="00C9630D" w:rsidP="00C9630D">
            <w:pPr>
              <w:pStyle w:val="ListBullet"/>
            </w:pPr>
            <w:r w:rsidRPr="00C9630D">
              <w:t>overall equipment effectiveness (OEE)</w:t>
            </w:r>
          </w:p>
          <w:p w:rsidR="00000000" w:rsidRPr="00C9630D" w:rsidP="00C9630D">
            <w:pPr>
              <w:pStyle w:val="ListBullet"/>
            </w:pPr>
            <w:r w:rsidRPr="00C9630D">
              <w:t>takt time</w:t>
            </w:r>
          </w:p>
          <w:p w:rsidR="00000000" w:rsidRPr="00C9630D" w:rsidP="00C9630D">
            <w:pPr>
              <w:pStyle w:val="ListBullet"/>
            </w:pPr>
            <w:r w:rsidRPr="00C9630D">
              <w:t>process mapping</w:t>
            </w:r>
          </w:p>
          <w:p w:rsidR="00000000" w:rsidRPr="00C9630D" w:rsidP="00C9630D">
            <w:pPr>
              <w:pStyle w:val="ListBullet"/>
            </w:pPr>
            <w:r w:rsidRPr="00C9630D">
              <w:t xml:space="preserve">problem solving </w:t>
            </w:r>
          </w:p>
          <w:p w:rsidR="00000000" w:rsidRPr="00C9630D" w:rsidP="00C9630D">
            <w:pPr>
              <w:pStyle w:val="ListBullet"/>
            </w:pPr>
            <w:r w:rsidRPr="00C9630D">
              <w:t>run charts</w:t>
            </w:r>
          </w:p>
          <w:p w:rsidR="00000000" w:rsidRPr="00C9630D" w:rsidP="00C9630D">
            <w:pPr>
              <w:pStyle w:val="ListBullet"/>
            </w:pPr>
            <w:r w:rsidRPr="00C9630D">
              <w:t>standard procedures</w:t>
            </w:r>
          </w:p>
          <w:p w:rsidR="00000000" w:rsidRPr="00C9630D" w:rsidP="00C9630D">
            <w:pPr>
              <w:pStyle w:val="ListBullet"/>
            </w:pPr>
            <w:r w:rsidRPr="00C9630D">
              <w:t>current reality tree</w:t>
            </w:r>
          </w:p>
          <w:p w:rsidR="00000000" w:rsidRPr="00C9630D" w:rsidP="00C9630D">
            <w:pPr>
              <w:pStyle w:val="BodyText"/>
            </w:pPr>
            <w:r w:rsidRPr="00C9630D">
              <w:t>Competitive systems and practices should be interpreted so as to take into account:</w:t>
            </w:r>
          </w:p>
          <w:p w:rsidR="00000000" w:rsidRPr="00C9630D" w:rsidP="00C9630D">
            <w:pPr>
              <w:pStyle w:val="ListBullet"/>
            </w:pPr>
            <w:r w:rsidRPr="00C9630D">
              <w:t>the stage of implementation of competitive systems and practices</w:t>
            </w:r>
          </w:p>
          <w:p w:rsidR="00000000" w:rsidRPr="00C9630D" w:rsidP="00C9630D">
            <w:pPr>
              <w:pStyle w:val="ListBullet"/>
            </w:pPr>
            <w:r w:rsidRPr="00C9630D">
              <w:t>the size of the enterprise</w:t>
            </w:r>
          </w:p>
          <w:p w:rsidR="00000000" w:rsidP="00C9630D">
            <w:pPr>
              <w:pStyle w:val="ListBullet"/>
              <w:rPr>
                <w:lang w:val="en-NZ"/>
              </w:rPr>
            </w:pPr>
            <w:r w:rsidRPr="00C9630D">
              <w:t>the work organisation, culture, regulatory environment and</w:t>
            </w:r>
            <w:r w:rsidRPr="00C9630D">
              <w:t xml:space="preserve"> the industry sector</w:t>
            </w:r>
          </w:p>
        </w:tc>
      </w:tr>
      <w:tr w:rsidTr="00670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0D">
            <w:pPr>
              <w:pStyle w:val="BodyText"/>
              <w:rPr>
                <w:lang w:val="en-NZ"/>
              </w:rPr>
            </w:pPr>
            <w:r w:rsidRPr="00C9630D">
              <w:rPr>
                <w:rStyle w:val="SpecialBold"/>
              </w:rPr>
              <w:t>Appropriate process mapping technique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t xml:space="preserve">Flow chart/mapping techniques may be undertaken using appropriate software or as hard copy to create a visual representation of the process. Techniques include: </w:t>
            </w:r>
          </w:p>
          <w:p w:rsidR="00000000" w:rsidRPr="00C9630D" w:rsidP="00C9630D">
            <w:pPr>
              <w:pStyle w:val="ListBullet"/>
            </w:pPr>
            <w:r w:rsidRPr="00C9630D">
              <w:t>supplier-input-process-output-customer (SIPOC)</w:t>
            </w:r>
          </w:p>
          <w:p w:rsidR="00000000" w:rsidRPr="00C9630D" w:rsidP="00C9630D">
            <w:pPr>
              <w:pStyle w:val="ListBullet"/>
            </w:pPr>
            <w:r w:rsidRPr="00C9630D">
              <w:t>high-level process map</w:t>
            </w:r>
          </w:p>
          <w:p w:rsidR="00000000" w:rsidRPr="00C9630D" w:rsidP="00C9630D">
            <w:pPr>
              <w:pStyle w:val="ListBullet"/>
            </w:pPr>
            <w:r w:rsidRPr="00C9630D">
              <w:t>process flow chart</w:t>
            </w:r>
          </w:p>
          <w:p w:rsidR="00000000" w:rsidRPr="00C9630D" w:rsidP="00C9630D">
            <w:pPr>
              <w:pStyle w:val="ListBullet"/>
            </w:pPr>
            <w:r w:rsidRPr="00C9630D">
              <w:t>top down</w:t>
            </w:r>
          </w:p>
          <w:p w:rsidR="00000000" w:rsidRPr="00C9630D" w:rsidP="00C9630D">
            <w:pPr>
              <w:pStyle w:val="ListBullet"/>
            </w:pPr>
            <w:r w:rsidRPr="00C9630D">
              <w:t>responsibility matrix</w:t>
            </w:r>
          </w:p>
          <w:p w:rsidR="00000000" w:rsidRPr="00C9630D" w:rsidP="00C9630D">
            <w:pPr>
              <w:pStyle w:val="ListBullet"/>
            </w:pPr>
            <w:r w:rsidRPr="00C9630D">
              <w:t>document map</w:t>
            </w:r>
          </w:p>
          <w:p w:rsidR="00000000" w:rsidRPr="00C9630D" w:rsidP="00C9630D">
            <w:pPr>
              <w:pStyle w:val="ListBullet"/>
            </w:pPr>
            <w:r w:rsidRPr="00C9630D">
              <w:t xml:space="preserve">cross-functional or swim lanes process map </w:t>
            </w:r>
          </w:p>
          <w:p w:rsidR="00000000" w:rsidRPr="00C9630D" w:rsidP="00C9630D">
            <w:pPr>
              <w:pStyle w:val="ListBullet"/>
            </w:pPr>
            <w:r w:rsidRPr="00C9630D">
              <w:t>work flow diagram</w:t>
            </w:r>
          </w:p>
          <w:p w:rsidR="00000000" w:rsidRPr="00C9630D" w:rsidP="00C9630D">
            <w:pPr>
              <w:pStyle w:val="BodyText"/>
            </w:pPr>
            <w:r w:rsidRPr="00C9630D">
              <w:t>The technique will typically define a method for visually rep</w:t>
            </w:r>
            <w:r w:rsidRPr="00C9630D">
              <w:t>resenting the process such as a set of symbols or layout for a word document, spreadsheet or drawing.</w:t>
            </w:r>
          </w:p>
          <w:p w:rsidR="00000000" w:rsidRPr="00C9630D" w:rsidP="00C9630D">
            <w:pPr>
              <w:pStyle w:val="BodyText"/>
            </w:pPr>
            <w:r w:rsidRPr="00C9630D">
              <w:t>Software applications may include:</w:t>
            </w:r>
          </w:p>
          <w:p w:rsidR="00000000" w:rsidRPr="00C9630D" w:rsidP="00C9630D">
            <w:pPr>
              <w:pStyle w:val="ListBullet"/>
            </w:pPr>
            <w:r w:rsidRPr="00C9630D">
              <w:t>Visio</w:t>
            </w:r>
          </w:p>
          <w:p w:rsidR="00000000" w:rsidRPr="00C9630D" w:rsidP="00C9630D">
            <w:pPr>
              <w:pStyle w:val="ListBullet"/>
            </w:pPr>
            <w:r w:rsidRPr="00C9630D">
              <w:t>computer aided design and drafting (CADD) programs</w:t>
            </w:r>
          </w:p>
          <w:p w:rsidR="00000000" w:rsidRPr="00C9630D" w:rsidP="00C9630D">
            <w:pPr>
              <w:pStyle w:val="ListBullet"/>
            </w:pPr>
            <w:r w:rsidRPr="00C9630D">
              <w:t>Microsoft Project</w:t>
            </w:r>
          </w:p>
          <w:p w:rsidR="00000000" w:rsidP="00C9630D">
            <w:pPr>
              <w:pStyle w:val="ListBullet"/>
              <w:rPr>
                <w:lang w:val="en-NZ"/>
              </w:rPr>
            </w:pPr>
            <w:r w:rsidRPr="00C9630D">
              <w:t>other graphic, modelling or flow chart applications</w:t>
            </w:r>
          </w:p>
        </w:tc>
      </w:tr>
      <w:tr w:rsidTr="00670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0D">
            <w:pPr>
              <w:pStyle w:val="BodyText"/>
              <w:rPr>
                <w:lang w:val="en-NZ"/>
              </w:rPr>
            </w:pPr>
            <w:r w:rsidRPr="00C9630D">
              <w:rPr>
                <w:rStyle w:val="SpecialBold"/>
              </w:rPr>
              <w:t xml:space="preserve">Aspects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t>Aspects to focus on may include:</w:t>
            </w:r>
          </w:p>
          <w:p w:rsidR="00000000" w:rsidRPr="00C9630D" w:rsidP="00C9630D">
            <w:pPr>
              <w:pStyle w:val="ListBullet"/>
            </w:pPr>
            <w:r w:rsidRPr="00C9630D">
              <w:t>process activities</w:t>
            </w:r>
          </w:p>
          <w:p w:rsidR="00000000" w:rsidRPr="00C9630D" w:rsidP="00C9630D">
            <w:pPr>
              <w:pStyle w:val="ListBullet"/>
            </w:pPr>
            <w:r w:rsidRPr="00C9630D">
              <w:t xml:space="preserve">flow of information and/or documents </w:t>
            </w:r>
          </w:p>
          <w:p w:rsidR="00000000" w:rsidRPr="00C9630D" w:rsidP="00C9630D">
            <w:pPr>
              <w:pStyle w:val="ListBullet"/>
            </w:pPr>
            <w:r w:rsidRPr="00C9630D">
              <w:t>decision points</w:t>
            </w:r>
          </w:p>
          <w:p w:rsidR="00000000" w:rsidRPr="00C9630D" w:rsidP="00C9630D">
            <w:pPr>
              <w:pStyle w:val="ListBullet"/>
            </w:pPr>
            <w:r w:rsidRPr="00C9630D">
              <w:t>ranking of process steps into:</w:t>
            </w:r>
          </w:p>
          <w:p w:rsidR="00000000" w:rsidRPr="00C9630D" w:rsidP="00C9630D">
            <w:pPr>
              <w:pStyle w:val="ListBullet2"/>
            </w:pPr>
            <w:r w:rsidRPr="00C9630D">
              <w:t>essential (process essential for achieving outcomes/goa</w:t>
            </w:r>
            <w:r w:rsidRPr="00C9630D">
              <w:t>ls)</w:t>
            </w:r>
          </w:p>
          <w:p w:rsidR="00000000" w:rsidRPr="00C9630D" w:rsidP="00C9630D">
            <w:pPr>
              <w:pStyle w:val="ListBullet2"/>
            </w:pPr>
            <w:r w:rsidRPr="00C9630D">
              <w:t>important (process which improves outcomes/goals through greater speed or quality)</w:t>
            </w:r>
          </w:p>
          <w:p w:rsidR="00000000" w:rsidRPr="00C9630D" w:rsidP="00C9630D">
            <w:pPr>
              <w:pStyle w:val="ListBullet2"/>
            </w:pPr>
            <w:r w:rsidRPr="00C9630D">
              <w:t>optional (current or required process not related to achievement of outcomes/goals)</w:t>
            </w:r>
          </w:p>
          <w:p w:rsidR="00000000" w:rsidRPr="00C9630D" w:rsidP="00C9630D">
            <w:pPr>
              <w:pStyle w:val="ListBullet"/>
            </w:pPr>
            <w:r w:rsidRPr="00C9630D">
              <w:t>personnel and levels of responsibilities</w:t>
            </w:r>
          </w:p>
          <w:p w:rsidR="00000000" w:rsidRPr="00C9630D" w:rsidP="00C9630D">
            <w:pPr>
              <w:pStyle w:val="ListBullet"/>
            </w:pPr>
            <w:r w:rsidRPr="00C9630D">
              <w:t>cross-functional interactions</w:t>
            </w:r>
          </w:p>
          <w:p w:rsidR="00000000" w:rsidRPr="00C9630D" w:rsidP="00C9630D">
            <w:pPr>
              <w:pStyle w:val="ListBullet"/>
            </w:pPr>
            <w:r w:rsidRPr="00C9630D">
              <w:t>workflow and bottlenecks</w:t>
            </w:r>
          </w:p>
          <w:p w:rsidR="00000000" w:rsidP="00C9630D">
            <w:pPr>
              <w:pStyle w:val="ListBullet"/>
              <w:rPr>
                <w:lang w:val="en-NZ"/>
              </w:rPr>
            </w:pPr>
            <w:r w:rsidRPr="00C9630D">
              <w:t>quantifiables, such as lead time, work volume and handoffs</w:t>
            </w:r>
          </w:p>
        </w:tc>
      </w:tr>
      <w:tr w:rsidTr="00670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0D">
            <w:pPr>
              <w:pStyle w:val="BodyText"/>
              <w:rPr>
                <w:lang w:val="en-NZ"/>
              </w:rPr>
            </w:pPr>
            <w:r w:rsidRPr="00C9630D">
              <w:rPr>
                <w:rStyle w:val="SpecialBold"/>
              </w:rPr>
              <w:t>Process stakeholders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0D" w:rsidP="00C9630D">
            <w:pPr>
              <w:pStyle w:val="BodyText"/>
            </w:pPr>
            <w:r w:rsidRPr="00C9630D">
              <w:t>A process may comprise activities that are undertaken by one person or by several people. Process stakeholders may include:</w:t>
            </w:r>
          </w:p>
          <w:p w:rsidR="00000000" w:rsidRPr="00C9630D" w:rsidP="00C9630D">
            <w:pPr>
              <w:pStyle w:val="ListBullet"/>
            </w:pPr>
            <w:r w:rsidRPr="00C9630D">
              <w:t>th</w:t>
            </w:r>
            <w:r w:rsidRPr="00C9630D">
              <w:t xml:space="preserve">e person undertaking a single-person process </w:t>
            </w:r>
          </w:p>
          <w:p w:rsidR="00000000" w:rsidRPr="00C9630D" w:rsidP="00C9630D">
            <w:pPr>
              <w:pStyle w:val="ListBullet"/>
            </w:pPr>
            <w:r w:rsidRPr="00C9630D">
              <w:t>a sample/representative of people undertaking each activity or step in a multi-person process</w:t>
            </w:r>
          </w:p>
          <w:p w:rsidR="00000000" w:rsidRPr="00C9630D" w:rsidP="00C9630D">
            <w:pPr>
              <w:pStyle w:val="ListBullet"/>
            </w:pPr>
            <w:r w:rsidRPr="00C9630D">
              <w:t>line managers</w:t>
            </w:r>
          </w:p>
          <w:p w:rsidR="00000000" w:rsidRPr="00C9630D" w:rsidP="00C9630D">
            <w:pPr>
              <w:pStyle w:val="ListBullet"/>
            </w:pPr>
            <w:r w:rsidRPr="00C9630D">
              <w:t>senior managers</w:t>
            </w:r>
          </w:p>
          <w:p w:rsidR="00000000" w:rsidRPr="00C9630D" w:rsidP="00C9630D">
            <w:pPr>
              <w:pStyle w:val="ListBullet"/>
            </w:pPr>
            <w:r w:rsidRPr="00C9630D">
              <w:t>internal customers</w:t>
            </w:r>
          </w:p>
          <w:p w:rsidR="00000000" w:rsidRPr="00C9630D" w:rsidP="00C9630D">
            <w:pPr>
              <w:pStyle w:val="ListBullet"/>
            </w:pPr>
            <w:r w:rsidRPr="00C9630D">
              <w:t>external customers</w:t>
            </w:r>
          </w:p>
        </w:tc>
      </w:tr>
    </w:tbl>
    <w:p w:rsidR="006706A9" w:rsidP="00C9630D">
      <w:pPr>
        <w:pStyle w:val="BodyText"/>
      </w:pPr>
    </w:p>
    <w:p w:rsidR="006706A9" w:rsidP="00C9630D">
      <w:pPr>
        <w:pStyle w:val="BodyText"/>
      </w:pPr>
    </w:p>
    <w:p w:rsidR="00000000" w:rsidRPr="00C9630D" w:rsidP="00C9630D">
      <w:pPr>
        <w:pStyle w:val="Heading1"/>
      </w:pPr>
      <w:bookmarkStart w:id="12" w:name="O_466952"/>
      <w:bookmarkEnd w:id="12"/>
      <w:r w:rsidRPr="00C9630D">
        <w:t>Unit Sector(s)</w:t>
      </w:r>
    </w:p>
    <w:tbl>
      <w:tblPr>
        <w:tblW w:w="9354" w:type="dxa"/>
        <w:tblLayout w:type="fixed"/>
        <w:tblCellMar>
          <w:left w:w="62" w:type="dxa"/>
          <w:right w:w="62" w:type="dxa"/>
        </w:tblCellMar>
        <w:tblLook w:val="0000"/>
      </w:tblPr>
      <w:tblGrid>
        <w:gridCol w:w="2592"/>
        <w:gridCol w:w="6762"/>
      </w:tblGrid>
      <w:tr w:rsidTr="00C9630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9630D">
            <w:pPr>
              <w:pStyle w:val="BodyText"/>
              <w:rPr>
                <w:lang w:val="en-NZ"/>
              </w:rPr>
            </w:pPr>
            <w:r w:rsidRPr="00C9630D">
              <w:t>Unit sector</w:t>
            </w:r>
          </w:p>
        </w:tc>
        <w:tc>
          <w:tcPr>
            <w:tcW w:w="6762" w:type="dxa"/>
            <w:tcBorders>
              <w:top w:val="nil"/>
              <w:left w:val="nil"/>
              <w:bottom w:val="nil"/>
              <w:right w:val="nil"/>
            </w:tcBorders>
            <w:tcMar>
              <w:top w:w="0" w:type="dxa"/>
              <w:left w:w="62" w:type="dxa"/>
              <w:bottom w:w="0" w:type="dxa"/>
              <w:right w:w="62" w:type="dxa"/>
            </w:tcMar>
          </w:tcPr>
          <w:p w:rsidR="00000000" w:rsidRPr="00C9630D" w:rsidP="00C9630D">
            <w:pPr>
              <w:pStyle w:val="BodyText"/>
            </w:pPr>
            <w:r w:rsidRPr="00C9630D">
              <w:t>Competitive systems and practices</w:t>
            </w:r>
          </w:p>
        </w:tc>
      </w:tr>
    </w:tbl>
    <w:p w:rsidR="00000000" w:rsidRPr="00C9630D" w:rsidP="00C9630D">
      <w:pPr>
        <w:pStyle w:val="BodyText"/>
      </w:pPr>
    </w:p>
    <w:p w:rsidR="00000000" w:rsidRPr="00C9630D" w:rsidP="00C9630D">
      <w:pPr>
        <w:pStyle w:val="AllowPageBreak"/>
      </w:pPr>
    </w:p>
    <w:p w:rsidR="00000000" w:rsidRPr="00C9630D" w:rsidP="00C9630D">
      <w:pPr>
        <w:pStyle w:val="Heading1"/>
      </w:pPr>
      <w:bookmarkStart w:id="13" w:name="O_466953"/>
      <w:bookmarkEnd w:id="13"/>
      <w:r w:rsidRPr="00C9630D">
        <w:t>Custom Content Section</w:t>
      </w:r>
    </w:p>
    <w:p w:rsidR="00000000" w:rsidRPr="00C9630D" w:rsidP="00C9630D">
      <w:pPr>
        <w:pStyle w:val="BodyText"/>
      </w:pPr>
      <w:r w:rsidRPr="00C9630D">
        <w:t>Not applicable.</w:t>
      </w:r>
    </w:p>
    <w:p w:rsidR="00000000" w:rsidRPr="00C9630D" w:rsidP="00C9630D"/>
    <w:sectPr w:rsidSect="00C96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6A9" w:rsidP="00670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A9" w:rsidP="00C96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06A9" w:rsidP="00C963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06A9" w:rsidP="00C963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6A9" w:rsidP="006706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A9" w:rsidP="00C9630D">
    <w:pPr>
      <w:pStyle w:val="Header"/>
      <w:framePr w:wrap="around"/>
    </w:pPr>
    <w:r>
      <w:fldChar w:fldCharType="begin"/>
    </w:r>
    <w:r>
      <w:instrText xml:space="preserve"> TITLE   \* MERGEFORMAT </w:instrText>
    </w:r>
    <w:r>
      <w:fldChar w:fldCharType="separate"/>
    </w:r>
    <w:r>
      <w:t>MSS403033A Map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06A9" w:rsidP="00C963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AF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24A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45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3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630D"/>
    <w:pPr>
      <w:spacing w:before="360" w:after="60"/>
      <w:outlineLvl w:val="0"/>
    </w:pPr>
    <w:rPr>
      <w:sz w:val="32"/>
    </w:rPr>
  </w:style>
  <w:style w:type="paragraph" w:styleId="Heading2">
    <w:name w:val="heading 2"/>
    <w:basedOn w:val="HeadingBase"/>
    <w:next w:val="BodyText"/>
    <w:link w:val="Heading2Char"/>
    <w:qFormat/>
    <w:rsid w:val="00C9630D"/>
    <w:pPr>
      <w:keepLines/>
      <w:spacing w:before="240" w:after="120"/>
      <w:outlineLvl w:val="1"/>
    </w:pPr>
    <w:rPr>
      <w:sz w:val="28"/>
      <w:szCs w:val="40"/>
    </w:rPr>
  </w:style>
  <w:style w:type="paragraph" w:styleId="Heading3">
    <w:name w:val="heading 3"/>
    <w:basedOn w:val="HeadingBase"/>
    <w:next w:val="BodyText"/>
    <w:link w:val="Heading3Char"/>
    <w:qFormat/>
    <w:rsid w:val="00C9630D"/>
    <w:pPr>
      <w:spacing w:before="180" w:after="120"/>
      <w:outlineLvl w:val="2"/>
    </w:pPr>
    <w:rPr>
      <w:spacing w:val="-10"/>
      <w:kern w:val="32"/>
    </w:rPr>
  </w:style>
  <w:style w:type="paragraph" w:styleId="Heading4">
    <w:name w:val="heading 4"/>
    <w:basedOn w:val="HeadingBase"/>
    <w:next w:val="BodyText"/>
    <w:link w:val="Heading4Char"/>
    <w:qFormat/>
    <w:rsid w:val="00C9630D"/>
    <w:pPr>
      <w:spacing w:before="160" w:after="120"/>
      <w:outlineLvl w:val="3"/>
    </w:pPr>
    <w:rPr>
      <w:sz w:val="22"/>
    </w:rPr>
  </w:style>
  <w:style w:type="paragraph" w:styleId="Heading5">
    <w:name w:val="heading 5"/>
    <w:basedOn w:val="HeadingBase"/>
    <w:next w:val="Normal"/>
    <w:link w:val="Heading5Char"/>
    <w:qFormat/>
    <w:rsid w:val="00C9630D"/>
    <w:pPr>
      <w:spacing w:before="80"/>
      <w:outlineLvl w:val="4"/>
    </w:pPr>
    <w:rPr>
      <w:color w:val="918585"/>
      <w:sz w:val="20"/>
    </w:rPr>
  </w:style>
  <w:style w:type="paragraph" w:styleId="Heading6">
    <w:name w:val="heading 6"/>
    <w:basedOn w:val="HeadingBase"/>
    <w:next w:val="Normal"/>
    <w:link w:val="Heading6Char"/>
    <w:qFormat/>
    <w:rsid w:val="00C9630D"/>
    <w:pPr>
      <w:spacing w:before="60"/>
      <w:outlineLvl w:val="5"/>
    </w:pPr>
    <w:rPr>
      <w:color w:val="918585"/>
      <w:sz w:val="20"/>
    </w:rPr>
  </w:style>
  <w:style w:type="paragraph" w:styleId="Heading7">
    <w:name w:val="heading 7"/>
    <w:basedOn w:val="Normal"/>
    <w:next w:val="Normal"/>
    <w:link w:val="Heading7Char"/>
    <w:qFormat/>
    <w:rsid w:val="00C9630D"/>
    <w:pPr>
      <w:ind w:left="720"/>
      <w:outlineLvl w:val="6"/>
    </w:pPr>
    <w:rPr>
      <w:i/>
    </w:rPr>
  </w:style>
  <w:style w:type="paragraph" w:styleId="Heading8">
    <w:name w:val="heading 8"/>
    <w:basedOn w:val="Normal"/>
    <w:next w:val="Normal"/>
    <w:link w:val="Heading8Char"/>
    <w:qFormat/>
    <w:rsid w:val="00C9630D"/>
    <w:pPr>
      <w:ind w:left="720"/>
      <w:outlineLvl w:val="7"/>
    </w:pPr>
    <w:rPr>
      <w:i/>
    </w:rPr>
  </w:style>
  <w:style w:type="paragraph" w:styleId="Heading9">
    <w:name w:val="heading 9"/>
    <w:basedOn w:val="Normal"/>
    <w:next w:val="Normal"/>
    <w:link w:val="Heading9Char"/>
    <w:qFormat/>
    <w:rsid w:val="00C9630D"/>
    <w:pPr>
      <w:ind w:left="720"/>
      <w:outlineLvl w:val="8"/>
    </w:pPr>
    <w:rPr>
      <w:i/>
    </w:rPr>
  </w:style>
  <w:style w:type="character" w:default="1" w:styleId="DefaultParagraphFont">
    <w:name w:val="Default Paragraph Font"/>
    <w:uiPriority w:val="1"/>
    <w:unhideWhenUsed/>
    <w:rsid w:val="00C96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30D"/>
  </w:style>
  <w:style w:type="character" w:customStyle="1" w:styleId="Heading1Char">
    <w:name w:val="Heading 1 Char"/>
    <w:link w:val="Heading1"/>
    <w:rsid w:val="00C9630D"/>
    <w:rPr>
      <w:rFonts w:ascii="Times New Roman" w:eastAsia="Times New Roman" w:hAnsi="Times New Roman" w:cs="Times New Roman"/>
      <w:b/>
      <w:sz w:val="32"/>
      <w:szCs w:val="20"/>
      <w:lang w:eastAsia="en-US"/>
    </w:rPr>
  </w:style>
  <w:style w:type="paragraph" w:styleId="BodyText">
    <w:name w:val="Body Text"/>
    <w:basedOn w:val="Normal"/>
    <w:link w:val="BodyTextChar"/>
    <w:rsid w:val="00C9630D"/>
    <w:pPr>
      <w:spacing w:before="120" w:after="120"/>
      <w:contextualSpacing/>
    </w:pPr>
    <w:rPr>
      <w:rFonts w:ascii="Times New Roman" w:hAnsi="Times New Roman"/>
      <w:sz w:val="24"/>
      <w:szCs w:val="22"/>
    </w:rPr>
  </w:style>
  <w:style w:type="character" w:customStyle="1" w:styleId="BodyTextChar">
    <w:name w:val="Body Text Char"/>
    <w:link w:val="BodyText"/>
    <w:rsid w:val="00C9630D"/>
    <w:rPr>
      <w:rFonts w:ascii="Times New Roman" w:eastAsia="Times New Roman" w:hAnsi="Times New Roman" w:cs="Times New Roman"/>
      <w:sz w:val="24"/>
      <w:lang w:val="en-US" w:eastAsia="en-US"/>
    </w:rPr>
  </w:style>
  <w:style w:type="paragraph" w:styleId="Footer">
    <w:name w:val="footer"/>
    <w:basedOn w:val="Normal"/>
    <w:link w:val="FooterChar"/>
    <w:rsid w:val="00C96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630D"/>
    <w:rPr>
      <w:rFonts w:ascii="Times New Roman" w:eastAsia="Times New Roman" w:hAnsi="Times New Roman" w:cs="Times New Roman"/>
      <w:sz w:val="16"/>
      <w:lang w:val="en-US" w:eastAsia="en-US"/>
    </w:rPr>
  </w:style>
  <w:style w:type="paragraph" w:styleId="ListBullet">
    <w:name w:val="List Bullet"/>
    <w:basedOn w:val="List"/>
    <w:rsid w:val="00C9630D"/>
    <w:pPr>
      <w:numPr>
        <w:numId w:val="13"/>
      </w:numPr>
      <w:tabs>
        <w:tab w:val="clear" w:pos="340"/>
      </w:tabs>
      <w:spacing w:before="40" w:after="40"/>
    </w:pPr>
  </w:style>
  <w:style w:type="character" w:customStyle="1" w:styleId="SpecialBold">
    <w:name w:val="Special Bold"/>
    <w:rsid w:val="00C9630D"/>
    <w:rPr>
      <w:b/>
      <w:spacing w:val="0"/>
    </w:rPr>
  </w:style>
  <w:style w:type="paragraph" w:styleId="ListBullet2">
    <w:name w:val="List Bullet 2"/>
    <w:basedOn w:val="List2"/>
    <w:rsid w:val="00C9630D"/>
    <w:pPr>
      <w:numPr>
        <w:numId w:val="14"/>
      </w:numPr>
      <w:tabs>
        <w:tab w:val="clear" w:pos="680"/>
      </w:tabs>
    </w:pPr>
  </w:style>
  <w:style w:type="paragraph" w:styleId="Header">
    <w:name w:val="header"/>
    <w:basedOn w:val="Normal"/>
    <w:link w:val="HeaderChar"/>
    <w:rsid w:val="00C96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63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630D"/>
    <w:pPr>
      <w:spacing w:before="240" w:after="120"/>
      <w:outlineLvl w:val="0"/>
    </w:pPr>
    <w:rPr>
      <w:rFonts w:ascii="Times New Roman" w:hAnsi="Times New Roman"/>
      <w:b/>
      <w:sz w:val="28"/>
    </w:rPr>
  </w:style>
  <w:style w:type="paragraph" w:customStyle="1" w:styleId="AllowPageBreak">
    <w:name w:val="AllowPageBreak"/>
    <w:rsid w:val="00C963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9630D"/>
    <w:rPr>
      <w:rFonts w:ascii="Times New Roman" w:eastAsia="Times New Roman" w:hAnsi="Times New Roman" w:cs="Times New Roman"/>
      <w:b/>
      <w:sz w:val="28"/>
      <w:szCs w:val="40"/>
      <w:lang w:eastAsia="en-US"/>
    </w:rPr>
  </w:style>
  <w:style w:type="character" w:customStyle="1" w:styleId="Heading3Char">
    <w:name w:val="Heading 3 Char"/>
    <w:link w:val="Heading3"/>
    <w:rsid w:val="00C963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630D"/>
    <w:rPr>
      <w:rFonts w:ascii="Times New Roman" w:eastAsia="Times New Roman" w:hAnsi="Times New Roman" w:cs="Times New Roman"/>
      <w:b/>
      <w:szCs w:val="20"/>
      <w:lang w:eastAsia="en-US"/>
    </w:rPr>
  </w:style>
  <w:style w:type="character" w:customStyle="1" w:styleId="Heading5Char">
    <w:name w:val="Heading 5 Char"/>
    <w:link w:val="Heading5"/>
    <w:rsid w:val="00C963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6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3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63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630D"/>
    <w:rPr>
      <w:rFonts w:ascii="Courier New" w:eastAsia="Times New Roman" w:hAnsi="Courier New" w:cs="Times New Roman"/>
      <w:i/>
      <w:szCs w:val="20"/>
      <w:lang w:val="en-US" w:eastAsia="en-US"/>
    </w:rPr>
  </w:style>
  <w:style w:type="paragraph" w:customStyle="1" w:styleId="HeadingBase">
    <w:name w:val="Heading Base"/>
    <w:rsid w:val="00C96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30D"/>
    <w:pPr>
      <w:tabs>
        <w:tab w:val="right" w:leader="dot" w:pos="9072"/>
      </w:tabs>
      <w:ind w:left="567"/>
    </w:pPr>
    <w:rPr>
      <w:szCs w:val="22"/>
    </w:rPr>
  </w:style>
  <w:style w:type="paragraph" w:customStyle="1" w:styleId="TOCBase">
    <w:name w:val="TOC Base"/>
    <w:rsid w:val="00C96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30D"/>
    <w:pPr>
      <w:tabs>
        <w:tab w:val="right" w:leader="dot" w:pos="9072"/>
      </w:tabs>
      <w:spacing w:before="40" w:after="40"/>
      <w:ind w:left="284"/>
    </w:pPr>
    <w:rPr>
      <w:rFonts w:ascii="Times New Roman" w:hAnsi="Times New Roman"/>
    </w:rPr>
  </w:style>
  <w:style w:type="paragraph" w:styleId="TOC1">
    <w:name w:val="toc 1"/>
    <w:basedOn w:val="TOCBase"/>
    <w:next w:val="Normal"/>
    <w:rsid w:val="00C963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30D"/>
    <w:pPr>
      <w:spacing w:before="5040"/>
      <w:jc w:val="center"/>
    </w:pPr>
    <w:rPr>
      <w:sz w:val="48"/>
      <w:szCs w:val="72"/>
      <w:lang w:val="en-US"/>
    </w:rPr>
  </w:style>
  <w:style w:type="character" w:customStyle="1" w:styleId="TitleChar">
    <w:name w:val="Title Char"/>
    <w:link w:val="Title"/>
    <w:rsid w:val="00C96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30D"/>
    <w:pPr>
      <w:tabs>
        <w:tab w:val="left" w:pos="3600"/>
        <w:tab w:val="left" w:pos="3958"/>
      </w:tabs>
    </w:pPr>
  </w:style>
  <w:style w:type="paragraph" w:styleId="List">
    <w:name w:val="List"/>
    <w:basedOn w:val="BodyText"/>
    <w:next w:val="BodyText"/>
    <w:rsid w:val="00C9630D"/>
    <w:pPr>
      <w:tabs>
        <w:tab w:val="left" w:pos="340"/>
      </w:tabs>
      <w:spacing w:before="60" w:after="60"/>
      <w:ind w:left="340" w:hanging="340"/>
    </w:pPr>
  </w:style>
  <w:style w:type="paragraph" w:customStyle="1" w:styleId="Note">
    <w:name w:val="Note"/>
    <w:basedOn w:val="BodyText"/>
    <w:rsid w:val="00C96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30D"/>
    <w:pPr>
      <w:framePr w:wrap="auto" w:hAnchor="text" w:y="6049"/>
    </w:pPr>
    <w:rPr>
      <w:color w:val="000000"/>
      <w:sz w:val="40"/>
    </w:rPr>
  </w:style>
  <w:style w:type="paragraph" w:customStyle="1" w:styleId="TOCTitle">
    <w:name w:val="TOCTitle"/>
    <w:basedOn w:val="Heading1"/>
    <w:rsid w:val="00C9630D"/>
    <w:pPr>
      <w:spacing w:after="240"/>
      <w:jc w:val="center"/>
      <w:outlineLvl w:val="9"/>
    </w:pPr>
    <w:rPr>
      <w:caps/>
    </w:rPr>
  </w:style>
  <w:style w:type="paragraph" w:customStyle="1" w:styleId="Version">
    <w:name w:val="Version"/>
    <w:rsid w:val="00C96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30D"/>
    <w:pPr>
      <w:keepNext w:val="0"/>
      <w:tabs>
        <w:tab w:val="right" w:pos="4176"/>
      </w:tabs>
      <w:ind w:left="198" w:hanging="198"/>
    </w:pPr>
    <w:rPr>
      <w:rFonts w:ascii="Garamond" w:hAnsi="Garamond"/>
    </w:rPr>
  </w:style>
  <w:style w:type="paragraph" w:styleId="IndexHeading">
    <w:name w:val="index heading"/>
    <w:basedOn w:val="Normal"/>
    <w:next w:val="Index1"/>
    <w:semiHidden/>
    <w:rsid w:val="00C9630D"/>
    <w:pPr>
      <w:spacing w:before="120" w:after="120"/>
    </w:pPr>
    <w:rPr>
      <w:rFonts w:ascii="Arial" w:hAnsi="Arial"/>
      <w:b/>
      <w:color w:val="918585"/>
      <w:sz w:val="24"/>
    </w:rPr>
  </w:style>
  <w:style w:type="paragraph" w:customStyle="1" w:styleId="Chapter">
    <w:name w:val="Chapter"/>
    <w:basedOn w:val="Normal"/>
    <w:rsid w:val="00C9630D"/>
    <w:pPr>
      <w:spacing w:before="240"/>
    </w:pPr>
    <w:rPr>
      <w:rFonts w:ascii="Times New Roman" w:hAnsi="Times New Roman"/>
      <w:smallCaps/>
      <w:spacing w:val="80"/>
      <w:sz w:val="28"/>
    </w:rPr>
  </w:style>
  <w:style w:type="paragraph" w:customStyle="1" w:styleId="InChapter">
    <w:name w:val="InChapter"/>
    <w:basedOn w:val="Heading3"/>
    <w:rsid w:val="00C9630D"/>
    <w:pPr>
      <w:spacing w:after="240"/>
      <w:outlineLvl w:val="9"/>
    </w:pPr>
    <w:rPr>
      <w:noProof/>
    </w:rPr>
  </w:style>
  <w:style w:type="paragraph" w:styleId="Index2">
    <w:name w:val="index 2"/>
    <w:basedOn w:val="Normal"/>
    <w:next w:val="Normal"/>
    <w:semiHidden/>
    <w:rsid w:val="00C9630D"/>
    <w:pPr>
      <w:tabs>
        <w:tab w:val="right" w:pos="4176"/>
      </w:tabs>
      <w:ind w:left="568" w:hanging="284"/>
    </w:pPr>
    <w:rPr>
      <w:rFonts w:ascii="Garamond" w:hAnsi="Garamond"/>
    </w:rPr>
  </w:style>
  <w:style w:type="paragraph" w:customStyle="1" w:styleId="Byline">
    <w:name w:val="Byline"/>
    <w:rsid w:val="00C96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30D"/>
    <w:pPr>
      <w:tabs>
        <w:tab w:val="clear" w:pos="3600"/>
        <w:tab w:val="clear" w:pos="3958"/>
      </w:tabs>
      <w:jc w:val="right"/>
    </w:pPr>
  </w:style>
  <w:style w:type="character" w:styleId="Emphasis">
    <w:name w:val="Emphasis"/>
    <w:qFormat/>
    <w:rsid w:val="00C9630D"/>
    <w:rPr>
      <w:i/>
    </w:rPr>
  </w:style>
  <w:style w:type="paragraph" w:styleId="Caption">
    <w:name w:val="caption"/>
    <w:basedOn w:val="BodyText"/>
    <w:next w:val="Normal"/>
    <w:qFormat/>
    <w:rsid w:val="00C9630D"/>
    <w:pPr>
      <w:framePr w:w="2268" w:hSpace="181" w:vSpace="181" w:wrap="around" w:vAnchor="text" w:hAnchor="page" w:x="1135" w:y="285" w:anchorLock="1"/>
    </w:pPr>
    <w:rPr>
      <w:i/>
    </w:rPr>
  </w:style>
  <w:style w:type="paragraph" w:customStyle="1" w:styleId="MiniTOCTitle">
    <w:name w:val="MiniTOCTitle"/>
    <w:basedOn w:val="Heading4"/>
    <w:rsid w:val="00C9630D"/>
    <w:pPr>
      <w:spacing w:before="240"/>
      <w:outlineLvl w:val="9"/>
    </w:pPr>
    <w:rPr>
      <w:noProof/>
      <w:sz w:val="24"/>
    </w:rPr>
  </w:style>
  <w:style w:type="paragraph" w:customStyle="1" w:styleId="MiniTOCItem">
    <w:name w:val="MiniTOCItem"/>
    <w:basedOn w:val="ListBullet"/>
    <w:rsid w:val="00C9630D"/>
    <w:pPr>
      <w:numPr>
        <w:numId w:val="0"/>
      </w:numPr>
      <w:tabs>
        <w:tab w:val="right" w:leader="dot" w:pos="6521"/>
      </w:tabs>
      <w:spacing w:before="0" w:after="0"/>
    </w:pPr>
  </w:style>
  <w:style w:type="paragraph" w:customStyle="1" w:styleId="TOFTitle">
    <w:name w:val="TOFTitle"/>
    <w:basedOn w:val="TOCTitle"/>
    <w:rsid w:val="00C9630D"/>
  </w:style>
  <w:style w:type="paragraph" w:styleId="TableofFigures">
    <w:name w:val="table of figures"/>
    <w:basedOn w:val="Normal"/>
    <w:next w:val="Normal"/>
    <w:semiHidden/>
    <w:rsid w:val="00C9630D"/>
    <w:pPr>
      <w:tabs>
        <w:tab w:val="right" w:leader="dot" w:pos="9072"/>
      </w:tabs>
      <w:ind w:left="970" w:hanging="403"/>
    </w:pPr>
    <w:rPr>
      <w:rFonts w:ascii="Times New Roman" w:hAnsi="Times New Roman"/>
      <w:b/>
    </w:rPr>
  </w:style>
  <w:style w:type="paragraph" w:styleId="ListNumber">
    <w:name w:val="List Number"/>
    <w:basedOn w:val="List"/>
    <w:rsid w:val="00C9630D"/>
    <w:pPr>
      <w:numPr>
        <w:numId w:val="11"/>
      </w:numPr>
    </w:pPr>
  </w:style>
  <w:style w:type="character" w:customStyle="1" w:styleId="WingdingSymbols">
    <w:name w:val="Wingding Symbols"/>
    <w:rsid w:val="00C9630D"/>
    <w:rPr>
      <w:rFonts w:ascii="Wingdings" w:hAnsi="Wingdings"/>
    </w:rPr>
  </w:style>
  <w:style w:type="paragraph" w:customStyle="1" w:styleId="TableHeading">
    <w:name w:val="Table Heading"/>
    <w:basedOn w:val="HeadingBase"/>
    <w:rsid w:val="00C9630D"/>
    <w:pPr>
      <w:keepLines/>
      <w:pBdr>
        <w:bottom w:val="single" w:sz="6" w:space="1" w:color="918585"/>
      </w:pBdr>
      <w:spacing w:before="240"/>
    </w:pPr>
  </w:style>
  <w:style w:type="character" w:customStyle="1" w:styleId="HotSpot">
    <w:name w:val="HotSpot"/>
    <w:rsid w:val="00C9630D"/>
    <w:rPr>
      <w:color w:val="0033CC"/>
      <w:u w:val="none"/>
    </w:rPr>
  </w:style>
  <w:style w:type="paragraph" w:customStyle="1" w:styleId="BodyTextRight">
    <w:name w:val="Body Text Right"/>
    <w:basedOn w:val="BodyText"/>
    <w:rsid w:val="00C9630D"/>
    <w:pPr>
      <w:spacing w:before="0" w:after="0"/>
      <w:jc w:val="right"/>
    </w:pPr>
  </w:style>
  <w:style w:type="paragraph" w:styleId="Index3">
    <w:name w:val="index 3"/>
    <w:basedOn w:val="ListNumber2"/>
    <w:next w:val="Normal"/>
    <w:semiHidden/>
    <w:rsid w:val="00C9630D"/>
    <w:pPr>
      <w:numPr>
        <w:numId w:val="0"/>
      </w:numPr>
      <w:tabs>
        <w:tab w:val="right" w:leader="dot" w:pos="4176"/>
      </w:tabs>
    </w:pPr>
  </w:style>
  <w:style w:type="paragraph" w:styleId="ListNumber2">
    <w:name w:val="List Number 2"/>
    <w:basedOn w:val="List2"/>
    <w:rsid w:val="00C9630D"/>
    <w:pPr>
      <w:numPr>
        <w:numId w:val="10"/>
      </w:numPr>
      <w:tabs>
        <w:tab w:val="clear" w:pos="1060"/>
      </w:tabs>
    </w:pPr>
  </w:style>
  <w:style w:type="paragraph" w:customStyle="1" w:styleId="MarginNote">
    <w:name w:val="Margin Note"/>
    <w:basedOn w:val="BodyText"/>
    <w:rsid w:val="00C96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63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630D"/>
    <w:rPr>
      <w:sz w:val="32"/>
    </w:rPr>
  </w:style>
  <w:style w:type="paragraph" w:customStyle="1" w:styleId="HeadingProcedure">
    <w:name w:val="Heading Procedure"/>
    <w:basedOn w:val="HeadingBase"/>
    <w:next w:val="Normal"/>
    <w:rsid w:val="00C9630D"/>
    <w:pPr>
      <w:tabs>
        <w:tab w:val="left" w:pos="0"/>
      </w:tabs>
      <w:spacing w:before="120" w:after="60"/>
    </w:pPr>
    <w:rPr>
      <w:i/>
      <w:color w:val="918585"/>
      <w:sz w:val="22"/>
    </w:rPr>
  </w:style>
  <w:style w:type="paragraph" w:customStyle="1" w:styleId="TableBodyText">
    <w:name w:val="Table Body Text"/>
    <w:basedOn w:val="BodyText"/>
    <w:rsid w:val="00C9630D"/>
    <w:pPr>
      <w:spacing w:before="60" w:after="60"/>
    </w:pPr>
  </w:style>
  <w:style w:type="paragraph" w:styleId="ListContinue">
    <w:name w:val="List Continue"/>
    <w:basedOn w:val="List"/>
    <w:rsid w:val="00C9630D"/>
    <w:pPr>
      <w:ind w:firstLine="0"/>
    </w:pPr>
  </w:style>
  <w:style w:type="paragraph" w:customStyle="1" w:styleId="ListNote">
    <w:name w:val="List Note"/>
    <w:basedOn w:val="List"/>
    <w:rsid w:val="00C9630D"/>
    <w:pPr>
      <w:pBdr>
        <w:top w:val="single" w:sz="6" w:space="2" w:color="918585"/>
        <w:bottom w:val="single" w:sz="6" w:space="2" w:color="918585"/>
      </w:pBdr>
      <w:tabs>
        <w:tab w:val="left" w:pos="1021"/>
      </w:tabs>
      <w:ind w:firstLine="0"/>
    </w:pPr>
  </w:style>
  <w:style w:type="paragraph" w:customStyle="1" w:styleId="Warning">
    <w:name w:val="Warning"/>
    <w:basedOn w:val="BodyText"/>
    <w:rsid w:val="00C9630D"/>
    <w:pPr>
      <w:shd w:val="clear" w:color="auto" w:fill="D9D9D9"/>
      <w:tabs>
        <w:tab w:val="left" w:pos="992"/>
      </w:tabs>
      <w:ind w:left="119" w:right="119"/>
    </w:pPr>
    <w:rPr>
      <w:sz w:val="20"/>
    </w:rPr>
  </w:style>
  <w:style w:type="paragraph" w:customStyle="1" w:styleId="MarginIcons">
    <w:name w:val="Margin Icons"/>
    <w:basedOn w:val="BodyText"/>
    <w:rsid w:val="00C963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630D"/>
    <w:rPr>
      <w:rFonts w:ascii="Courier New" w:hAnsi="Courier New"/>
    </w:rPr>
  </w:style>
  <w:style w:type="paragraph" w:customStyle="1" w:styleId="NoteBullet">
    <w:name w:val="Note Bullet"/>
    <w:basedOn w:val="Note"/>
    <w:rsid w:val="00C9630D"/>
    <w:pPr>
      <w:tabs>
        <w:tab w:val="clear" w:pos="680"/>
      </w:tabs>
      <w:spacing w:before="60" w:after="60"/>
    </w:pPr>
  </w:style>
  <w:style w:type="paragraph" w:customStyle="1" w:styleId="SubHeading2">
    <w:name w:val="SubHeading2"/>
    <w:basedOn w:val="HeadingBase"/>
    <w:rsid w:val="00C9630D"/>
    <w:pPr>
      <w:spacing w:before="240" w:after="60"/>
    </w:pPr>
    <w:rPr>
      <w:sz w:val="20"/>
    </w:rPr>
  </w:style>
  <w:style w:type="paragraph" w:customStyle="1" w:styleId="SubHeading1">
    <w:name w:val="SubHeading1"/>
    <w:basedOn w:val="HeadingBase"/>
    <w:rsid w:val="00C9630D"/>
    <w:pPr>
      <w:spacing w:before="240" w:after="60"/>
    </w:pPr>
    <w:rPr>
      <w:color w:val="918585"/>
      <w:sz w:val="22"/>
    </w:rPr>
  </w:style>
  <w:style w:type="paragraph" w:customStyle="1" w:styleId="SideHeading">
    <w:name w:val="Side Heading"/>
    <w:basedOn w:val="HeadingBase"/>
    <w:rsid w:val="00C96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30D"/>
    <w:pPr>
      <w:numPr>
        <w:numId w:val="12"/>
      </w:numPr>
    </w:pPr>
  </w:style>
  <w:style w:type="paragraph" w:styleId="PlainText">
    <w:name w:val="Plain Text"/>
    <w:basedOn w:val="Normal"/>
    <w:link w:val="PlainTextChar"/>
    <w:rsid w:val="00C9630D"/>
    <w:rPr>
      <w:sz w:val="20"/>
    </w:rPr>
  </w:style>
  <w:style w:type="character" w:customStyle="1" w:styleId="PlainTextChar">
    <w:name w:val="Plain Text Char"/>
    <w:basedOn w:val="DefaultParagraphFont"/>
    <w:link w:val="PlainText"/>
    <w:rsid w:val="00C9630D"/>
    <w:rPr>
      <w:rFonts w:ascii="Courier New" w:eastAsia="Times New Roman" w:hAnsi="Courier New" w:cs="Times New Roman"/>
      <w:sz w:val="20"/>
      <w:szCs w:val="20"/>
      <w:lang w:val="en-US" w:eastAsia="en-US"/>
    </w:rPr>
  </w:style>
  <w:style w:type="character" w:customStyle="1" w:styleId="MenuOption">
    <w:name w:val="Menu Option"/>
    <w:rsid w:val="00C9630D"/>
    <w:rPr>
      <w:b/>
      <w:smallCaps/>
    </w:rPr>
  </w:style>
  <w:style w:type="paragraph" w:customStyle="1" w:styleId="TableListNumber">
    <w:name w:val="Table List Number"/>
    <w:basedOn w:val="ListNumber"/>
    <w:rsid w:val="00C9630D"/>
    <w:pPr>
      <w:numPr>
        <w:numId w:val="0"/>
      </w:numPr>
    </w:pPr>
  </w:style>
  <w:style w:type="paragraph" w:styleId="TOC4">
    <w:name w:val="toc 4"/>
    <w:basedOn w:val="TOCBase"/>
    <w:next w:val="Normal"/>
    <w:semiHidden/>
    <w:rsid w:val="00C9630D"/>
    <w:pPr>
      <w:tabs>
        <w:tab w:val="right" w:leader="dot" w:pos="9071"/>
      </w:tabs>
      <w:ind w:left="1701"/>
    </w:pPr>
  </w:style>
  <w:style w:type="paragraph" w:customStyle="1" w:styleId="ListAlpha">
    <w:name w:val="List Alpha"/>
    <w:basedOn w:val="List"/>
    <w:rsid w:val="00C9630D"/>
    <w:pPr>
      <w:numPr>
        <w:numId w:val="9"/>
      </w:numPr>
    </w:pPr>
  </w:style>
  <w:style w:type="paragraph" w:customStyle="1" w:styleId="ListAlpha2">
    <w:name w:val="List Alpha 2"/>
    <w:basedOn w:val="List2"/>
    <w:rsid w:val="00C9630D"/>
    <w:pPr>
      <w:numPr>
        <w:numId w:val="8"/>
      </w:numPr>
    </w:pPr>
  </w:style>
  <w:style w:type="paragraph" w:styleId="List2">
    <w:name w:val="List 2"/>
    <w:basedOn w:val="BodyText"/>
    <w:rsid w:val="00C9630D"/>
    <w:pPr>
      <w:tabs>
        <w:tab w:val="left" w:pos="680"/>
      </w:tabs>
      <w:spacing w:before="60" w:after="60"/>
      <w:ind w:left="680" w:hanging="340"/>
    </w:pPr>
  </w:style>
  <w:style w:type="paragraph" w:styleId="List3">
    <w:name w:val="List 3"/>
    <w:basedOn w:val="BodyText"/>
    <w:rsid w:val="00C9630D"/>
    <w:pPr>
      <w:tabs>
        <w:tab w:val="left" w:pos="1021"/>
      </w:tabs>
      <w:spacing w:before="60" w:after="60"/>
      <w:ind w:left="1020" w:hanging="340"/>
    </w:pPr>
  </w:style>
  <w:style w:type="paragraph" w:styleId="List4">
    <w:name w:val="List 4"/>
    <w:basedOn w:val="BodyText"/>
    <w:rsid w:val="00C9630D"/>
    <w:pPr>
      <w:tabs>
        <w:tab w:val="left" w:pos="1361"/>
      </w:tabs>
      <w:spacing w:before="60" w:after="60"/>
      <w:ind w:left="1361" w:hanging="340"/>
    </w:pPr>
  </w:style>
  <w:style w:type="paragraph" w:styleId="List5">
    <w:name w:val="List 5"/>
    <w:basedOn w:val="BodyText"/>
    <w:rsid w:val="00C9630D"/>
    <w:pPr>
      <w:tabs>
        <w:tab w:val="left" w:pos="1701"/>
      </w:tabs>
      <w:spacing w:before="60" w:after="60"/>
      <w:ind w:left="1701" w:hanging="340"/>
    </w:pPr>
  </w:style>
  <w:style w:type="paragraph" w:styleId="ListBullet3">
    <w:name w:val="List Bullet 3"/>
    <w:basedOn w:val="List3"/>
    <w:rsid w:val="00C9630D"/>
    <w:pPr>
      <w:numPr>
        <w:numId w:val="15"/>
      </w:numPr>
      <w:tabs>
        <w:tab w:val="clear" w:pos="1021"/>
      </w:tabs>
      <w:ind w:left="1037" w:hanging="357"/>
    </w:pPr>
  </w:style>
  <w:style w:type="paragraph" w:styleId="ListBullet4">
    <w:name w:val="List Bullet 4"/>
    <w:basedOn w:val="List4"/>
    <w:rsid w:val="00C9630D"/>
    <w:pPr>
      <w:numPr>
        <w:numId w:val="3"/>
      </w:numPr>
    </w:pPr>
  </w:style>
  <w:style w:type="paragraph" w:styleId="ListBullet5">
    <w:name w:val="List Bullet 5"/>
    <w:basedOn w:val="List5"/>
    <w:rsid w:val="00C9630D"/>
    <w:pPr>
      <w:numPr>
        <w:numId w:val="4"/>
      </w:numPr>
    </w:pPr>
  </w:style>
  <w:style w:type="paragraph" w:styleId="ListContinue2">
    <w:name w:val="List Continue 2"/>
    <w:basedOn w:val="List2"/>
    <w:rsid w:val="00C9630D"/>
    <w:pPr>
      <w:ind w:firstLine="0"/>
    </w:pPr>
  </w:style>
  <w:style w:type="paragraph" w:styleId="ListContinue3">
    <w:name w:val="List Continue 3"/>
    <w:basedOn w:val="List3"/>
    <w:rsid w:val="00C9630D"/>
    <w:pPr>
      <w:ind w:left="1021" w:firstLine="0"/>
    </w:pPr>
  </w:style>
  <w:style w:type="paragraph" w:styleId="ListContinue4">
    <w:name w:val="List Continue 4"/>
    <w:basedOn w:val="List4"/>
    <w:rsid w:val="00C9630D"/>
    <w:pPr>
      <w:ind w:firstLine="0"/>
    </w:pPr>
  </w:style>
  <w:style w:type="paragraph" w:styleId="ListContinue5">
    <w:name w:val="List Continue 5"/>
    <w:basedOn w:val="List5"/>
    <w:rsid w:val="00C9630D"/>
    <w:pPr>
      <w:ind w:firstLine="0"/>
    </w:pPr>
  </w:style>
  <w:style w:type="paragraph" w:styleId="ListNumber3">
    <w:name w:val="List Number 3"/>
    <w:basedOn w:val="List3"/>
    <w:rsid w:val="00C9630D"/>
    <w:pPr>
      <w:numPr>
        <w:numId w:val="5"/>
      </w:numPr>
    </w:pPr>
  </w:style>
  <w:style w:type="paragraph" w:styleId="ListNumber4">
    <w:name w:val="List Number 4"/>
    <w:basedOn w:val="List4"/>
    <w:rsid w:val="00C9630D"/>
    <w:pPr>
      <w:numPr>
        <w:numId w:val="6"/>
      </w:numPr>
    </w:pPr>
  </w:style>
  <w:style w:type="paragraph" w:styleId="ListNumber5">
    <w:name w:val="List Number 5"/>
    <w:basedOn w:val="List5"/>
    <w:rsid w:val="00C9630D"/>
    <w:pPr>
      <w:numPr>
        <w:numId w:val="7"/>
      </w:numPr>
    </w:pPr>
  </w:style>
  <w:style w:type="paragraph" w:styleId="BlockText">
    <w:name w:val="Block Text"/>
    <w:basedOn w:val="Normal"/>
    <w:rsid w:val="00C9630D"/>
    <w:pPr>
      <w:spacing w:after="120"/>
      <w:ind w:left="1440" w:right="1440"/>
    </w:pPr>
  </w:style>
  <w:style w:type="character" w:customStyle="1" w:styleId="Subscript">
    <w:name w:val="Subscript"/>
    <w:rsid w:val="00C9630D"/>
    <w:rPr>
      <w:sz w:val="16"/>
      <w:vertAlign w:val="subscript"/>
    </w:rPr>
  </w:style>
  <w:style w:type="character" w:customStyle="1" w:styleId="Superscript">
    <w:name w:val="Superscript"/>
    <w:rsid w:val="00C9630D"/>
    <w:rPr>
      <w:sz w:val="16"/>
      <w:vertAlign w:val="superscript"/>
    </w:rPr>
  </w:style>
  <w:style w:type="character" w:customStyle="1" w:styleId="Symbols">
    <w:name w:val="Symbols"/>
    <w:rsid w:val="00C9630D"/>
    <w:rPr>
      <w:rFonts w:ascii="Symbol" w:hAnsi="Symbol"/>
    </w:rPr>
  </w:style>
  <w:style w:type="character" w:customStyle="1" w:styleId="MenuOptions">
    <w:name w:val="Menu Options"/>
    <w:rsid w:val="00C9630D"/>
    <w:rPr>
      <w:rFonts w:ascii="Arial Narrow" w:hAnsi="Arial Narrow"/>
      <w:smallCaps/>
    </w:rPr>
  </w:style>
  <w:style w:type="character" w:customStyle="1" w:styleId="Buttons">
    <w:name w:val="Buttons"/>
    <w:rsid w:val="00C9630D"/>
    <w:rPr>
      <w:b/>
    </w:rPr>
  </w:style>
  <w:style w:type="character" w:customStyle="1" w:styleId="Underlined">
    <w:name w:val="Underlined"/>
    <w:rsid w:val="00C9630D"/>
    <w:rPr>
      <w:u w:val="single"/>
    </w:rPr>
  </w:style>
  <w:style w:type="paragraph" w:customStyle="1" w:styleId="TableBodyTextRight">
    <w:name w:val="Table Body Text Right"/>
    <w:basedOn w:val="TableBodyText"/>
    <w:rsid w:val="00C9630D"/>
    <w:pPr>
      <w:widowControl w:val="0"/>
      <w:autoSpaceDE w:val="0"/>
      <w:autoSpaceDN w:val="0"/>
      <w:adjustRightInd w:val="0"/>
      <w:jc w:val="right"/>
    </w:pPr>
    <w:rPr>
      <w:rFonts w:cs="Arial"/>
      <w:szCs w:val="18"/>
    </w:rPr>
  </w:style>
  <w:style w:type="paragraph" w:customStyle="1" w:styleId="CopyrightText">
    <w:name w:val="Copyright Text"/>
    <w:basedOn w:val="BodyText"/>
    <w:rsid w:val="00C9630D"/>
    <w:rPr>
      <w:sz w:val="18"/>
    </w:rPr>
  </w:style>
  <w:style w:type="paragraph" w:customStyle="1" w:styleId="BodySmallRight">
    <w:name w:val="Body Small Right"/>
    <w:basedOn w:val="BodyTextRight"/>
    <w:rsid w:val="00C9630D"/>
    <w:rPr>
      <w:sz w:val="18"/>
      <w:szCs w:val="18"/>
    </w:rPr>
  </w:style>
  <w:style w:type="paragraph" w:customStyle="1" w:styleId="MarginEdition">
    <w:name w:val="Margin Edition"/>
    <w:basedOn w:val="MarginNote"/>
    <w:rsid w:val="00C9630D"/>
    <w:pPr>
      <w:spacing w:before="0" w:after="0"/>
    </w:pPr>
    <w:rPr>
      <w:rFonts w:ascii="Times New Roman" w:hAnsi="Times New Roman"/>
      <w:color w:val="999999"/>
    </w:rPr>
  </w:style>
  <w:style w:type="paragraph" w:customStyle="1" w:styleId="Spacer">
    <w:name w:val="Spacer"/>
    <w:basedOn w:val="Normal"/>
    <w:rsid w:val="00C9630D"/>
    <w:rPr>
      <w:sz w:val="2"/>
      <w:szCs w:val="2"/>
    </w:rPr>
  </w:style>
  <w:style w:type="character" w:customStyle="1" w:styleId="Small">
    <w:name w:val="Small"/>
    <w:rsid w:val="00C9630D"/>
    <w:rPr>
      <w:sz w:val="16"/>
    </w:rPr>
  </w:style>
  <w:style w:type="paragraph" w:customStyle="1" w:styleId="WideTable">
    <w:name w:val="Wide Table"/>
    <w:basedOn w:val="Normal"/>
    <w:rsid w:val="00C9630D"/>
    <w:pPr>
      <w:ind w:left="-1418"/>
    </w:pPr>
    <w:rPr>
      <w:sz w:val="2"/>
      <w:szCs w:val="2"/>
    </w:rPr>
  </w:style>
  <w:style w:type="character" w:styleId="PageNumber">
    <w:name w:val="page number"/>
    <w:rsid w:val="00C9630D"/>
  </w:style>
  <w:style w:type="paragraph" w:styleId="Quote">
    <w:name w:val="Quote"/>
    <w:basedOn w:val="Heading1"/>
    <w:link w:val="QuoteChar"/>
    <w:qFormat/>
    <w:rsid w:val="00C9630D"/>
    <w:rPr>
      <w:b w:val="0"/>
      <w:sz w:val="72"/>
      <w:szCs w:val="72"/>
      <w:lang w:val="en-NZ"/>
    </w:rPr>
  </w:style>
  <w:style w:type="character" w:customStyle="1" w:styleId="QuoteChar">
    <w:name w:val="Quote Char"/>
    <w:link w:val="Quote"/>
    <w:rsid w:val="00C96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30D"/>
    <w:pPr>
      <w:pageBreakBefore/>
    </w:pPr>
  </w:style>
  <w:style w:type="paragraph" w:customStyle="1" w:styleId="Border">
    <w:name w:val="Border"/>
    <w:basedOn w:val="Normal"/>
    <w:qFormat/>
    <w:rsid w:val="00C9630D"/>
    <w:pPr>
      <w:pBdr>
        <w:top w:val="single" w:sz="18" w:space="1" w:color="auto"/>
      </w:pBdr>
    </w:pPr>
    <w:rPr>
      <w:rFonts w:ascii="Times New Roman" w:hAnsi="Times New Roman"/>
      <w:color w:val="FFFFFF"/>
      <w:sz w:val="2"/>
    </w:rPr>
  </w:style>
  <w:style w:type="character" w:styleId="IntenseEmphasis">
    <w:name w:val="Intense Emphasis"/>
    <w:uiPriority w:val="21"/>
    <w:qFormat/>
    <w:rsid w:val="00C9630D"/>
    <w:rPr>
      <w:b/>
      <w:bCs/>
      <w:i/>
      <w:iCs/>
      <w:color w:val="auto"/>
    </w:rPr>
  </w:style>
  <w:style w:type="paragraph" w:styleId="IntenseQuote">
    <w:name w:val="Intense Quote"/>
    <w:basedOn w:val="Normal"/>
    <w:next w:val="Normal"/>
    <w:link w:val="IntenseQuoteChar"/>
    <w:uiPriority w:val="30"/>
    <w:qFormat/>
    <w:rsid w:val="00C963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630D"/>
    <w:rPr>
      <w:rFonts w:ascii="Courier New" w:eastAsia="Times New Roman" w:hAnsi="Courier New" w:cs="Times New Roman"/>
      <w:b/>
      <w:bCs/>
      <w:i/>
      <w:iCs/>
      <w:szCs w:val="20"/>
      <w:lang w:val="en-US" w:eastAsia="en-US"/>
    </w:rPr>
  </w:style>
  <w:style w:type="character" w:styleId="SubtleReference">
    <w:name w:val="Subtle Reference"/>
    <w:uiPriority w:val="31"/>
    <w:qFormat/>
    <w:rsid w:val="00C9630D"/>
    <w:rPr>
      <w:smallCaps/>
      <w:color w:val="auto"/>
      <w:u w:val="single"/>
    </w:rPr>
  </w:style>
  <w:style w:type="character" w:styleId="IntenseReference">
    <w:name w:val="Intense Reference"/>
    <w:uiPriority w:val="32"/>
    <w:qFormat/>
    <w:rsid w:val="00C9630D"/>
    <w:rPr>
      <w:b/>
      <w:bCs/>
      <w:smallCaps/>
      <w:color w:val="auto"/>
      <w:spacing w:val="5"/>
      <w:u w:val="single"/>
    </w:rPr>
  </w:style>
  <w:style w:type="paragraph" w:customStyle="1" w:styleId="2ColumnHeading">
    <w:name w:val="2Column Heading"/>
    <w:basedOn w:val="BodyText"/>
    <w:qFormat/>
    <w:rsid w:val="00C9630D"/>
    <w:pPr>
      <w:spacing w:after="60"/>
      <w:ind w:left="-2268"/>
    </w:pPr>
    <w:rPr>
      <w:b/>
    </w:rPr>
  </w:style>
  <w:style w:type="paragraph" w:customStyle="1" w:styleId="Heading1TOC">
    <w:name w:val="Heading1 TOC"/>
    <w:basedOn w:val="Normal"/>
    <w:qFormat/>
    <w:rsid w:val="00C9630D"/>
    <w:pPr>
      <w:spacing w:before="240" w:after="120"/>
    </w:pPr>
    <w:rPr>
      <w:rFonts w:ascii="Times New Roman" w:hAnsi="Times New Roman"/>
      <w:b/>
      <w:sz w:val="32"/>
    </w:rPr>
  </w:style>
  <w:style w:type="paragraph" w:customStyle="1" w:styleId="Heading2TOC">
    <w:name w:val="Heading2 TOC"/>
    <w:basedOn w:val="Normal"/>
    <w:qFormat/>
    <w:rsid w:val="00C9630D"/>
    <w:pPr>
      <w:spacing w:before="240" w:after="60"/>
    </w:pPr>
    <w:rPr>
      <w:rFonts w:ascii="Times New Roman" w:hAnsi="Times New Roman"/>
      <w:b/>
      <w:sz w:val="28"/>
    </w:rPr>
  </w:style>
  <w:style w:type="character" w:customStyle="1" w:styleId="Underline">
    <w:name w:val="Underline"/>
    <w:qFormat/>
    <w:rsid w:val="00C9630D"/>
    <w:rPr>
      <w:u w:val="single"/>
    </w:rPr>
  </w:style>
  <w:style w:type="character" w:customStyle="1" w:styleId="BoldandItalics">
    <w:name w:val="Bold and Italics"/>
    <w:qFormat/>
    <w:rsid w:val="00C9630D"/>
    <w:rPr>
      <w:b/>
      <w:i/>
      <w:u w:val="none"/>
    </w:rPr>
  </w:style>
  <w:style w:type="paragraph" w:styleId="BalloonText">
    <w:name w:val="Balloon Text"/>
    <w:basedOn w:val="Normal"/>
    <w:link w:val="BalloonTextChar"/>
    <w:rsid w:val="00C9630D"/>
    <w:rPr>
      <w:rFonts w:ascii="Tahoma" w:hAnsi="Tahoma" w:cs="Tahoma"/>
      <w:sz w:val="16"/>
      <w:szCs w:val="16"/>
    </w:rPr>
  </w:style>
  <w:style w:type="character" w:customStyle="1" w:styleId="BalloonTextChar">
    <w:name w:val="Balloon Text Char"/>
    <w:link w:val="BalloonText"/>
    <w:rsid w:val="00C963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63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63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8349</Characters>
  <Application>Microsoft Office Word</Application>
  <DocSecurity>0</DocSecurity>
  <Lines>300</Lines>
  <Paragraphs>174</Paragraphs>
  <ScaleCrop>false</ScaleCrop>
  <Company>Author-it Software Corporation Ltd.</Company>
  <LinksUpToDate>false</LinksUpToDate>
  <CharactersWithSpaces>9638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MSS403033A Map an operational process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2012-05-26T18:47:00Z</dcterms:created>
  <dcterms:modified xsi:type="dcterms:W3CDTF">2012-05-26T18:47:00Z</dcterms:modified>
</cp:coreProperties>
</file>