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BDE" w:rsidP="00337BDE">
      <w:pPr>
        <w:pStyle w:val="Title"/>
      </w:pPr>
      <w:r>
        <w:fldChar w:fldCharType="begin"/>
      </w:r>
      <w:r>
        <w:instrText xml:space="preserve"> TITLE   \* MERGEFORMAT </w:instrText>
      </w:r>
      <w:r>
        <w:fldChar w:fldCharType="separate"/>
      </w:r>
      <w:r>
        <w:t>MSS403032A Analyse manual handling processes</w:t>
      </w:r>
      <w:r>
        <w:fldChar w:fldCharType="end"/>
      </w:r>
    </w:p>
    <w:p w:rsidR="00337BDE" w:rsidP="00337BDE">
      <w:pPr>
        <w:pStyle w:val="Version"/>
        <w:sectPr w:rsidSect="00625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DD1" w:rsidP="00625DD1">
      <w:pPr>
        <w:pStyle w:val="SuperHeading"/>
      </w:pPr>
      <w:r w:rsidRPr="00625DD1">
        <w:t>MSS403032A Analyse manual handling processes</w:t>
      </w:r>
    </w:p>
    <w:p w:rsidR="00000000" w:rsidRPr="00625DD1" w:rsidP="00625DD1">
      <w:pPr>
        <w:pStyle w:val="Heading1"/>
      </w:pPr>
      <w:bookmarkStart w:id="1" w:name="O_466926"/>
      <w:bookmarkEnd w:id="1"/>
      <w:r w:rsidRPr="00625DD1">
        <w:t>Modification History</w:t>
      </w:r>
    </w:p>
    <w:p w:rsidR="00000000" w:rsidRPr="00625DD1" w:rsidP="00625DD1">
      <w:pPr>
        <w:pStyle w:val="BodyText"/>
      </w:pPr>
      <w:r w:rsidRPr="00625DD1">
        <w:t>New unit, superseding MSACMT432A Analyse manual handling processes - Equivalent</w:t>
      </w:r>
    </w:p>
    <w:p w:rsidR="00000000" w:rsidRPr="00625DD1" w:rsidP="00625DD1">
      <w:pPr>
        <w:pStyle w:val="AllowPageBreak"/>
      </w:pPr>
    </w:p>
    <w:p w:rsidR="00000000" w:rsidRPr="00625DD1" w:rsidP="00625DD1">
      <w:pPr>
        <w:pStyle w:val="Heading1"/>
      </w:pPr>
      <w:bookmarkStart w:id="2" w:name="O_466927"/>
      <w:bookmarkEnd w:id="2"/>
      <w:r w:rsidRPr="00625DD1">
        <w:t>Unit Descriptor</w:t>
      </w:r>
    </w:p>
    <w:p w:rsidR="00337BDE" w:rsidP="00625DD1">
      <w:pPr>
        <w:pStyle w:val="BodyText"/>
      </w:pPr>
      <w:r w:rsidRPr="00625DD1">
        <w:t>This unit of competency covers the skills and knowledge r</w:t>
      </w:r>
      <w:r w:rsidRPr="00625DD1">
        <w:t xml:space="preserve">equired to analyse manual handling in terms of its efficiency and safety. </w:t>
      </w:r>
    </w:p>
    <w:p w:rsidR="00337BDE" w:rsidP="00625DD1">
      <w:pPr>
        <w:pStyle w:val="BodyText"/>
      </w:pPr>
    </w:p>
    <w:p w:rsidR="00000000" w:rsidRPr="00625DD1" w:rsidP="00625DD1">
      <w:pPr>
        <w:pStyle w:val="Heading1"/>
      </w:pPr>
      <w:bookmarkStart w:id="3" w:name="O_466928"/>
      <w:bookmarkEnd w:id="3"/>
      <w:r w:rsidRPr="00625DD1">
        <w:t>Application of the Unit</w:t>
      </w:r>
    </w:p>
    <w:p w:rsidR="00000000" w:rsidRPr="00625DD1" w:rsidP="00625DD1">
      <w:pPr>
        <w:pStyle w:val="BodyText"/>
      </w:pPr>
      <w:r w:rsidRPr="00625DD1">
        <w:t>This unit applies to an individual who is required to examine the manual handling component of a job and improve it in terms of safety, eff</w:t>
      </w:r>
      <w:r w:rsidRPr="00625DD1">
        <w:t>ort required and efficiency. This may be conducted for a job performed by others or it may be for the person's own job.</w:t>
      </w:r>
    </w:p>
    <w:p w:rsidR="00337BDE" w:rsidP="00625DD1">
      <w:pPr>
        <w:pStyle w:val="BodyText"/>
      </w:pPr>
      <w:r w:rsidRPr="00625DD1">
        <w:t>This unit primarily requires the application of skills associated with problem solving, initiative and enterprise to identify safe and e</w:t>
      </w:r>
      <w:r w:rsidRPr="00625DD1">
        <w:t>fficient manual handling, and planning and organising to ensure processes are implemented. This unit also requires communication with, and involvement of, others to ensure they understand the approach and to facilitate training.</w:t>
      </w:r>
    </w:p>
    <w:p w:rsidR="00337BDE" w:rsidP="00625DD1">
      <w:pPr>
        <w:pStyle w:val="BodyText"/>
      </w:pPr>
    </w:p>
    <w:p w:rsidR="00000000" w:rsidRPr="00625DD1" w:rsidP="00625DD1">
      <w:pPr>
        <w:pStyle w:val="Heading1"/>
      </w:pPr>
      <w:bookmarkStart w:id="4" w:name="O_466929"/>
      <w:bookmarkEnd w:id="4"/>
      <w:r w:rsidRPr="00625DD1">
        <w:t>Licensing/Regulatory Information</w:t>
      </w:r>
    </w:p>
    <w:p w:rsidR="00000000" w:rsidRPr="00625DD1" w:rsidP="00625DD1">
      <w:pPr>
        <w:pStyle w:val="BodyText"/>
      </w:pPr>
      <w:r w:rsidRPr="00625DD1">
        <w:t>Not applicable.</w:t>
      </w:r>
    </w:p>
    <w:p w:rsidR="00000000" w:rsidRPr="00625DD1" w:rsidP="00625DD1">
      <w:pPr>
        <w:pStyle w:val="AllowPageBreak"/>
      </w:pPr>
    </w:p>
    <w:p w:rsidR="00000000" w:rsidRPr="00625DD1" w:rsidP="00625DD1">
      <w:pPr>
        <w:pStyle w:val="Heading1"/>
      </w:pPr>
      <w:bookmarkStart w:id="5" w:name="O_466930"/>
      <w:bookmarkEnd w:id="5"/>
      <w:r w:rsidRPr="00625DD1">
        <w:t>Pre-Requisites</w:t>
      </w:r>
    </w:p>
    <w:p w:rsidR="00000000" w:rsidRPr="00625DD1" w:rsidP="00625DD1">
      <w:pPr>
        <w:pStyle w:val="BodyText"/>
      </w:pPr>
      <w:r w:rsidRPr="00625DD1">
        <w:t>Not applicable.</w:t>
      </w:r>
    </w:p>
    <w:p w:rsidR="00000000" w:rsidRPr="00625DD1" w:rsidP="00625DD1">
      <w:pPr>
        <w:pStyle w:val="AllowPageBreak"/>
      </w:pPr>
    </w:p>
    <w:p w:rsidR="00000000" w:rsidRPr="00625DD1" w:rsidP="00625DD1">
      <w:pPr>
        <w:pStyle w:val="Heading1"/>
      </w:pPr>
      <w:bookmarkStart w:id="6" w:name="O_466931"/>
      <w:bookmarkEnd w:id="6"/>
      <w:r w:rsidRPr="00625DD1">
        <w:t>Employability Skills Information</w:t>
      </w:r>
    </w:p>
    <w:p w:rsidR="00337BDE" w:rsidP="00625DD1">
      <w:pPr>
        <w:pStyle w:val="BodyText"/>
      </w:pPr>
      <w:r w:rsidRPr="00625DD1">
        <w:t>This unit contains employability skills.</w:t>
      </w:r>
    </w:p>
    <w:p w:rsidR="00337BDE" w:rsidP="00625DD1">
      <w:pPr>
        <w:pStyle w:val="BodyText"/>
      </w:pPr>
    </w:p>
    <w:p w:rsidR="00000000" w:rsidRPr="00625DD1" w:rsidP="00625DD1">
      <w:pPr>
        <w:pStyle w:val="Heading1"/>
      </w:pPr>
      <w:bookmarkStart w:id="7" w:name="O_466932"/>
      <w:bookmarkEnd w:id="7"/>
      <w:r w:rsidRPr="00625DD1">
        <w:t>Elements and Performance Criteria Pre-Content</w:t>
      </w:r>
    </w:p>
    <w:tbl>
      <w:tblPr>
        <w:tblW w:w="0" w:type="auto"/>
        <w:tblLayout w:type="fixed"/>
        <w:tblCellMar>
          <w:left w:w="62" w:type="dxa"/>
          <w:right w:w="62" w:type="dxa"/>
        </w:tblCellMar>
        <w:tblLook w:val="0000"/>
      </w:tblPr>
      <w:tblGrid>
        <w:gridCol w:w="2640"/>
        <w:gridCol w:w="6380"/>
      </w:tblGrid>
      <w:tr w:rsidTr="00625DD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Performance criteria describe the performance needed to demonstrate achievement of the element. Where bold italicised text is used, further information is detailed in the required skills and</w:t>
            </w:r>
            <w:r w:rsidRPr="00625DD1">
              <w:t xml:space="preserve"> knowledge section and the range statement. Assessment of performance is to be consistent with the evidence guide.</w:t>
            </w:r>
          </w:p>
        </w:tc>
      </w:tr>
    </w:tbl>
    <w:p w:rsidR="00000000" w:rsidRPr="00625DD1" w:rsidP="00625DD1">
      <w:pPr>
        <w:pStyle w:val="BodyText"/>
      </w:pPr>
    </w:p>
    <w:p w:rsidR="00000000" w:rsidRPr="00625DD1" w:rsidP="00625DD1">
      <w:pPr>
        <w:pStyle w:val="AllowPageBreak"/>
      </w:pPr>
    </w:p>
    <w:p w:rsidR="00000000" w:rsidRPr="00625DD1" w:rsidP="00625DD1">
      <w:pPr>
        <w:pStyle w:val="Heading1"/>
      </w:pPr>
      <w:bookmarkStart w:id="8" w:name="O_466933"/>
      <w:bookmarkEnd w:id="8"/>
      <w:r w:rsidRPr="00625DD1">
        <w:t>Elements and Performance Criteria</w:t>
      </w:r>
    </w:p>
    <w:p w:rsidR="00000000" w:rsidRPr="00625DD1" w:rsidP="00625DD1">
      <w:pPr>
        <w:pStyle w:val="BodyText"/>
      </w:pPr>
    </w:p>
    <w:tbl>
      <w:tblPr>
        <w:tblW w:w="0" w:type="auto"/>
        <w:tblLayout w:type="fixed"/>
        <w:tblCellMar>
          <w:left w:w="62" w:type="dxa"/>
          <w:right w:w="62" w:type="dxa"/>
        </w:tblCellMar>
        <w:tblLook w:val="0000"/>
      </w:tblPr>
      <w:tblGrid>
        <w:gridCol w:w="678"/>
        <w:gridCol w:w="1962"/>
        <w:gridCol w:w="770"/>
        <w:gridCol w:w="5610"/>
      </w:tblGrid>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1</w:t>
            </w:r>
          </w:p>
        </w:tc>
        <w:tc>
          <w:tcPr>
            <w:tcW w:w="1962" w:type="dxa"/>
            <w:vMerge w:val="restart"/>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Assess manual handling risks</w:t>
            </w: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1.1</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 xml:space="preserve">Identify manual handling hazards in work area </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1.2</w:t>
            </w:r>
          </w:p>
        </w:tc>
        <w:tc>
          <w:tcPr>
            <w:tcW w:w="5610"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Assess risks arising from manual handling hazards</w:t>
            </w:r>
          </w:p>
        </w:tc>
      </w:tr>
    </w:tbl>
    <w:p w:rsidR="00000000" w:rsidRPr="00625DD1" w:rsidP="00625DD1">
      <w:pPr>
        <w:pStyle w:val="BodyText"/>
      </w:pPr>
    </w:p>
    <w:tbl>
      <w:tblPr>
        <w:tblW w:w="0" w:type="auto"/>
        <w:tblLayout w:type="fixed"/>
        <w:tblCellMar>
          <w:left w:w="62" w:type="dxa"/>
          <w:right w:w="62" w:type="dxa"/>
        </w:tblCellMar>
        <w:tblLook w:val="0000"/>
      </w:tblPr>
      <w:tblGrid>
        <w:gridCol w:w="678"/>
        <w:gridCol w:w="1962"/>
        <w:gridCol w:w="770"/>
        <w:gridCol w:w="5610"/>
      </w:tblGrid>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2</w:t>
            </w:r>
          </w:p>
        </w:tc>
        <w:tc>
          <w:tcPr>
            <w:tcW w:w="1962" w:type="dxa"/>
            <w:vMerge w:val="restart"/>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Analyse physical effort requirements of job</w:t>
            </w: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2.1</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Determine basic manual handling requirements of job</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2.2</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Analyse requirements in terms of components, such as lift, move, place and hold</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2.3</w:t>
            </w:r>
          </w:p>
        </w:tc>
        <w:tc>
          <w:tcPr>
            <w:tcW w:w="5610"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Analyse items to be handled in terms such as weight, size, shape or other hazards</w:t>
            </w:r>
          </w:p>
        </w:tc>
      </w:tr>
    </w:tbl>
    <w:p w:rsidR="00000000" w:rsidRPr="00625DD1" w:rsidP="00625DD1">
      <w:pPr>
        <w:pStyle w:val="BodyText"/>
      </w:pPr>
    </w:p>
    <w:tbl>
      <w:tblPr>
        <w:tblW w:w="0" w:type="auto"/>
        <w:tblLayout w:type="fixed"/>
        <w:tblCellMar>
          <w:left w:w="62" w:type="dxa"/>
          <w:right w:w="62" w:type="dxa"/>
        </w:tblCellMar>
        <w:tblLook w:val="0000"/>
      </w:tblPr>
      <w:tblGrid>
        <w:gridCol w:w="678"/>
        <w:gridCol w:w="1962"/>
        <w:gridCol w:w="770"/>
        <w:gridCol w:w="5610"/>
      </w:tblGrid>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3</w:t>
            </w:r>
          </w:p>
        </w:tc>
        <w:tc>
          <w:tcPr>
            <w:tcW w:w="1962" w:type="dxa"/>
            <w:vMerge w:val="restart"/>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Determine time/effort components of physical effort</w:t>
            </w: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3.1</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Break required movement pattern down into movement components</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3.2</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Determine time and effort requirements for movements</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3.3</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Develop alternative movement patterns</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3.4</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Determine time and effort requirements for alternative movements</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3.5</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Determine handling aids required to assist movement</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3.6</w:t>
            </w:r>
          </w:p>
        </w:tc>
        <w:tc>
          <w:tcPr>
            <w:tcW w:w="5610"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Determine preferred movement pattern</w:t>
            </w:r>
          </w:p>
        </w:tc>
      </w:tr>
    </w:tbl>
    <w:p w:rsidR="00000000" w:rsidRPr="00625DD1" w:rsidP="00625DD1">
      <w:pPr>
        <w:pStyle w:val="BodyText"/>
      </w:pPr>
    </w:p>
    <w:tbl>
      <w:tblPr>
        <w:tblW w:w="0" w:type="auto"/>
        <w:tblLayout w:type="fixed"/>
        <w:tblCellMar>
          <w:left w:w="62" w:type="dxa"/>
          <w:right w:w="62" w:type="dxa"/>
        </w:tblCellMar>
        <w:tblLook w:val="0000"/>
      </w:tblPr>
      <w:tblGrid>
        <w:gridCol w:w="678"/>
        <w:gridCol w:w="1962"/>
        <w:gridCol w:w="770"/>
        <w:gridCol w:w="5610"/>
      </w:tblGrid>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4</w:t>
            </w:r>
          </w:p>
        </w:tc>
        <w:tc>
          <w:tcPr>
            <w:tcW w:w="1962" w:type="dxa"/>
            <w:vMerge w:val="restart"/>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Analyse the ergonomics of physical effort</w:t>
            </w: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4.1</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Analyse the ergonomics of the preferred movement pattern</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4.2</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Develop substitute movements for any movement which is not ergonomically sound</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4.3</w:t>
            </w:r>
          </w:p>
        </w:tc>
        <w:tc>
          <w:tcPr>
            <w:tcW w:w="5610"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Determine handling aids required to improve ergonomics of required movements</w:t>
            </w:r>
          </w:p>
        </w:tc>
      </w:tr>
    </w:tbl>
    <w:p w:rsidR="00000000" w:rsidRPr="00625DD1" w:rsidP="00625DD1">
      <w:pPr>
        <w:pStyle w:val="BodyText"/>
      </w:pPr>
    </w:p>
    <w:tbl>
      <w:tblPr>
        <w:tblW w:w="0" w:type="auto"/>
        <w:tblLayout w:type="fixed"/>
        <w:tblCellMar>
          <w:left w:w="62" w:type="dxa"/>
          <w:right w:w="62" w:type="dxa"/>
        </w:tblCellMar>
        <w:tblLook w:val="0000"/>
      </w:tblPr>
      <w:tblGrid>
        <w:gridCol w:w="678"/>
        <w:gridCol w:w="1962"/>
        <w:gridCol w:w="770"/>
        <w:gridCol w:w="5610"/>
      </w:tblGrid>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5</w:t>
            </w:r>
          </w:p>
        </w:tc>
        <w:tc>
          <w:tcPr>
            <w:tcW w:w="1962" w:type="dxa"/>
            <w:vMerge w:val="restart"/>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Optimise application of physical effort</w:t>
            </w: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5.1</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Select movement patterns which are ergonomically sound and time and effort efficient</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5.2</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Ensure all relevant people are trained to use these methods</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5.3</w:t>
            </w:r>
          </w:p>
        </w:tc>
        <w:tc>
          <w:tcPr>
            <w:tcW w:w="561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 xml:space="preserve">Ensure procedures and practices reflect the optimum methods </w:t>
            </w:r>
          </w:p>
        </w:tc>
      </w:tr>
      <w:tr w:rsidTr="0062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5.4</w:t>
            </w:r>
          </w:p>
        </w:tc>
        <w:tc>
          <w:tcPr>
            <w:tcW w:w="5610"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Communicate with team members and involve them in development of alternatives to ensure awareness and facilitate learning</w:t>
            </w:r>
          </w:p>
        </w:tc>
      </w:tr>
    </w:tbl>
    <w:p w:rsidR="00337BDE" w:rsidP="00625DD1">
      <w:pPr>
        <w:pStyle w:val="BodyText"/>
      </w:pPr>
    </w:p>
    <w:p w:rsidR="00337BDE" w:rsidP="00625DD1">
      <w:pPr>
        <w:pStyle w:val="BodyText"/>
      </w:pPr>
    </w:p>
    <w:p w:rsidR="00000000" w:rsidRPr="00625DD1" w:rsidP="00625DD1">
      <w:pPr>
        <w:pStyle w:val="Heading1"/>
      </w:pPr>
      <w:bookmarkStart w:id="9" w:name="O_466934"/>
      <w:bookmarkEnd w:id="9"/>
      <w:r w:rsidRPr="00625DD1">
        <w:t>Required Skills and Knowledge</w:t>
      </w:r>
    </w:p>
    <w:tbl>
      <w:tblPr>
        <w:tblW w:w="9462" w:type="dxa"/>
        <w:tblLayout w:type="fixed"/>
        <w:tblCellMar>
          <w:left w:w="62" w:type="dxa"/>
          <w:right w:w="62" w:type="dxa"/>
        </w:tblCellMar>
        <w:tblLook w:val="0000"/>
      </w:tblPr>
      <w:tblGrid>
        <w:gridCol w:w="9462"/>
      </w:tblGrid>
      <w:tr w:rsidTr="00625D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This section describes the skills and knowledge required for this unit.</w:t>
            </w:r>
          </w:p>
        </w:tc>
      </w:tr>
      <w:tr w:rsidTr="00625D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rPr>
                <w:rStyle w:val="SpecialBold"/>
              </w:rPr>
              <w:t>Required skills</w:t>
            </w:r>
          </w:p>
        </w:tc>
      </w:tr>
      <w:tr w:rsidTr="00625D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Required skills include:</w:t>
            </w:r>
          </w:p>
          <w:p w:rsidR="00000000" w:rsidRPr="00625DD1" w:rsidP="00625DD1">
            <w:pPr>
              <w:pStyle w:val="ListBullet"/>
            </w:pPr>
            <w:r w:rsidRPr="00625DD1">
              <w:t>communicating with others about work processes and jobs</w:t>
            </w:r>
          </w:p>
          <w:p w:rsidR="00000000" w:rsidRPr="00625DD1" w:rsidP="00625DD1">
            <w:pPr>
              <w:pStyle w:val="ListBullet"/>
            </w:pPr>
            <w:r w:rsidRPr="00625DD1">
              <w:t>identifying ergonomically sound and unsound movements both at a general level and related to individual capability</w:t>
            </w:r>
          </w:p>
          <w:p w:rsidR="00000000" w:rsidRPr="00625DD1" w:rsidP="00625DD1">
            <w:pPr>
              <w:pStyle w:val="ListBullet"/>
            </w:pPr>
            <w:r w:rsidRPr="00625DD1">
              <w:t>analysing manual handling processes</w:t>
            </w:r>
          </w:p>
          <w:p w:rsidR="00000000" w:rsidRPr="00625DD1" w:rsidP="00625DD1">
            <w:pPr>
              <w:pStyle w:val="ListBullet"/>
            </w:pPr>
            <w:r w:rsidRPr="00625DD1">
              <w:t>working cooperatively with others</w:t>
            </w:r>
          </w:p>
          <w:p w:rsidR="00000000" w:rsidRPr="00625DD1" w:rsidP="00625DD1">
            <w:pPr>
              <w:pStyle w:val="ListBullet"/>
            </w:pPr>
            <w:r w:rsidRPr="00625DD1">
              <w:t>demonstrating or arranging to have demonstrated ergonomically correct m</w:t>
            </w:r>
            <w:r w:rsidRPr="00625DD1">
              <w:t xml:space="preserve">ovements  </w:t>
            </w:r>
          </w:p>
          <w:p w:rsidR="00000000" w:rsidRPr="00625DD1" w:rsidP="00625DD1">
            <w:pPr>
              <w:pStyle w:val="ListBullet"/>
            </w:pPr>
            <w:r w:rsidRPr="00625DD1">
              <w:t>applying basic mathematics</w:t>
            </w:r>
          </w:p>
          <w:p w:rsidR="00000000" w:rsidP="00625DD1">
            <w:pPr>
              <w:pStyle w:val="ListBullet"/>
              <w:rPr>
                <w:lang w:val="en-NZ"/>
              </w:rPr>
            </w:pPr>
            <w:r w:rsidRPr="00625DD1">
              <w:t>solving problems</w:t>
            </w:r>
          </w:p>
        </w:tc>
      </w:tr>
      <w:tr w:rsidTr="00625D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p>
        </w:tc>
      </w:tr>
      <w:tr w:rsidTr="00625D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rPr>
                <w:rStyle w:val="SpecialBold"/>
              </w:rPr>
              <w:t>Required knowledge</w:t>
            </w:r>
          </w:p>
        </w:tc>
      </w:tr>
      <w:tr w:rsidTr="00625D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Required knowledge includes:</w:t>
            </w:r>
          </w:p>
          <w:p w:rsidR="00000000" w:rsidRPr="00625DD1" w:rsidP="00625DD1">
            <w:pPr>
              <w:pStyle w:val="ListBullet"/>
            </w:pPr>
            <w:r w:rsidRPr="00625DD1">
              <w:t>relevant occupational health and safety (OHS) Acts and regulations as applied to manual handling</w:t>
            </w:r>
          </w:p>
          <w:p w:rsidR="00000000" w:rsidRPr="00625DD1" w:rsidP="00625DD1">
            <w:pPr>
              <w:pStyle w:val="ListBullet"/>
            </w:pPr>
            <w:r w:rsidRPr="00625DD1">
              <w:t>principles of job and work method design as applied</w:t>
            </w:r>
            <w:r w:rsidRPr="00625DD1">
              <w:t xml:space="preserve"> to efficient and safe movement</w:t>
            </w:r>
          </w:p>
          <w:p w:rsidR="00000000" w:rsidRPr="00625DD1" w:rsidP="00625DD1">
            <w:pPr>
              <w:pStyle w:val="ListBullet"/>
            </w:pPr>
            <w:r w:rsidRPr="00625DD1">
              <w:t>principles of work analysis</w:t>
            </w:r>
          </w:p>
          <w:p w:rsidR="00000000" w:rsidRPr="00625DD1" w:rsidP="00625DD1">
            <w:pPr>
              <w:pStyle w:val="ListBullet"/>
            </w:pPr>
            <w:r w:rsidRPr="00625DD1">
              <w:t>principles of ergonomics/safe movement</w:t>
            </w:r>
          </w:p>
          <w:p w:rsidR="00000000" w:rsidRPr="00625DD1" w:rsidP="00625DD1">
            <w:pPr>
              <w:pStyle w:val="ListBullet"/>
            </w:pPr>
            <w:r w:rsidRPr="00625DD1">
              <w:t xml:space="preserve">aids than can assist with or substitute for manual handling </w:t>
            </w:r>
          </w:p>
        </w:tc>
      </w:tr>
    </w:tbl>
    <w:p w:rsidR="00337BDE" w:rsidP="00625DD1">
      <w:pPr>
        <w:pStyle w:val="BodyText"/>
      </w:pPr>
    </w:p>
    <w:p w:rsidR="00337BDE" w:rsidP="00625DD1">
      <w:pPr>
        <w:pStyle w:val="BodyText"/>
      </w:pPr>
    </w:p>
    <w:p w:rsidR="00000000" w:rsidRPr="00625DD1" w:rsidP="00625DD1">
      <w:pPr>
        <w:pStyle w:val="Heading1"/>
      </w:pPr>
      <w:bookmarkStart w:id="10" w:name="O_466935"/>
      <w:bookmarkEnd w:id="10"/>
      <w:r w:rsidRPr="00625DD1">
        <w:t>Evidence Guide</w:t>
      </w:r>
    </w:p>
    <w:tbl>
      <w:tblPr>
        <w:tblW w:w="9462" w:type="dxa"/>
        <w:tblLayout w:type="fixed"/>
        <w:tblCellMar>
          <w:left w:w="62" w:type="dxa"/>
          <w:right w:w="62" w:type="dxa"/>
        </w:tblCellMar>
        <w:tblLook w:val="0000"/>
      </w:tblPr>
      <w:tblGrid>
        <w:gridCol w:w="3800"/>
        <w:gridCol w:w="5662"/>
      </w:tblGrid>
      <w:tr w:rsidTr="00625DD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25DD1">
            <w:pPr>
              <w:pStyle w:val="BodyText"/>
              <w:rPr>
                <w:lang w:val="en-NZ"/>
              </w:rPr>
            </w:pPr>
            <w:r w:rsidRPr="00625DD1">
              <w:t>The evidence guide provides advice on assessment and must be read in conjunction with the performance criteria, required skills and knowledge, range statement and the Assessment Guidelines for the Training Package.</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A person who demonstrates competency in this unit must be able to provide evidence of their ability to:</w:t>
            </w:r>
          </w:p>
          <w:p w:rsidR="00000000" w:rsidRPr="00625DD1" w:rsidP="00625DD1">
            <w:pPr>
              <w:pStyle w:val="ListBullet"/>
            </w:pPr>
            <w:r w:rsidRPr="00625DD1">
              <w:t>analyse manual handling requirements and risks in jobs</w:t>
            </w:r>
          </w:p>
          <w:p w:rsidR="00000000" w:rsidRPr="00625DD1" w:rsidP="00625DD1">
            <w:pPr>
              <w:pStyle w:val="ListBullet"/>
            </w:pPr>
            <w:r w:rsidRPr="00625DD1">
              <w:t>dis</w:t>
            </w:r>
            <w:r w:rsidRPr="00625DD1">
              <w:t>tinguish between ergonomically sound and unsound movement</w:t>
            </w:r>
          </w:p>
          <w:p w:rsidR="00000000" w:rsidRPr="00625DD1" w:rsidP="00625DD1">
            <w:pPr>
              <w:pStyle w:val="ListBullet"/>
            </w:pPr>
            <w:r w:rsidRPr="00625DD1">
              <w:t xml:space="preserve">analyse manual handling movements and risks for an individual  </w:t>
            </w:r>
          </w:p>
          <w:p w:rsidR="00000000" w:rsidP="00625DD1">
            <w:pPr>
              <w:pStyle w:val="ListBullet"/>
              <w:rPr>
                <w:lang w:val="en-NZ"/>
              </w:rPr>
            </w:pPr>
            <w:r w:rsidRPr="00625DD1">
              <w:t>relate manual handling requirements to job efficiency.</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 xml:space="preserve">Assessment of performance must be undertaken in a workplace using or implementing one or more competitive systems and practices. </w:t>
            </w:r>
          </w:p>
          <w:p w:rsidR="00000000" w:rsidRPr="00625DD1" w:rsidP="00625DD1">
            <w:pPr>
              <w:pStyle w:val="BodyText"/>
            </w:pPr>
            <w:r w:rsidRPr="00625DD1">
              <w:t>Access may be required to:</w:t>
            </w:r>
          </w:p>
          <w:p w:rsidR="00000000" w:rsidRPr="00625DD1" w:rsidP="00625DD1">
            <w:pPr>
              <w:pStyle w:val="ListBullet"/>
            </w:pPr>
            <w:r w:rsidRPr="00625DD1">
              <w:t>workplace procedures and plans relevant to work area</w:t>
            </w:r>
          </w:p>
          <w:p w:rsidR="00000000" w:rsidRPr="00625DD1" w:rsidP="00625DD1">
            <w:pPr>
              <w:pStyle w:val="ListBullet"/>
            </w:pPr>
            <w:r w:rsidRPr="00625DD1">
              <w:t xml:space="preserve">specifications and documentation relating to </w:t>
            </w:r>
            <w:r w:rsidRPr="00625DD1">
              <w:t>planned, currently being implemented, or implemented changes to work processes and procedures relevant to the assessee</w:t>
            </w:r>
          </w:p>
          <w:p w:rsidR="00000000" w:rsidRPr="00625DD1" w:rsidP="00625DD1">
            <w:pPr>
              <w:pStyle w:val="ListBullet"/>
            </w:pPr>
            <w:r w:rsidRPr="00625DD1">
              <w:t>documentation and information in relation to production, waste, overheads and hazard control/management</w:t>
            </w:r>
          </w:p>
          <w:p w:rsidR="00000000" w:rsidRPr="00625DD1" w:rsidP="00625DD1">
            <w:pPr>
              <w:pStyle w:val="ListBullet"/>
            </w:pPr>
            <w:r w:rsidRPr="00625DD1">
              <w:t>reports from supervisors/managers</w:t>
            </w:r>
          </w:p>
          <w:p w:rsidR="00000000" w:rsidP="00625DD1">
            <w:pPr>
              <w:pStyle w:val="ListBullet"/>
              <w:rPr>
                <w:lang w:val="en-NZ"/>
              </w:rPr>
            </w:pPr>
            <w:r w:rsidRPr="00625DD1">
              <w:t>case studies and scenarios to assess responses to contingencies.</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A holistic approach should be taken to the assessment.</w:t>
            </w:r>
          </w:p>
          <w:p w:rsidR="00000000" w:rsidRPr="00625DD1" w:rsidP="00625DD1">
            <w:pPr>
              <w:pStyle w:val="BodyText"/>
            </w:pPr>
            <w:r w:rsidRPr="00625DD1">
              <w:t>Competence in this unit may be assessed by using some combination of the following to generate evidence:</w:t>
            </w:r>
          </w:p>
          <w:p w:rsidR="00000000" w:rsidRPr="00625DD1" w:rsidP="00625DD1">
            <w:pPr>
              <w:pStyle w:val="ListBullet"/>
            </w:pPr>
            <w:r w:rsidRPr="00625DD1">
              <w:t>demonst</w:t>
            </w:r>
            <w:r w:rsidRPr="00625DD1">
              <w:t>ration in the workplace</w:t>
            </w:r>
          </w:p>
          <w:p w:rsidR="00000000" w:rsidRPr="00625DD1" w:rsidP="00625DD1">
            <w:pPr>
              <w:pStyle w:val="ListBullet"/>
            </w:pPr>
            <w:r w:rsidRPr="00625DD1">
              <w:t>workplace projects</w:t>
            </w:r>
          </w:p>
          <w:p w:rsidR="00000000" w:rsidRPr="00625DD1" w:rsidP="00625DD1">
            <w:pPr>
              <w:pStyle w:val="ListBullet"/>
            </w:pPr>
            <w:r w:rsidRPr="00625DD1">
              <w:t>suitable simulation</w:t>
            </w:r>
          </w:p>
          <w:p w:rsidR="00000000" w:rsidRPr="00625DD1" w:rsidP="00625DD1">
            <w:pPr>
              <w:pStyle w:val="ListBullet"/>
            </w:pPr>
            <w:r w:rsidRPr="00625DD1">
              <w:t>case studies/scenarios (particularly for assessment of contingencies, improvement scenarios, and so on)</w:t>
            </w:r>
          </w:p>
          <w:p w:rsidR="00000000" w:rsidRPr="00625DD1" w:rsidP="00625DD1">
            <w:pPr>
              <w:pStyle w:val="ListBullet"/>
            </w:pPr>
            <w:r w:rsidRPr="00625DD1">
              <w:t xml:space="preserve">targeted questioning </w:t>
            </w:r>
          </w:p>
          <w:p w:rsidR="00000000" w:rsidRPr="00625DD1" w:rsidP="00625DD1">
            <w:pPr>
              <w:pStyle w:val="ListBullet"/>
            </w:pPr>
            <w:r w:rsidRPr="00625DD1">
              <w:t>reports from supervisors, peers and colleagues (third-party reports)</w:t>
            </w:r>
          </w:p>
          <w:p w:rsidR="00000000" w:rsidRPr="00625DD1" w:rsidP="00625DD1">
            <w:pPr>
              <w:pStyle w:val="ListBullet"/>
            </w:pPr>
            <w:r w:rsidRPr="00625DD1">
              <w:t>portfolio of evidence.</w:t>
            </w:r>
          </w:p>
          <w:p w:rsidR="00000000" w:rsidRPr="00625DD1" w:rsidP="00625DD1">
            <w:pPr>
              <w:pStyle w:val="BodyText"/>
            </w:pPr>
            <w:r w:rsidRPr="00625DD1">
              <w:t>In all cases it is expected that practical assessment will be combined with targeted questioning to assess underpinning knowledge.</w:t>
            </w:r>
          </w:p>
          <w:p w:rsidR="00000000" w:rsidP="00625DD1">
            <w:pPr>
              <w:pStyle w:val="BodyText"/>
              <w:rPr>
                <w:lang w:val="en-NZ"/>
              </w:rPr>
            </w:pPr>
            <w:r w:rsidRPr="00625DD1">
              <w:t>Where applicable, reasonable adju</w:t>
            </w:r>
            <w:r w:rsidRPr="00625DD1">
              <w:t>stment must be made to work environments and training situations to accommodate ethnicity, age, gender, demographics and disability.</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 xml:space="preserve">Assessment processes and techniques must be culturally appropriate and appropriate to </w:t>
            </w:r>
            <w:r w:rsidRPr="00625DD1">
              <w:t>the oracy, language and literacy capacity of the candidate and the work being performed.</w:t>
            </w:r>
          </w:p>
        </w:tc>
      </w:tr>
    </w:tbl>
    <w:p w:rsidR="00337BDE" w:rsidP="00625DD1">
      <w:pPr>
        <w:pStyle w:val="BodyText"/>
      </w:pPr>
    </w:p>
    <w:p w:rsidR="00337BDE" w:rsidP="00625DD1">
      <w:pPr>
        <w:pStyle w:val="BodyText"/>
      </w:pPr>
    </w:p>
    <w:p w:rsidR="00000000" w:rsidRPr="00625DD1" w:rsidP="00625DD1">
      <w:pPr>
        <w:pStyle w:val="Heading1"/>
      </w:pPr>
      <w:bookmarkStart w:id="11" w:name="O_466936"/>
      <w:bookmarkEnd w:id="11"/>
      <w:r w:rsidRPr="00625DD1">
        <w:t>Range Statement</w:t>
      </w:r>
    </w:p>
    <w:tbl>
      <w:tblPr>
        <w:tblW w:w="9462" w:type="dxa"/>
        <w:tblLayout w:type="fixed"/>
        <w:tblCellMar>
          <w:left w:w="62" w:type="dxa"/>
          <w:right w:w="62" w:type="dxa"/>
        </w:tblCellMar>
        <w:tblLook w:val="0000"/>
      </w:tblPr>
      <w:tblGrid>
        <w:gridCol w:w="3800"/>
        <w:gridCol w:w="5662"/>
      </w:tblGrid>
      <w:tr w:rsidTr="00625DD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25DD1">
            <w:pPr>
              <w:pStyle w:val="BodyText"/>
              <w:rPr>
                <w:lang w:val="en-NZ"/>
              </w:rPr>
            </w:pPr>
            <w:r w:rsidRPr="00625DD1">
              <w:t>The range statement relates to the unit of competency as a whole. It allows for different work environments and situations that may</w:t>
            </w:r>
            <w:r w:rsidRPr="00625DD1">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625DD1">
              <w:t xml:space="preserve"> the item, and local industry and regional contexts) may also be included.</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Competitive systems and practices may include, but are not limited to:</w:t>
            </w:r>
          </w:p>
          <w:p w:rsidR="00000000" w:rsidRPr="00625DD1" w:rsidP="00625DD1">
            <w:pPr>
              <w:pStyle w:val="ListBullet"/>
            </w:pPr>
            <w:r w:rsidRPr="00625DD1">
              <w:t>lean operations</w:t>
            </w:r>
          </w:p>
          <w:p w:rsidR="00000000" w:rsidRPr="00625DD1" w:rsidP="00625DD1">
            <w:pPr>
              <w:pStyle w:val="ListBullet"/>
            </w:pPr>
            <w:r w:rsidRPr="00625DD1">
              <w:t>agile operations</w:t>
            </w:r>
          </w:p>
          <w:p w:rsidR="00000000" w:rsidRPr="00625DD1" w:rsidP="00625DD1">
            <w:pPr>
              <w:pStyle w:val="ListBullet"/>
            </w:pPr>
            <w:r w:rsidRPr="00625DD1">
              <w:t>preventative and predictive maintenance approaches</w:t>
            </w:r>
          </w:p>
          <w:p w:rsidR="00000000" w:rsidRPr="00625DD1" w:rsidP="00625DD1">
            <w:pPr>
              <w:pStyle w:val="ListBullet"/>
            </w:pPr>
            <w:r w:rsidRPr="00625DD1">
              <w:t xml:space="preserve">monitoring and data gathering systems, such as Systems Control and Data Acquisition (SCADA) software, Enterprise Resource Planning (ERP) systems, Materials Resource Planning (MRP) and proprietary systems </w:t>
            </w:r>
          </w:p>
          <w:p w:rsidR="00000000" w:rsidRPr="00625DD1" w:rsidP="00625DD1">
            <w:pPr>
              <w:pStyle w:val="ListBullet"/>
            </w:pPr>
            <w:r w:rsidRPr="00625DD1">
              <w:t>statistical process control systems, including six sigma and three sigma</w:t>
            </w:r>
          </w:p>
          <w:p w:rsidR="00000000" w:rsidRPr="00625DD1" w:rsidP="00625DD1">
            <w:pPr>
              <w:pStyle w:val="ListBullet"/>
            </w:pPr>
            <w:r w:rsidRPr="00625DD1">
              <w:t>Just in Time (JIT), kanban and other pull-related operations control systems</w:t>
            </w:r>
          </w:p>
          <w:p w:rsidR="00000000" w:rsidRPr="00625DD1" w:rsidP="00625DD1">
            <w:pPr>
              <w:pStyle w:val="ListBullet"/>
            </w:pPr>
            <w:r w:rsidRPr="00625DD1">
              <w:t>supply, value, and demand chain monitoring and analysis</w:t>
            </w:r>
          </w:p>
          <w:p w:rsidR="00000000" w:rsidRPr="00625DD1" w:rsidP="00625DD1">
            <w:pPr>
              <w:pStyle w:val="ListBullet"/>
            </w:pPr>
            <w:r w:rsidRPr="00625DD1">
              <w:t xml:space="preserve">5S </w:t>
            </w:r>
          </w:p>
          <w:p w:rsidR="00000000" w:rsidRPr="00625DD1" w:rsidP="00625DD1">
            <w:pPr>
              <w:pStyle w:val="ListBullet"/>
            </w:pPr>
            <w:r w:rsidRPr="00625DD1">
              <w:t>continuous improvement (kaizen)</w:t>
            </w:r>
          </w:p>
          <w:p w:rsidR="00000000" w:rsidRPr="00625DD1" w:rsidP="00625DD1">
            <w:pPr>
              <w:pStyle w:val="ListBullet"/>
            </w:pPr>
            <w:r w:rsidRPr="00625DD1">
              <w:t>breakthrough improvement (kaizen blitz)</w:t>
            </w:r>
          </w:p>
          <w:p w:rsidR="00000000" w:rsidRPr="00625DD1" w:rsidP="00625DD1">
            <w:pPr>
              <w:pStyle w:val="ListBullet"/>
            </w:pPr>
            <w:r w:rsidRPr="00625DD1">
              <w:t>cause/effect diagrams</w:t>
            </w:r>
          </w:p>
          <w:p w:rsidR="00000000" w:rsidRPr="00625DD1" w:rsidP="00625DD1">
            <w:pPr>
              <w:pStyle w:val="ListBullet"/>
            </w:pPr>
            <w:r w:rsidRPr="00625DD1">
              <w:t>overall equipment effectiveness (OEE)</w:t>
            </w:r>
          </w:p>
          <w:p w:rsidR="00000000" w:rsidRPr="00625DD1" w:rsidP="00625DD1">
            <w:pPr>
              <w:pStyle w:val="ListBullet"/>
            </w:pPr>
            <w:r w:rsidRPr="00625DD1">
              <w:t>takt time</w:t>
            </w:r>
          </w:p>
          <w:p w:rsidR="00000000" w:rsidRPr="00625DD1" w:rsidP="00625DD1">
            <w:pPr>
              <w:pStyle w:val="ListBullet"/>
            </w:pPr>
            <w:r w:rsidRPr="00625DD1">
              <w:t>process mapping</w:t>
            </w:r>
          </w:p>
          <w:p w:rsidR="00000000" w:rsidRPr="00625DD1" w:rsidP="00625DD1">
            <w:pPr>
              <w:pStyle w:val="ListBullet"/>
            </w:pPr>
            <w:r w:rsidRPr="00625DD1">
              <w:t xml:space="preserve">problem solving </w:t>
            </w:r>
          </w:p>
          <w:p w:rsidR="00000000" w:rsidRPr="00625DD1" w:rsidP="00625DD1">
            <w:pPr>
              <w:pStyle w:val="ListBullet"/>
            </w:pPr>
            <w:r w:rsidRPr="00625DD1">
              <w:t>run charts</w:t>
            </w:r>
          </w:p>
          <w:p w:rsidR="00000000" w:rsidRPr="00625DD1" w:rsidP="00625DD1">
            <w:pPr>
              <w:pStyle w:val="ListBullet"/>
            </w:pPr>
            <w:r w:rsidRPr="00625DD1">
              <w:t>standard procedures</w:t>
            </w:r>
          </w:p>
          <w:p w:rsidR="00000000" w:rsidRPr="00625DD1" w:rsidP="00625DD1">
            <w:pPr>
              <w:pStyle w:val="ListBullet"/>
            </w:pPr>
            <w:r w:rsidRPr="00625DD1">
              <w:t>current reality tree</w:t>
            </w:r>
          </w:p>
          <w:p w:rsidR="00000000" w:rsidRPr="00625DD1" w:rsidP="00625DD1">
            <w:pPr>
              <w:pStyle w:val="BodyText"/>
            </w:pPr>
            <w:r w:rsidRPr="00625DD1">
              <w:t>Competitive systems and practices should be interpreted so as</w:t>
            </w:r>
            <w:r w:rsidRPr="00625DD1">
              <w:t xml:space="preserve"> to take into account:</w:t>
            </w:r>
          </w:p>
          <w:p w:rsidR="00000000" w:rsidRPr="00625DD1" w:rsidP="00625DD1">
            <w:pPr>
              <w:pStyle w:val="ListBullet"/>
            </w:pPr>
            <w:r w:rsidRPr="00625DD1">
              <w:t>the stage of implementation of competitive systems and practices</w:t>
            </w:r>
          </w:p>
          <w:p w:rsidR="00000000" w:rsidRPr="00625DD1" w:rsidP="00625DD1">
            <w:pPr>
              <w:pStyle w:val="ListBullet"/>
            </w:pPr>
            <w:r w:rsidRPr="00625DD1">
              <w:t>the size of the enterprise</w:t>
            </w:r>
          </w:p>
          <w:p w:rsidR="00000000" w:rsidP="00625DD1">
            <w:pPr>
              <w:pStyle w:val="ListBullet"/>
              <w:rPr>
                <w:lang w:val="en-NZ"/>
              </w:rPr>
            </w:pPr>
            <w:r w:rsidRPr="00625DD1">
              <w:t>the work organisation, culture, regulatory environment and the industry sector</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Procedures may include:</w:t>
            </w:r>
          </w:p>
          <w:p w:rsidR="00000000" w:rsidRPr="00625DD1" w:rsidP="00625DD1">
            <w:pPr>
              <w:pStyle w:val="ListBullet"/>
            </w:pPr>
            <w:r w:rsidRPr="00625DD1">
              <w:t>work instructions</w:t>
            </w:r>
          </w:p>
          <w:p w:rsidR="00000000" w:rsidRPr="00625DD1" w:rsidP="00625DD1">
            <w:pPr>
              <w:pStyle w:val="ListBullet"/>
            </w:pPr>
            <w:r w:rsidRPr="00625DD1">
              <w:t>standard operating procedures</w:t>
            </w:r>
          </w:p>
          <w:p w:rsidR="00000000" w:rsidRPr="00625DD1" w:rsidP="00625DD1">
            <w:pPr>
              <w:pStyle w:val="ListBullet"/>
            </w:pPr>
            <w:r w:rsidRPr="00625DD1">
              <w:t>formulas/recipes</w:t>
            </w:r>
          </w:p>
          <w:p w:rsidR="00000000" w:rsidRPr="00625DD1" w:rsidP="00625DD1">
            <w:pPr>
              <w:pStyle w:val="ListBullet"/>
            </w:pPr>
            <w:r w:rsidRPr="00625DD1">
              <w:t>batch sheets</w:t>
            </w:r>
          </w:p>
          <w:p w:rsidR="00000000" w:rsidRPr="00625DD1" w:rsidP="00625DD1">
            <w:pPr>
              <w:pStyle w:val="ListBullet"/>
            </w:pPr>
            <w:r w:rsidRPr="00625DD1">
              <w:t>temporary instructions and similar instructions provided for the smooth running of the plant</w:t>
            </w:r>
          </w:p>
          <w:p w:rsidR="00000000" w:rsidRPr="00625DD1" w:rsidP="00625DD1">
            <w:pPr>
              <w:pStyle w:val="ListBullet"/>
            </w:pPr>
            <w:r w:rsidRPr="00625DD1">
              <w:t>good operating practice as may be defined by industry codes of practice (e.g. good manufacturing practi</w:t>
            </w:r>
            <w:r w:rsidRPr="00625DD1">
              <w:t xml:space="preserve">ce (GMP) and Responsible Care) </w:t>
            </w:r>
          </w:p>
          <w:p w:rsidR="00000000" w:rsidRPr="00625DD1" w:rsidP="00625DD1">
            <w:pPr>
              <w:pStyle w:val="ListBullet"/>
            </w:pPr>
            <w:r w:rsidRPr="00625DD1">
              <w:t>government regulations</w:t>
            </w:r>
          </w:p>
          <w:p w:rsidR="00000000" w:rsidRPr="00625DD1" w:rsidP="00625DD1">
            <w:pPr>
              <w:pStyle w:val="BodyText"/>
            </w:pPr>
            <w:r w:rsidRPr="00625DD1">
              <w:t>Procedures may be:</w:t>
            </w:r>
          </w:p>
          <w:p w:rsidR="00000000" w:rsidP="00625DD1">
            <w:pPr>
              <w:pStyle w:val="ListBullet"/>
              <w:rPr>
                <w:lang w:val="en-NZ"/>
              </w:rPr>
            </w:pPr>
            <w:r w:rsidRPr="00625DD1">
              <w:t>written, verbal, computer-based or in some other format</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Manual handling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Manual handling hazards may include:</w:t>
            </w:r>
          </w:p>
          <w:p w:rsidR="00000000" w:rsidRPr="00625DD1" w:rsidP="00625DD1">
            <w:pPr>
              <w:pStyle w:val="ListBullet"/>
            </w:pPr>
            <w:r w:rsidRPr="00625DD1">
              <w:t xml:space="preserve">loads that pose a risk of injury </w:t>
            </w:r>
          </w:p>
          <w:p w:rsidR="00000000" w:rsidRPr="00625DD1" w:rsidP="00625DD1">
            <w:pPr>
              <w:pStyle w:val="ListBullet"/>
            </w:pPr>
            <w:r w:rsidRPr="00625DD1">
              <w:t xml:space="preserve">ergonomically unsound movements </w:t>
            </w:r>
          </w:p>
          <w:p w:rsidR="00000000" w:rsidP="00625DD1">
            <w:pPr>
              <w:pStyle w:val="ListBullet"/>
              <w:rPr>
                <w:lang w:val="en-NZ"/>
              </w:rPr>
            </w:pPr>
            <w:r w:rsidRPr="00625DD1">
              <w:t>hazard requirements as defined by relevant OHS Acts and regulations, industry standards and best practice</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Ergonomically unsound movements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 xml:space="preserve">Ergonomically unsound movements may include: </w:t>
            </w:r>
          </w:p>
          <w:p w:rsidR="00000000" w:rsidRPr="00625DD1" w:rsidP="00625DD1">
            <w:pPr>
              <w:pStyle w:val="ListBullet"/>
            </w:pPr>
            <w:r w:rsidRPr="00625DD1">
              <w:t>awkward and repetitive movements</w:t>
            </w:r>
          </w:p>
          <w:p w:rsidR="00000000" w:rsidRPr="00625DD1" w:rsidP="00625DD1">
            <w:pPr>
              <w:pStyle w:val="ListBullet"/>
            </w:pPr>
            <w:r w:rsidRPr="00625DD1">
              <w:t>carr</w:t>
            </w:r>
            <w:r w:rsidRPr="00625DD1">
              <w:t>ying, pushing, pulling or lifting of heavy loads</w:t>
            </w:r>
          </w:p>
          <w:p w:rsidR="00000000" w:rsidRPr="00625DD1" w:rsidP="00625DD1">
            <w:pPr>
              <w:pStyle w:val="ListBullet"/>
            </w:pPr>
            <w:r w:rsidRPr="00625DD1">
              <w:t>carrying or movement against hard, sharp, slippery or other difficult to grasp loads</w:t>
            </w:r>
          </w:p>
          <w:p w:rsidR="00000000" w:rsidP="00625DD1">
            <w:pPr>
              <w:pStyle w:val="BodyText"/>
              <w:rPr>
                <w:lang w:val="en-NZ"/>
              </w:rPr>
            </w:pPr>
            <w:r w:rsidRPr="00625DD1">
              <w:t>Ergonomically unsound movements should be assessed against the capabilities of individual workers as what is a sound movem</w:t>
            </w:r>
            <w:r w:rsidRPr="00625DD1">
              <w:t>ent for one worker may be unsound for others depending on physique and individual condition</w:t>
            </w:r>
          </w:p>
        </w:tc>
      </w:tr>
      <w:tr w:rsidTr="00625D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DD1">
            <w:pPr>
              <w:pStyle w:val="BodyText"/>
              <w:rPr>
                <w:lang w:val="en-NZ"/>
              </w:rPr>
            </w:pPr>
            <w:r w:rsidRPr="00625DD1">
              <w:rPr>
                <w:rStyle w:val="SpecialBold"/>
              </w:rPr>
              <w:t>Ergonomically sound movements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DD1" w:rsidP="00625DD1">
            <w:pPr>
              <w:pStyle w:val="BodyText"/>
            </w:pPr>
            <w:r w:rsidRPr="00625DD1">
              <w:t>Ergonomically sound movements are movements which decrease the risk of injury. Sound movements will vary according to the load and in</w:t>
            </w:r>
            <w:r w:rsidRPr="00625DD1">
              <w:t>dividual. Examples include:</w:t>
            </w:r>
          </w:p>
          <w:p w:rsidR="00000000" w:rsidRPr="00625DD1" w:rsidP="00625DD1">
            <w:pPr>
              <w:pStyle w:val="ListBullet"/>
            </w:pPr>
            <w:r w:rsidRPr="00625DD1">
              <w:t>keeping loads close to the body and near the person's centre of gravity</w:t>
            </w:r>
          </w:p>
          <w:p w:rsidR="00000000" w:rsidRPr="00625DD1" w:rsidP="00625DD1">
            <w:pPr>
              <w:pStyle w:val="ListBullet"/>
            </w:pPr>
            <w:r w:rsidRPr="00625DD1">
              <w:t>using diagonal foot positions for lifting</w:t>
            </w:r>
          </w:p>
          <w:p w:rsidR="00000000" w:rsidRPr="00625DD1" w:rsidP="00625DD1">
            <w:pPr>
              <w:pStyle w:val="ListBullet"/>
            </w:pPr>
            <w:r w:rsidRPr="00625DD1">
              <w:t>moving loads at waist height rather than directly from the floor</w:t>
            </w:r>
          </w:p>
        </w:tc>
      </w:tr>
    </w:tbl>
    <w:p w:rsidR="00337BDE" w:rsidP="00625DD1">
      <w:pPr>
        <w:pStyle w:val="BodyText"/>
      </w:pPr>
    </w:p>
    <w:p w:rsidR="00337BDE" w:rsidP="00625DD1">
      <w:pPr>
        <w:pStyle w:val="BodyText"/>
      </w:pPr>
    </w:p>
    <w:p w:rsidR="00000000" w:rsidRPr="00625DD1" w:rsidP="00625DD1">
      <w:pPr>
        <w:pStyle w:val="Heading1"/>
      </w:pPr>
      <w:bookmarkStart w:id="12" w:name="O_466937"/>
      <w:bookmarkEnd w:id="12"/>
      <w:r w:rsidRPr="00625DD1">
        <w:t>Unit Sector(s)</w:t>
      </w:r>
    </w:p>
    <w:tbl>
      <w:tblPr>
        <w:tblW w:w="9354" w:type="dxa"/>
        <w:tblLayout w:type="fixed"/>
        <w:tblCellMar>
          <w:left w:w="62" w:type="dxa"/>
          <w:right w:w="62" w:type="dxa"/>
        </w:tblCellMar>
        <w:tblLook w:val="0000"/>
      </w:tblPr>
      <w:tblGrid>
        <w:gridCol w:w="2592"/>
        <w:gridCol w:w="6762"/>
      </w:tblGrid>
      <w:tr w:rsidTr="00625DD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25DD1">
            <w:pPr>
              <w:pStyle w:val="BodyText"/>
              <w:rPr>
                <w:lang w:val="en-NZ"/>
              </w:rPr>
            </w:pPr>
            <w:r w:rsidRPr="00625DD1">
              <w:t>Unit sector</w:t>
            </w:r>
          </w:p>
        </w:tc>
        <w:tc>
          <w:tcPr>
            <w:tcW w:w="6762" w:type="dxa"/>
            <w:tcBorders>
              <w:top w:val="nil"/>
              <w:left w:val="nil"/>
              <w:bottom w:val="nil"/>
              <w:right w:val="nil"/>
            </w:tcBorders>
            <w:tcMar>
              <w:top w:w="0" w:type="dxa"/>
              <w:left w:w="62" w:type="dxa"/>
              <w:bottom w:w="0" w:type="dxa"/>
              <w:right w:w="62" w:type="dxa"/>
            </w:tcMar>
          </w:tcPr>
          <w:p w:rsidR="00000000" w:rsidRPr="00625DD1" w:rsidP="00625DD1">
            <w:pPr>
              <w:pStyle w:val="BodyText"/>
            </w:pPr>
            <w:r w:rsidRPr="00625DD1">
              <w:t>Competitive systems and practices</w:t>
            </w:r>
          </w:p>
        </w:tc>
      </w:tr>
    </w:tbl>
    <w:p w:rsidR="00000000" w:rsidRPr="00625DD1" w:rsidP="00625DD1">
      <w:pPr>
        <w:pStyle w:val="BodyText"/>
      </w:pPr>
    </w:p>
    <w:p w:rsidR="00000000" w:rsidRPr="00625DD1" w:rsidP="00625DD1">
      <w:pPr>
        <w:pStyle w:val="AllowPageBreak"/>
      </w:pPr>
    </w:p>
    <w:p w:rsidR="00000000" w:rsidRPr="00625DD1" w:rsidP="00625DD1">
      <w:pPr>
        <w:pStyle w:val="Heading1"/>
      </w:pPr>
      <w:bookmarkStart w:id="13" w:name="O_466938"/>
      <w:bookmarkEnd w:id="13"/>
      <w:r w:rsidRPr="00625DD1">
        <w:t>Custom Content Section</w:t>
      </w:r>
    </w:p>
    <w:p w:rsidR="00000000" w:rsidRPr="00625DD1" w:rsidP="00625DD1">
      <w:pPr>
        <w:pStyle w:val="BodyText"/>
      </w:pPr>
      <w:r w:rsidRPr="00625DD1">
        <w:t>Not applicable.</w:t>
      </w:r>
    </w:p>
    <w:p w:rsidR="00000000" w:rsidRPr="00625DD1" w:rsidP="00625DD1"/>
    <w:sectPr w:rsidSect="00625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BDE" w:rsidP="00337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DE" w:rsidP="00625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7BDE" w:rsidP="00625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7BDE" w:rsidP="00625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BDE" w:rsidP="00337B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DE" w:rsidP="00625DD1">
    <w:pPr>
      <w:pStyle w:val="Header"/>
      <w:framePr w:wrap="around"/>
    </w:pPr>
    <w:r>
      <w:fldChar w:fldCharType="begin"/>
    </w:r>
    <w:r>
      <w:instrText xml:space="preserve"> TITLE   \* MERGEFORMAT </w:instrText>
    </w:r>
    <w:r>
      <w:fldChar w:fldCharType="separate"/>
    </w:r>
    <w:r>
      <w:t>MSS403032A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7BDE" w:rsidP="00625D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C81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814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D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5DD1"/>
    <w:pPr>
      <w:spacing w:before="360" w:after="60"/>
      <w:outlineLvl w:val="0"/>
    </w:pPr>
    <w:rPr>
      <w:sz w:val="32"/>
    </w:rPr>
  </w:style>
  <w:style w:type="paragraph" w:styleId="Heading2">
    <w:name w:val="heading 2"/>
    <w:basedOn w:val="HeadingBase"/>
    <w:next w:val="BodyText"/>
    <w:link w:val="Heading2Char"/>
    <w:qFormat/>
    <w:rsid w:val="00625DD1"/>
    <w:pPr>
      <w:keepLines/>
      <w:spacing w:before="240" w:after="120"/>
      <w:outlineLvl w:val="1"/>
    </w:pPr>
    <w:rPr>
      <w:sz w:val="28"/>
      <w:szCs w:val="40"/>
    </w:rPr>
  </w:style>
  <w:style w:type="paragraph" w:styleId="Heading3">
    <w:name w:val="heading 3"/>
    <w:basedOn w:val="HeadingBase"/>
    <w:next w:val="BodyText"/>
    <w:link w:val="Heading3Char"/>
    <w:qFormat/>
    <w:rsid w:val="00625DD1"/>
    <w:pPr>
      <w:spacing w:before="180" w:after="120"/>
      <w:outlineLvl w:val="2"/>
    </w:pPr>
    <w:rPr>
      <w:spacing w:val="-10"/>
      <w:kern w:val="32"/>
    </w:rPr>
  </w:style>
  <w:style w:type="paragraph" w:styleId="Heading4">
    <w:name w:val="heading 4"/>
    <w:basedOn w:val="HeadingBase"/>
    <w:next w:val="BodyText"/>
    <w:link w:val="Heading4Char"/>
    <w:qFormat/>
    <w:rsid w:val="00625DD1"/>
    <w:pPr>
      <w:spacing w:before="160" w:after="120"/>
      <w:outlineLvl w:val="3"/>
    </w:pPr>
    <w:rPr>
      <w:sz w:val="22"/>
    </w:rPr>
  </w:style>
  <w:style w:type="paragraph" w:styleId="Heading5">
    <w:name w:val="heading 5"/>
    <w:basedOn w:val="HeadingBase"/>
    <w:next w:val="Normal"/>
    <w:link w:val="Heading5Char"/>
    <w:qFormat/>
    <w:rsid w:val="00625DD1"/>
    <w:pPr>
      <w:spacing w:before="80"/>
      <w:outlineLvl w:val="4"/>
    </w:pPr>
    <w:rPr>
      <w:color w:val="918585"/>
      <w:sz w:val="20"/>
    </w:rPr>
  </w:style>
  <w:style w:type="paragraph" w:styleId="Heading6">
    <w:name w:val="heading 6"/>
    <w:basedOn w:val="HeadingBase"/>
    <w:next w:val="Normal"/>
    <w:link w:val="Heading6Char"/>
    <w:qFormat/>
    <w:rsid w:val="00625DD1"/>
    <w:pPr>
      <w:spacing w:before="60"/>
      <w:outlineLvl w:val="5"/>
    </w:pPr>
    <w:rPr>
      <w:color w:val="918585"/>
      <w:sz w:val="20"/>
    </w:rPr>
  </w:style>
  <w:style w:type="paragraph" w:styleId="Heading7">
    <w:name w:val="heading 7"/>
    <w:basedOn w:val="Normal"/>
    <w:next w:val="Normal"/>
    <w:link w:val="Heading7Char"/>
    <w:qFormat/>
    <w:rsid w:val="00625DD1"/>
    <w:pPr>
      <w:ind w:left="720"/>
      <w:outlineLvl w:val="6"/>
    </w:pPr>
    <w:rPr>
      <w:i/>
    </w:rPr>
  </w:style>
  <w:style w:type="paragraph" w:styleId="Heading8">
    <w:name w:val="heading 8"/>
    <w:basedOn w:val="Normal"/>
    <w:next w:val="Normal"/>
    <w:link w:val="Heading8Char"/>
    <w:qFormat/>
    <w:rsid w:val="00625DD1"/>
    <w:pPr>
      <w:ind w:left="720"/>
      <w:outlineLvl w:val="7"/>
    </w:pPr>
    <w:rPr>
      <w:i/>
    </w:rPr>
  </w:style>
  <w:style w:type="paragraph" w:styleId="Heading9">
    <w:name w:val="heading 9"/>
    <w:basedOn w:val="Normal"/>
    <w:next w:val="Normal"/>
    <w:link w:val="Heading9Char"/>
    <w:qFormat/>
    <w:rsid w:val="00625DD1"/>
    <w:pPr>
      <w:ind w:left="720"/>
      <w:outlineLvl w:val="8"/>
    </w:pPr>
    <w:rPr>
      <w:i/>
    </w:rPr>
  </w:style>
  <w:style w:type="character" w:default="1" w:styleId="DefaultParagraphFont">
    <w:name w:val="Default Paragraph Font"/>
    <w:uiPriority w:val="1"/>
    <w:unhideWhenUsed/>
    <w:rsid w:val="00625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DD1"/>
  </w:style>
  <w:style w:type="character" w:customStyle="1" w:styleId="Heading1Char">
    <w:name w:val="Heading 1 Char"/>
    <w:basedOn w:val="DefaultParagraphFont"/>
    <w:link w:val="Heading1"/>
    <w:rsid w:val="00625DD1"/>
    <w:rPr>
      <w:rFonts w:ascii="Times New Roman" w:eastAsia="Times New Roman" w:hAnsi="Times New Roman" w:cs="Times New Roman"/>
      <w:b/>
      <w:sz w:val="32"/>
      <w:szCs w:val="20"/>
      <w:lang w:eastAsia="en-US"/>
    </w:rPr>
  </w:style>
  <w:style w:type="paragraph" w:styleId="BodyText">
    <w:name w:val="Body Text"/>
    <w:basedOn w:val="Normal"/>
    <w:link w:val="BodyTextChar"/>
    <w:rsid w:val="00625D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DD1"/>
    <w:rPr>
      <w:rFonts w:ascii="Times New Roman" w:eastAsia="Times New Roman" w:hAnsi="Times New Roman" w:cs="Times New Roman"/>
      <w:sz w:val="24"/>
      <w:lang w:val="en-US" w:eastAsia="en-US"/>
    </w:rPr>
  </w:style>
  <w:style w:type="paragraph" w:styleId="Footer">
    <w:name w:val="footer"/>
    <w:basedOn w:val="Normal"/>
    <w:link w:val="FooterChar"/>
    <w:rsid w:val="00625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DD1"/>
    <w:rPr>
      <w:rFonts w:ascii="Times New Roman" w:eastAsia="Times New Roman" w:hAnsi="Times New Roman" w:cs="Times New Roman"/>
      <w:sz w:val="16"/>
      <w:lang w:val="en-US" w:eastAsia="en-US"/>
    </w:rPr>
  </w:style>
  <w:style w:type="paragraph" w:styleId="ListBullet">
    <w:name w:val="List Bullet"/>
    <w:basedOn w:val="List"/>
    <w:rsid w:val="00625DD1"/>
    <w:pPr>
      <w:numPr>
        <w:numId w:val="12"/>
      </w:numPr>
      <w:tabs>
        <w:tab w:val="clear" w:pos="340"/>
      </w:tabs>
      <w:spacing w:before="40" w:after="40"/>
    </w:pPr>
  </w:style>
  <w:style w:type="character" w:customStyle="1" w:styleId="SpecialBold">
    <w:name w:val="Special Bold"/>
    <w:basedOn w:val="DefaultParagraphFont"/>
    <w:rsid w:val="00625DD1"/>
    <w:rPr>
      <w:b/>
      <w:spacing w:val="0"/>
    </w:rPr>
  </w:style>
  <w:style w:type="paragraph" w:styleId="Header">
    <w:name w:val="header"/>
    <w:basedOn w:val="Normal"/>
    <w:link w:val="HeaderChar"/>
    <w:rsid w:val="00625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D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5DD1"/>
    <w:pPr>
      <w:spacing w:before="240" w:after="120"/>
      <w:outlineLvl w:val="0"/>
    </w:pPr>
    <w:rPr>
      <w:rFonts w:ascii="Times New Roman" w:hAnsi="Times New Roman"/>
      <w:b/>
      <w:sz w:val="28"/>
    </w:rPr>
  </w:style>
  <w:style w:type="paragraph" w:customStyle="1" w:styleId="AllowPageBreak">
    <w:name w:val="AllowPageBreak"/>
    <w:rsid w:val="00625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D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5D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5DD1"/>
    <w:rPr>
      <w:rFonts w:ascii="Courier New" w:eastAsia="Times New Roman" w:hAnsi="Courier New" w:cs="Times New Roman"/>
      <w:i/>
      <w:szCs w:val="20"/>
      <w:lang w:val="en-US" w:eastAsia="en-US"/>
    </w:rPr>
  </w:style>
  <w:style w:type="paragraph" w:customStyle="1" w:styleId="HeadingBase">
    <w:name w:val="Heading Base"/>
    <w:rsid w:val="00625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DD1"/>
    <w:pPr>
      <w:tabs>
        <w:tab w:val="right" w:leader="dot" w:pos="9072"/>
      </w:tabs>
      <w:ind w:left="567"/>
    </w:pPr>
    <w:rPr>
      <w:szCs w:val="22"/>
    </w:rPr>
  </w:style>
  <w:style w:type="paragraph" w:customStyle="1" w:styleId="TOCBase">
    <w:name w:val="TOC Base"/>
    <w:rsid w:val="00625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DD1"/>
    <w:pPr>
      <w:tabs>
        <w:tab w:val="right" w:leader="dot" w:pos="9072"/>
      </w:tabs>
      <w:spacing w:before="40" w:after="40"/>
      <w:ind w:left="284"/>
    </w:pPr>
    <w:rPr>
      <w:rFonts w:ascii="Times New Roman" w:hAnsi="Times New Roman"/>
    </w:rPr>
  </w:style>
  <w:style w:type="paragraph" w:styleId="TOC1">
    <w:name w:val="toc 1"/>
    <w:basedOn w:val="TOCBase"/>
    <w:next w:val="Normal"/>
    <w:rsid w:val="00625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5DD1"/>
    <w:pPr>
      <w:spacing w:before="5040"/>
      <w:jc w:val="center"/>
    </w:pPr>
    <w:rPr>
      <w:sz w:val="48"/>
      <w:szCs w:val="72"/>
      <w:lang w:val="en-US"/>
    </w:rPr>
  </w:style>
  <w:style w:type="character" w:customStyle="1" w:styleId="TitleChar">
    <w:name w:val="Title Char"/>
    <w:basedOn w:val="DefaultParagraphFont"/>
    <w:link w:val="Title"/>
    <w:rsid w:val="00625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DD1"/>
    <w:pPr>
      <w:tabs>
        <w:tab w:val="left" w:pos="3600"/>
        <w:tab w:val="left" w:pos="3958"/>
      </w:tabs>
    </w:pPr>
  </w:style>
  <w:style w:type="paragraph" w:styleId="List">
    <w:name w:val="List"/>
    <w:basedOn w:val="BodyText"/>
    <w:next w:val="BodyText"/>
    <w:rsid w:val="00625DD1"/>
    <w:pPr>
      <w:tabs>
        <w:tab w:val="left" w:pos="340"/>
      </w:tabs>
      <w:spacing w:before="60" w:after="60"/>
      <w:ind w:left="340" w:hanging="340"/>
    </w:pPr>
  </w:style>
  <w:style w:type="paragraph" w:customStyle="1" w:styleId="Note">
    <w:name w:val="Note"/>
    <w:basedOn w:val="BodyText"/>
    <w:rsid w:val="00625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DD1"/>
    <w:pPr>
      <w:framePr w:wrap="auto" w:hAnchor="text" w:y="6049"/>
    </w:pPr>
    <w:rPr>
      <w:color w:val="000000"/>
      <w:sz w:val="40"/>
    </w:rPr>
  </w:style>
  <w:style w:type="paragraph" w:customStyle="1" w:styleId="TOCTitle">
    <w:name w:val="TOCTitle"/>
    <w:basedOn w:val="Heading1"/>
    <w:rsid w:val="00625DD1"/>
    <w:pPr>
      <w:spacing w:after="240"/>
      <w:jc w:val="center"/>
      <w:outlineLvl w:val="9"/>
    </w:pPr>
    <w:rPr>
      <w:caps/>
    </w:rPr>
  </w:style>
  <w:style w:type="paragraph" w:customStyle="1" w:styleId="Version">
    <w:name w:val="Version"/>
    <w:rsid w:val="00625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DD1"/>
    <w:pPr>
      <w:numPr>
        <w:numId w:val="13"/>
      </w:numPr>
      <w:tabs>
        <w:tab w:val="clear" w:pos="680"/>
      </w:tabs>
    </w:pPr>
  </w:style>
  <w:style w:type="paragraph" w:styleId="Index1">
    <w:name w:val="index 1"/>
    <w:basedOn w:val="Normal"/>
    <w:next w:val="Normal"/>
    <w:semiHidden/>
    <w:rsid w:val="00625DD1"/>
    <w:pPr>
      <w:keepNext w:val="0"/>
      <w:tabs>
        <w:tab w:val="right" w:pos="4176"/>
      </w:tabs>
      <w:ind w:left="198" w:hanging="198"/>
    </w:pPr>
    <w:rPr>
      <w:rFonts w:ascii="Garamond" w:hAnsi="Garamond"/>
    </w:rPr>
  </w:style>
  <w:style w:type="paragraph" w:styleId="IndexHeading">
    <w:name w:val="index heading"/>
    <w:basedOn w:val="Normal"/>
    <w:next w:val="Index1"/>
    <w:semiHidden/>
    <w:rsid w:val="00625DD1"/>
    <w:pPr>
      <w:spacing w:before="120" w:after="120"/>
    </w:pPr>
    <w:rPr>
      <w:rFonts w:ascii="Arial" w:hAnsi="Arial"/>
      <w:b/>
      <w:color w:val="918585"/>
      <w:sz w:val="24"/>
    </w:rPr>
  </w:style>
  <w:style w:type="paragraph" w:customStyle="1" w:styleId="Chapter">
    <w:name w:val="Chapter"/>
    <w:basedOn w:val="Normal"/>
    <w:rsid w:val="00625DD1"/>
    <w:pPr>
      <w:spacing w:before="240"/>
    </w:pPr>
    <w:rPr>
      <w:rFonts w:ascii="Times New Roman" w:hAnsi="Times New Roman"/>
      <w:smallCaps/>
      <w:spacing w:val="80"/>
      <w:sz w:val="28"/>
    </w:rPr>
  </w:style>
  <w:style w:type="paragraph" w:customStyle="1" w:styleId="InChapter">
    <w:name w:val="InChapter"/>
    <w:basedOn w:val="Heading3"/>
    <w:rsid w:val="00625DD1"/>
    <w:pPr>
      <w:spacing w:after="240"/>
      <w:outlineLvl w:val="9"/>
    </w:pPr>
    <w:rPr>
      <w:noProof/>
    </w:rPr>
  </w:style>
  <w:style w:type="paragraph" w:styleId="Index2">
    <w:name w:val="index 2"/>
    <w:basedOn w:val="Normal"/>
    <w:next w:val="Normal"/>
    <w:semiHidden/>
    <w:rsid w:val="00625DD1"/>
    <w:pPr>
      <w:tabs>
        <w:tab w:val="right" w:pos="4176"/>
      </w:tabs>
      <w:ind w:left="568" w:hanging="284"/>
    </w:pPr>
    <w:rPr>
      <w:rFonts w:ascii="Garamond" w:hAnsi="Garamond"/>
    </w:rPr>
  </w:style>
  <w:style w:type="paragraph" w:customStyle="1" w:styleId="Byline">
    <w:name w:val="Byline"/>
    <w:rsid w:val="00625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DD1"/>
    <w:pPr>
      <w:tabs>
        <w:tab w:val="clear" w:pos="3600"/>
        <w:tab w:val="clear" w:pos="3958"/>
      </w:tabs>
      <w:jc w:val="right"/>
    </w:pPr>
  </w:style>
  <w:style w:type="character" w:styleId="Emphasis">
    <w:name w:val="Emphasis"/>
    <w:basedOn w:val="DefaultParagraphFont"/>
    <w:qFormat/>
    <w:rsid w:val="00625DD1"/>
    <w:rPr>
      <w:i/>
    </w:rPr>
  </w:style>
  <w:style w:type="paragraph" w:styleId="Caption">
    <w:name w:val="caption"/>
    <w:basedOn w:val="BodyText"/>
    <w:next w:val="Normal"/>
    <w:qFormat/>
    <w:rsid w:val="00625DD1"/>
    <w:pPr>
      <w:framePr w:w="2268" w:hSpace="181" w:vSpace="181" w:wrap="around" w:vAnchor="text" w:hAnchor="page" w:x="1135" w:y="285" w:anchorLock="1"/>
    </w:pPr>
    <w:rPr>
      <w:i/>
    </w:rPr>
  </w:style>
  <w:style w:type="paragraph" w:customStyle="1" w:styleId="MiniTOCTitle">
    <w:name w:val="MiniTOCTitle"/>
    <w:basedOn w:val="Heading4"/>
    <w:rsid w:val="00625DD1"/>
    <w:pPr>
      <w:spacing w:before="240"/>
      <w:outlineLvl w:val="9"/>
    </w:pPr>
    <w:rPr>
      <w:noProof/>
      <w:sz w:val="24"/>
    </w:rPr>
  </w:style>
  <w:style w:type="paragraph" w:customStyle="1" w:styleId="MiniTOCItem">
    <w:name w:val="MiniTOCItem"/>
    <w:basedOn w:val="ListBullet"/>
    <w:rsid w:val="00625DD1"/>
    <w:pPr>
      <w:numPr>
        <w:numId w:val="0"/>
      </w:numPr>
      <w:tabs>
        <w:tab w:val="right" w:leader="dot" w:pos="6521"/>
      </w:tabs>
      <w:spacing w:before="0" w:after="0"/>
    </w:pPr>
  </w:style>
  <w:style w:type="paragraph" w:customStyle="1" w:styleId="TOFTitle">
    <w:name w:val="TOFTitle"/>
    <w:basedOn w:val="TOCTitle"/>
    <w:rsid w:val="00625DD1"/>
  </w:style>
  <w:style w:type="paragraph" w:styleId="TableofFigures">
    <w:name w:val="table of figures"/>
    <w:basedOn w:val="Normal"/>
    <w:next w:val="Normal"/>
    <w:semiHidden/>
    <w:rsid w:val="00625DD1"/>
    <w:pPr>
      <w:tabs>
        <w:tab w:val="right" w:leader="dot" w:pos="9072"/>
      </w:tabs>
      <w:ind w:left="970" w:hanging="403"/>
    </w:pPr>
    <w:rPr>
      <w:rFonts w:ascii="Times New Roman" w:hAnsi="Times New Roman"/>
      <w:b/>
    </w:rPr>
  </w:style>
  <w:style w:type="paragraph" w:styleId="ListNumber">
    <w:name w:val="List Number"/>
    <w:basedOn w:val="List"/>
    <w:rsid w:val="00625DD1"/>
    <w:pPr>
      <w:numPr>
        <w:numId w:val="10"/>
      </w:numPr>
    </w:pPr>
  </w:style>
  <w:style w:type="character" w:customStyle="1" w:styleId="WingdingSymbols">
    <w:name w:val="Wingding Symbols"/>
    <w:rsid w:val="00625DD1"/>
    <w:rPr>
      <w:rFonts w:ascii="Wingdings" w:hAnsi="Wingdings"/>
    </w:rPr>
  </w:style>
  <w:style w:type="paragraph" w:customStyle="1" w:styleId="TableHeading">
    <w:name w:val="Table Heading"/>
    <w:basedOn w:val="HeadingBase"/>
    <w:rsid w:val="00625DD1"/>
    <w:pPr>
      <w:keepLines/>
      <w:pBdr>
        <w:bottom w:val="single" w:sz="6" w:space="1" w:color="918585"/>
      </w:pBdr>
      <w:spacing w:before="240"/>
    </w:pPr>
  </w:style>
  <w:style w:type="character" w:customStyle="1" w:styleId="HotSpot">
    <w:name w:val="HotSpot"/>
    <w:rsid w:val="00625DD1"/>
    <w:rPr>
      <w:color w:val="0033CC"/>
      <w:u w:val="none"/>
    </w:rPr>
  </w:style>
  <w:style w:type="paragraph" w:customStyle="1" w:styleId="BodyTextRight">
    <w:name w:val="Body Text Right"/>
    <w:basedOn w:val="BodyText"/>
    <w:rsid w:val="00625DD1"/>
    <w:pPr>
      <w:spacing w:before="0" w:after="0"/>
      <w:jc w:val="right"/>
    </w:pPr>
  </w:style>
  <w:style w:type="paragraph" w:styleId="Index3">
    <w:name w:val="index 3"/>
    <w:basedOn w:val="ListNumber2"/>
    <w:next w:val="Normal"/>
    <w:semiHidden/>
    <w:rsid w:val="00625DD1"/>
    <w:pPr>
      <w:numPr>
        <w:numId w:val="0"/>
      </w:numPr>
      <w:tabs>
        <w:tab w:val="right" w:leader="dot" w:pos="4176"/>
      </w:tabs>
    </w:pPr>
  </w:style>
  <w:style w:type="paragraph" w:styleId="ListNumber2">
    <w:name w:val="List Number 2"/>
    <w:basedOn w:val="List2"/>
    <w:rsid w:val="00625DD1"/>
    <w:pPr>
      <w:numPr>
        <w:numId w:val="9"/>
      </w:numPr>
      <w:tabs>
        <w:tab w:val="clear" w:pos="1060"/>
      </w:tabs>
    </w:pPr>
  </w:style>
  <w:style w:type="paragraph" w:customStyle="1" w:styleId="MarginNote">
    <w:name w:val="Margin Note"/>
    <w:basedOn w:val="BodyText"/>
    <w:rsid w:val="00625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D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5DD1"/>
    <w:rPr>
      <w:sz w:val="32"/>
    </w:rPr>
  </w:style>
  <w:style w:type="paragraph" w:customStyle="1" w:styleId="HeadingProcedure">
    <w:name w:val="Heading Procedure"/>
    <w:basedOn w:val="HeadingBase"/>
    <w:next w:val="Normal"/>
    <w:rsid w:val="00625DD1"/>
    <w:pPr>
      <w:tabs>
        <w:tab w:val="left" w:pos="0"/>
      </w:tabs>
      <w:spacing w:before="120" w:after="60"/>
    </w:pPr>
    <w:rPr>
      <w:i/>
      <w:color w:val="918585"/>
      <w:sz w:val="22"/>
    </w:rPr>
  </w:style>
  <w:style w:type="paragraph" w:customStyle="1" w:styleId="TableBodyText">
    <w:name w:val="Table Body Text"/>
    <w:basedOn w:val="BodyText"/>
    <w:rsid w:val="00625DD1"/>
    <w:pPr>
      <w:spacing w:before="60" w:after="60"/>
    </w:pPr>
  </w:style>
  <w:style w:type="paragraph" w:styleId="ListContinue">
    <w:name w:val="List Continue"/>
    <w:basedOn w:val="List"/>
    <w:rsid w:val="00625DD1"/>
    <w:pPr>
      <w:ind w:firstLine="0"/>
    </w:pPr>
  </w:style>
  <w:style w:type="paragraph" w:customStyle="1" w:styleId="ListNote">
    <w:name w:val="List Note"/>
    <w:basedOn w:val="List"/>
    <w:rsid w:val="00625DD1"/>
    <w:pPr>
      <w:pBdr>
        <w:top w:val="single" w:sz="6" w:space="2" w:color="918585"/>
        <w:bottom w:val="single" w:sz="6" w:space="2" w:color="918585"/>
      </w:pBdr>
      <w:tabs>
        <w:tab w:val="left" w:pos="1021"/>
      </w:tabs>
      <w:ind w:firstLine="0"/>
    </w:pPr>
  </w:style>
  <w:style w:type="paragraph" w:customStyle="1" w:styleId="Warning">
    <w:name w:val="Warning"/>
    <w:basedOn w:val="BodyText"/>
    <w:rsid w:val="00625DD1"/>
    <w:pPr>
      <w:shd w:val="clear" w:color="auto" w:fill="D9D9D9"/>
      <w:tabs>
        <w:tab w:val="left" w:pos="992"/>
      </w:tabs>
      <w:ind w:left="119" w:right="119"/>
    </w:pPr>
    <w:rPr>
      <w:sz w:val="20"/>
    </w:rPr>
  </w:style>
  <w:style w:type="paragraph" w:customStyle="1" w:styleId="MarginIcons">
    <w:name w:val="Margin Icons"/>
    <w:basedOn w:val="BodyText"/>
    <w:rsid w:val="00625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DD1"/>
    <w:rPr>
      <w:rFonts w:ascii="Courier New" w:hAnsi="Courier New"/>
    </w:rPr>
  </w:style>
  <w:style w:type="paragraph" w:customStyle="1" w:styleId="NoteBullet">
    <w:name w:val="Note Bullet"/>
    <w:basedOn w:val="Note"/>
    <w:rsid w:val="00625DD1"/>
    <w:pPr>
      <w:tabs>
        <w:tab w:val="clear" w:pos="680"/>
      </w:tabs>
      <w:spacing w:before="60" w:after="60"/>
    </w:pPr>
  </w:style>
  <w:style w:type="paragraph" w:customStyle="1" w:styleId="SubHeading2">
    <w:name w:val="SubHeading2"/>
    <w:basedOn w:val="HeadingBase"/>
    <w:rsid w:val="00625DD1"/>
    <w:pPr>
      <w:spacing w:before="240" w:after="60"/>
    </w:pPr>
    <w:rPr>
      <w:sz w:val="20"/>
    </w:rPr>
  </w:style>
  <w:style w:type="paragraph" w:customStyle="1" w:styleId="SubHeading1">
    <w:name w:val="SubHeading1"/>
    <w:basedOn w:val="HeadingBase"/>
    <w:rsid w:val="00625DD1"/>
    <w:pPr>
      <w:spacing w:before="240" w:after="60"/>
    </w:pPr>
    <w:rPr>
      <w:color w:val="918585"/>
      <w:sz w:val="22"/>
    </w:rPr>
  </w:style>
  <w:style w:type="paragraph" w:customStyle="1" w:styleId="SideHeading">
    <w:name w:val="Side Heading"/>
    <w:basedOn w:val="HeadingBase"/>
    <w:rsid w:val="00625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DD1"/>
    <w:pPr>
      <w:tabs>
        <w:tab w:val="num" w:pos="360"/>
      </w:tabs>
    </w:pPr>
  </w:style>
  <w:style w:type="paragraph" w:styleId="PlainText">
    <w:name w:val="Plain Text"/>
    <w:basedOn w:val="Normal"/>
    <w:link w:val="PlainTextChar"/>
    <w:rsid w:val="00625DD1"/>
    <w:rPr>
      <w:sz w:val="20"/>
    </w:rPr>
  </w:style>
  <w:style w:type="character" w:customStyle="1" w:styleId="PlainTextChar">
    <w:name w:val="Plain Text Char"/>
    <w:basedOn w:val="DefaultParagraphFont"/>
    <w:link w:val="PlainText"/>
    <w:rsid w:val="00625D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5DD1"/>
    <w:rPr>
      <w:b/>
      <w:smallCaps/>
    </w:rPr>
  </w:style>
  <w:style w:type="paragraph" w:customStyle="1" w:styleId="TableListNumber">
    <w:name w:val="Table List Number"/>
    <w:basedOn w:val="ListNumber"/>
    <w:rsid w:val="00625DD1"/>
    <w:pPr>
      <w:numPr>
        <w:numId w:val="0"/>
      </w:numPr>
    </w:pPr>
  </w:style>
  <w:style w:type="paragraph" w:styleId="TOC4">
    <w:name w:val="toc 4"/>
    <w:basedOn w:val="TOCBase"/>
    <w:next w:val="Normal"/>
    <w:semiHidden/>
    <w:rsid w:val="00625DD1"/>
    <w:pPr>
      <w:tabs>
        <w:tab w:val="right" w:leader="dot" w:pos="9071"/>
      </w:tabs>
      <w:ind w:left="1701"/>
    </w:pPr>
  </w:style>
  <w:style w:type="paragraph" w:customStyle="1" w:styleId="ListAlpha">
    <w:name w:val="List Alpha"/>
    <w:basedOn w:val="List"/>
    <w:rsid w:val="00625DD1"/>
    <w:pPr>
      <w:numPr>
        <w:numId w:val="8"/>
      </w:numPr>
    </w:pPr>
  </w:style>
  <w:style w:type="paragraph" w:customStyle="1" w:styleId="ListAlpha2">
    <w:name w:val="List Alpha 2"/>
    <w:basedOn w:val="List2"/>
    <w:rsid w:val="00625DD1"/>
    <w:pPr>
      <w:numPr>
        <w:numId w:val="7"/>
      </w:numPr>
    </w:pPr>
  </w:style>
  <w:style w:type="paragraph" w:styleId="List2">
    <w:name w:val="List 2"/>
    <w:basedOn w:val="BodyText"/>
    <w:rsid w:val="00625DD1"/>
    <w:pPr>
      <w:tabs>
        <w:tab w:val="left" w:pos="680"/>
      </w:tabs>
      <w:spacing w:before="60" w:after="60"/>
      <w:ind w:left="680" w:hanging="340"/>
    </w:pPr>
  </w:style>
  <w:style w:type="paragraph" w:styleId="List3">
    <w:name w:val="List 3"/>
    <w:basedOn w:val="BodyText"/>
    <w:rsid w:val="00625DD1"/>
    <w:pPr>
      <w:tabs>
        <w:tab w:val="left" w:pos="1021"/>
      </w:tabs>
      <w:spacing w:before="60" w:after="60"/>
      <w:ind w:left="1020" w:hanging="340"/>
    </w:pPr>
  </w:style>
  <w:style w:type="paragraph" w:styleId="List4">
    <w:name w:val="List 4"/>
    <w:basedOn w:val="BodyText"/>
    <w:rsid w:val="00625DD1"/>
    <w:pPr>
      <w:tabs>
        <w:tab w:val="left" w:pos="1361"/>
      </w:tabs>
      <w:spacing w:before="60" w:after="60"/>
      <w:ind w:left="1361" w:hanging="340"/>
    </w:pPr>
  </w:style>
  <w:style w:type="paragraph" w:styleId="List5">
    <w:name w:val="List 5"/>
    <w:basedOn w:val="BodyText"/>
    <w:rsid w:val="00625DD1"/>
    <w:pPr>
      <w:tabs>
        <w:tab w:val="left" w:pos="1701"/>
      </w:tabs>
      <w:spacing w:before="60" w:after="60"/>
      <w:ind w:left="1701" w:hanging="340"/>
    </w:pPr>
  </w:style>
  <w:style w:type="paragraph" w:styleId="ListBullet3">
    <w:name w:val="List Bullet 3"/>
    <w:basedOn w:val="List3"/>
    <w:rsid w:val="00625DD1"/>
    <w:pPr>
      <w:numPr>
        <w:numId w:val="14"/>
      </w:numPr>
      <w:tabs>
        <w:tab w:val="clear" w:pos="1021"/>
      </w:tabs>
      <w:ind w:left="1037" w:hanging="357"/>
    </w:pPr>
  </w:style>
  <w:style w:type="paragraph" w:styleId="ListBullet4">
    <w:name w:val="List Bullet 4"/>
    <w:basedOn w:val="List4"/>
    <w:rsid w:val="00625DD1"/>
    <w:pPr>
      <w:numPr>
        <w:numId w:val="2"/>
      </w:numPr>
    </w:pPr>
  </w:style>
  <w:style w:type="paragraph" w:styleId="ListBullet5">
    <w:name w:val="List Bullet 5"/>
    <w:basedOn w:val="List5"/>
    <w:rsid w:val="00625DD1"/>
    <w:pPr>
      <w:numPr>
        <w:numId w:val="3"/>
      </w:numPr>
    </w:pPr>
  </w:style>
  <w:style w:type="paragraph" w:styleId="ListContinue2">
    <w:name w:val="List Continue 2"/>
    <w:basedOn w:val="List2"/>
    <w:rsid w:val="00625DD1"/>
    <w:pPr>
      <w:ind w:firstLine="0"/>
    </w:pPr>
  </w:style>
  <w:style w:type="paragraph" w:styleId="ListContinue3">
    <w:name w:val="List Continue 3"/>
    <w:basedOn w:val="List3"/>
    <w:rsid w:val="00625DD1"/>
    <w:pPr>
      <w:ind w:left="1021" w:firstLine="0"/>
    </w:pPr>
  </w:style>
  <w:style w:type="paragraph" w:styleId="ListContinue4">
    <w:name w:val="List Continue 4"/>
    <w:basedOn w:val="List4"/>
    <w:rsid w:val="00625DD1"/>
    <w:pPr>
      <w:ind w:firstLine="0"/>
    </w:pPr>
  </w:style>
  <w:style w:type="paragraph" w:styleId="ListContinue5">
    <w:name w:val="List Continue 5"/>
    <w:basedOn w:val="List5"/>
    <w:rsid w:val="00625DD1"/>
    <w:pPr>
      <w:ind w:firstLine="0"/>
    </w:pPr>
  </w:style>
  <w:style w:type="paragraph" w:styleId="ListNumber3">
    <w:name w:val="List Number 3"/>
    <w:basedOn w:val="List3"/>
    <w:rsid w:val="00625DD1"/>
    <w:pPr>
      <w:numPr>
        <w:numId w:val="4"/>
      </w:numPr>
    </w:pPr>
  </w:style>
  <w:style w:type="paragraph" w:styleId="ListNumber4">
    <w:name w:val="List Number 4"/>
    <w:basedOn w:val="List4"/>
    <w:rsid w:val="00625DD1"/>
    <w:pPr>
      <w:numPr>
        <w:numId w:val="5"/>
      </w:numPr>
    </w:pPr>
  </w:style>
  <w:style w:type="paragraph" w:styleId="ListNumber5">
    <w:name w:val="List Number 5"/>
    <w:basedOn w:val="List5"/>
    <w:rsid w:val="00625DD1"/>
    <w:pPr>
      <w:numPr>
        <w:numId w:val="6"/>
      </w:numPr>
    </w:pPr>
  </w:style>
  <w:style w:type="paragraph" w:styleId="BlockText">
    <w:name w:val="Block Text"/>
    <w:basedOn w:val="Normal"/>
    <w:rsid w:val="00625DD1"/>
    <w:pPr>
      <w:spacing w:after="120"/>
      <w:ind w:left="1440" w:right="1440"/>
    </w:pPr>
  </w:style>
  <w:style w:type="character" w:customStyle="1" w:styleId="Subscript">
    <w:name w:val="Subscript"/>
    <w:basedOn w:val="DefaultParagraphFont"/>
    <w:rsid w:val="00625DD1"/>
    <w:rPr>
      <w:sz w:val="16"/>
      <w:vertAlign w:val="subscript"/>
    </w:rPr>
  </w:style>
  <w:style w:type="character" w:customStyle="1" w:styleId="Superscript">
    <w:name w:val="Superscript"/>
    <w:basedOn w:val="DefaultParagraphFont"/>
    <w:rsid w:val="00625DD1"/>
    <w:rPr>
      <w:sz w:val="16"/>
      <w:vertAlign w:val="superscript"/>
    </w:rPr>
  </w:style>
  <w:style w:type="character" w:customStyle="1" w:styleId="Symbols">
    <w:name w:val="Symbols"/>
    <w:basedOn w:val="DefaultParagraphFont"/>
    <w:rsid w:val="00625DD1"/>
    <w:rPr>
      <w:rFonts w:ascii="Symbol" w:hAnsi="Symbol"/>
    </w:rPr>
  </w:style>
  <w:style w:type="character" w:customStyle="1" w:styleId="MenuOptions">
    <w:name w:val="Menu Options"/>
    <w:basedOn w:val="DefaultParagraphFont"/>
    <w:rsid w:val="00625DD1"/>
    <w:rPr>
      <w:rFonts w:ascii="Arial Narrow" w:hAnsi="Arial Narrow"/>
      <w:smallCaps/>
    </w:rPr>
  </w:style>
  <w:style w:type="character" w:customStyle="1" w:styleId="Buttons">
    <w:name w:val="Buttons"/>
    <w:basedOn w:val="DefaultParagraphFont"/>
    <w:rsid w:val="00625DD1"/>
    <w:rPr>
      <w:b/>
    </w:rPr>
  </w:style>
  <w:style w:type="character" w:customStyle="1" w:styleId="Underlined">
    <w:name w:val="Underlined"/>
    <w:basedOn w:val="DefaultParagraphFont"/>
    <w:rsid w:val="00625DD1"/>
    <w:rPr>
      <w:u w:val="single"/>
    </w:rPr>
  </w:style>
  <w:style w:type="paragraph" w:customStyle="1" w:styleId="TableBodyTextRight">
    <w:name w:val="Table Body Text Right"/>
    <w:basedOn w:val="TableBodyText"/>
    <w:rsid w:val="00625DD1"/>
    <w:pPr>
      <w:widowControl w:val="0"/>
      <w:autoSpaceDE w:val="0"/>
      <w:autoSpaceDN w:val="0"/>
      <w:adjustRightInd w:val="0"/>
      <w:jc w:val="right"/>
    </w:pPr>
    <w:rPr>
      <w:rFonts w:cs="Arial"/>
      <w:szCs w:val="18"/>
    </w:rPr>
  </w:style>
  <w:style w:type="paragraph" w:customStyle="1" w:styleId="CopyrightText">
    <w:name w:val="Copyright Text"/>
    <w:basedOn w:val="BodyText"/>
    <w:rsid w:val="00625DD1"/>
    <w:rPr>
      <w:sz w:val="18"/>
    </w:rPr>
  </w:style>
  <w:style w:type="paragraph" w:customStyle="1" w:styleId="BodySmallRight">
    <w:name w:val="Body Small Right"/>
    <w:basedOn w:val="BodyTextRight"/>
    <w:rsid w:val="00625DD1"/>
    <w:rPr>
      <w:sz w:val="18"/>
      <w:szCs w:val="18"/>
    </w:rPr>
  </w:style>
  <w:style w:type="paragraph" w:customStyle="1" w:styleId="MarginEdition">
    <w:name w:val="Margin Edition"/>
    <w:basedOn w:val="MarginNote"/>
    <w:rsid w:val="00625DD1"/>
    <w:pPr>
      <w:spacing w:before="0" w:after="0"/>
    </w:pPr>
    <w:rPr>
      <w:rFonts w:ascii="Times New Roman" w:hAnsi="Times New Roman"/>
      <w:color w:val="999999"/>
    </w:rPr>
  </w:style>
  <w:style w:type="paragraph" w:customStyle="1" w:styleId="Spacer">
    <w:name w:val="Spacer"/>
    <w:basedOn w:val="Normal"/>
    <w:rsid w:val="00625DD1"/>
    <w:rPr>
      <w:sz w:val="2"/>
      <w:szCs w:val="2"/>
    </w:rPr>
  </w:style>
  <w:style w:type="character" w:customStyle="1" w:styleId="Small">
    <w:name w:val="Small"/>
    <w:basedOn w:val="DefaultParagraphFont"/>
    <w:rsid w:val="00625DD1"/>
    <w:rPr>
      <w:sz w:val="16"/>
    </w:rPr>
  </w:style>
  <w:style w:type="paragraph" w:customStyle="1" w:styleId="WideTable">
    <w:name w:val="Wide Table"/>
    <w:basedOn w:val="Normal"/>
    <w:rsid w:val="00625DD1"/>
    <w:pPr>
      <w:ind w:left="-1418"/>
    </w:pPr>
    <w:rPr>
      <w:sz w:val="2"/>
      <w:szCs w:val="2"/>
    </w:rPr>
  </w:style>
  <w:style w:type="character" w:styleId="PageNumber">
    <w:name w:val="page number"/>
    <w:basedOn w:val="DefaultParagraphFont"/>
    <w:rsid w:val="00625DD1"/>
  </w:style>
  <w:style w:type="paragraph" w:styleId="Quote">
    <w:name w:val="Quote"/>
    <w:basedOn w:val="Heading1"/>
    <w:link w:val="QuoteChar"/>
    <w:qFormat/>
    <w:rsid w:val="00625DD1"/>
    <w:rPr>
      <w:b w:val="0"/>
      <w:sz w:val="72"/>
      <w:szCs w:val="72"/>
      <w:lang w:val="en-NZ"/>
    </w:rPr>
  </w:style>
  <w:style w:type="character" w:customStyle="1" w:styleId="QuoteChar">
    <w:name w:val="Quote Char"/>
    <w:basedOn w:val="DefaultParagraphFont"/>
    <w:link w:val="Quote"/>
    <w:rsid w:val="00625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DD1"/>
    <w:pPr>
      <w:pageBreakBefore/>
    </w:pPr>
  </w:style>
  <w:style w:type="paragraph" w:customStyle="1" w:styleId="Border">
    <w:name w:val="Border"/>
    <w:basedOn w:val="Normal"/>
    <w:qFormat/>
    <w:rsid w:val="00625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DD1"/>
    <w:rPr>
      <w:b/>
      <w:bCs/>
      <w:i/>
      <w:iCs/>
      <w:color w:val="auto"/>
    </w:rPr>
  </w:style>
  <w:style w:type="paragraph" w:styleId="IntenseQuote">
    <w:name w:val="Intense Quote"/>
    <w:basedOn w:val="Normal"/>
    <w:next w:val="Normal"/>
    <w:link w:val="IntenseQuoteChar"/>
    <w:uiPriority w:val="30"/>
    <w:qFormat/>
    <w:rsid w:val="00625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D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5DD1"/>
    <w:rPr>
      <w:smallCaps/>
      <w:color w:val="auto"/>
      <w:u w:val="single"/>
    </w:rPr>
  </w:style>
  <w:style w:type="character" w:styleId="IntenseReference">
    <w:name w:val="Intense Reference"/>
    <w:basedOn w:val="DefaultParagraphFont"/>
    <w:uiPriority w:val="32"/>
    <w:qFormat/>
    <w:rsid w:val="00625DD1"/>
    <w:rPr>
      <w:b/>
      <w:bCs/>
      <w:smallCaps/>
      <w:color w:val="auto"/>
      <w:spacing w:val="5"/>
      <w:u w:val="single"/>
    </w:rPr>
  </w:style>
  <w:style w:type="paragraph" w:customStyle="1" w:styleId="2ColumnHeading">
    <w:name w:val="2Column Heading"/>
    <w:basedOn w:val="BodyText"/>
    <w:qFormat/>
    <w:rsid w:val="00625DD1"/>
    <w:pPr>
      <w:spacing w:after="60"/>
      <w:ind w:left="-2268"/>
    </w:pPr>
    <w:rPr>
      <w:b/>
    </w:rPr>
  </w:style>
  <w:style w:type="paragraph" w:customStyle="1" w:styleId="Heading1TOC">
    <w:name w:val="Heading1 TOC"/>
    <w:basedOn w:val="Normal"/>
    <w:qFormat/>
    <w:rsid w:val="00625DD1"/>
    <w:pPr>
      <w:spacing w:before="240" w:after="120"/>
    </w:pPr>
    <w:rPr>
      <w:rFonts w:ascii="Times New Roman" w:hAnsi="Times New Roman"/>
      <w:b/>
      <w:sz w:val="32"/>
    </w:rPr>
  </w:style>
  <w:style w:type="paragraph" w:customStyle="1" w:styleId="Heading2TOC">
    <w:name w:val="Heading2 TOC"/>
    <w:basedOn w:val="Normal"/>
    <w:qFormat/>
    <w:rsid w:val="00625DD1"/>
    <w:pPr>
      <w:spacing w:before="240" w:after="60"/>
    </w:pPr>
    <w:rPr>
      <w:rFonts w:ascii="Times New Roman" w:hAnsi="Times New Roman"/>
      <w:b/>
      <w:sz w:val="28"/>
    </w:rPr>
  </w:style>
  <w:style w:type="character" w:customStyle="1" w:styleId="Underline">
    <w:name w:val="Underline"/>
    <w:basedOn w:val="DefaultParagraphFont"/>
    <w:qFormat/>
    <w:rsid w:val="00625DD1"/>
    <w:rPr>
      <w:u w:val="single"/>
    </w:rPr>
  </w:style>
  <w:style w:type="character" w:customStyle="1" w:styleId="BoldandItalics">
    <w:name w:val="Bold and Italics"/>
    <w:qFormat/>
    <w:rsid w:val="00625DD1"/>
    <w:rPr>
      <w:b/>
      <w:i/>
      <w:u w:val="none"/>
    </w:rPr>
  </w:style>
  <w:style w:type="paragraph" w:styleId="BalloonText">
    <w:name w:val="Balloon Text"/>
    <w:basedOn w:val="Normal"/>
    <w:link w:val="BalloonTextChar"/>
    <w:rsid w:val="00625DD1"/>
    <w:rPr>
      <w:rFonts w:ascii="Tahoma" w:hAnsi="Tahoma" w:cs="Tahoma"/>
      <w:sz w:val="16"/>
      <w:szCs w:val="16"/>
    </w:rPr>
  </w:style>
  <w:style w:type="character" w:customStyle="1" w:styleId="BalloonTextChar">
    <w:name w:val="Balloon Text Char"/>
    <w:basedOn w:val="DefaultParagraphFont"/>
    <w:link w:val="BalloonText"/>
    <w:rsid w:val="00625D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5D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D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8093</Characters>
  <Application>Microsoft Office Word</Application>
  <DocSecurity>0</DocSecurity>
  <Lines>320</Lines>
  <Paragraphs>172</Paragraphs>
  <ScaleCrop>false</ScaleCrop>
  <Company>Author-it Software Corporation Ltd.</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MSS403032A Analyse manual handling processes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