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2BFB" w:rsidP="008C2BFB">
      <w:pPr>
        <w:pStyle w:val="Title"/>
      </w:pPr>
      <w:r>
        <w:fldChar w:fldCharType="begin"/>
      </w:r>
      <w:r>
        <w:instrText xml:space="preserve"> TITLE   \* MERGEFORMAT </w:instrText>
      </w:r>
      <w:r>
        <w:fldChar w:fldCharType="separate"/>
      </w:r>
      <w:r>
        <w:t>MSS403023A Monitor a levelled pull system of operations</w:t>
      </w:r>
      <w:r>
        <w:fldChar w:fldCharType="end"/>
      </w:r>
    </w:p>
    <w:p w:rsidR="008C2BFB" w:rsidP="008C2BFB">
      <w:pPr>
        <w:pStyle w:val="Version"/>
        <w:sectPr w:rsidSect="00D4591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45917" w:rsidP="00D45917">
      <w:pPr>
        <w:pStyle w:val="SuperHeading"/>
      </w:pPr>
      <w:r w:rsidRPr="00D45917">
        <w:t>MSS403023A Monitor a levelled pull system of operations</w:t>
      </w:r>
    </w:p>
    <w:p w:rsidR="00000000" w:rsidRPr="00D45917" w:rsidP="00D45917">
      <w:pPr>
        <w:pStyle w:val="Heading1"/>
      </w:pPr>
      <w:bookmarkStart w:id="1" w:name="O_466881"/>
      <w:bookmarkEnd w:id="1"/>
      <w:r w:rsidRPr="00D45917">
        <w:t>Modification History</w:t>
      </w:r>
    </w:p>
    <w:p w:rsidR="00000000" w:rsidRPr="00D45917" w:rsidP="00D45917">
      <w:pPr>
        <w:pStyle w:val="BodyText"/>
      </w:pPr>
      <w:r w:rsidRPr="00D45917">
        <w:t>New unit, superseding MSACMT423A Monitor a manufacturing levelled pull system* - Not equivalent</w:t>
      </w:r>
    </w:p>
    <w:p w:rsidR="008C2BFB" w:rsidP="00D45917">
      <w:pPr>
        <w:pStyle w:val="BodyText"/>
      </w:pPr>
      <w:r w:rsidRPr="00D45917">
        <w:t xml:space="preserve">* Prerequisite </w:t>
      </w:r>
      <w:r w:rsidRPr="00D45917">
        <w:rPr>
          <w:rStyle w:val="Emphasis"/>
        </w:rPr>
        <w:t>MSACMT280A- Undertake root cause an</w:t>
      </w:r>
      <w:r w:rsidRPr="00D45917">
        <w:rPr>
          <w:rStyle w:val="Emphasis"/>
        </w:rPr>
        <w:t xml:space="preserve">alysis </w:t>
      </w:r>
      <w:r w:rsidRPr="00D45917">
        <w:t>- removed</w:t>
      </w:r>
    </w:p>
    <w:p w:rsidR="008C2BFB" w:rsidP="00D45917">
      <w:pPr>
        <w:pStyle w:val="BodyText"/>
      </w:pPr>
    </w:p>
    <w:p w:rsidR="00000000" w:rsidRPr="00D45917" w:rsidP="00D45917">
      <w:pPr>
        <w:pStyle w:val="Heading1"/>
      </w:pPr>
      <w:bookmarkStart w:id="2" w:name="O_466882"/>
      <w:bookmarkEnd w:id="2"/>
      <w:r w:rsidRPr="00D45917">
        <w:t>Unit Descriptor</w:t>
      </w:r>
    </w:p>
    <w:p w:rsidR="008C2BFB" w:rsidP="00D45917">
      <w:pPr>
        <w:pStyle w:val="BodyText"/>
      </w:pPr>
      <w:r w:rsidRPr="00D45917">
        <w:t>This unit of competency covers the skills and knowledge required to monitor the operation of a pull system in a work area and recommend improvements.</w:t>
      </w:r>
    </w:p>
    <w:p w:rsidR="008C2BFB" w:rsidP="00D45917">
      <w:pPr>
        <w:pStyle w:val="BodyText"/>
      </w:pPr>
    </w:p>
    <w:p w:rsidR="00000000" w:rsidRPr="00D45917" w:rsidP="00D45917">
      <w:pPr>
        <w:pStyle w:val="Heading1"/>
      </w:pPr>
      <w:bookmarkStart w:id="3" w:name="O_466883"/>
      <w:bookmarkEnd w:id="3"/>
      <w:r w:rsidRPr="00D45917">
        <w:t>Application of the Unit</w:t>
      </w:r>
    </w:p>
    <w:p w:rsidR="00000000" w:rsidRPr="00D45917" w:rsidP="00D45917">
      <w:pPr>
        <w:pStyle w:val="BodyText"/>
      </w:pPr>
      <w:r w:rsidRPr="00D45917">
        <w:t>This unit cov</w:t>
      </w:r>
      <w:r w:rsidRPr="00D45917">
        <w:t>ers the skills needed to monitor a pull operations system in a work area or team operation although knowledge of the overall pull system in the enterprise is also required. The unit is targeted at individuals, such as team leaders and senior operators, who</w:t>
      </w:r>
      <w:r w:rsidRPr="00D45917">
        <w:t xml:space="preserve"> have an overview of the work area or team operation and the ability to implement corrective action in the event of discrepancies.</w:t>
      </w:r>
    </w:p>
    <w:p w:rsidR="00000000" w:rsidRPr="00D45917" w:rsidP="00D45917">
      <w:pPr>
        <w:pStyle w:val="BodyText"/>
      </w:pPr>
      <w:r w:rsidRPr="00D45917">
        <w:t>The unit covers the skills needed to monitor daily working of the system, identify problems and take appropriate action on problems. The operations system may be a total demand pull system or it may be a mixed push/pull system.</w:t>
      </w:r>
    </w:p>
    <w:p w:rsidR="00000000" w:rsidRPr="00D45917" w:rsidP="00D45917">
      <w:pPr>
        <w:pStyle w:val="BodyText"/>
      </w:pPr>
      <w:r w:rsidRPr="00D45917">
        <w:t>This unit primarily requires</w:t>
      </w:r>
      <w:r w:rsidRPr="00D45917">
        <w:t xml:space="preserve"> the application of skills associated with using information and problem solving skills to monitor pull system and analyse discrepancies. It also requires skills in initiative and enterprise, and planning and organising to determine and act on opportunitie</w:t>
      </w:r>
      <w:r w:rsidRPr="00D45917">
        <w:t xml:space="preserve">s for improvement. Aspects of self-management and learning are required to ensure own ability to improve systems. </w:t>
      </w:r>
    </w:p>
    <w:p w:rsidR="008C2BFB" w:rsidP="00D45917">
      <w:pPr>
        <w:pStyle w:val="BodyText"/>
      </w:pPr>
      <w:r w:rsidRPr="00D45917">
        <w:t>The unit is based on manufacturing principles but can be contextualised for other types of organisations. For pull systems in an office envir</w:t>
      </w:r>
      <w:r w:rsidRPr="00D45917">
        <w:t>onment the unit MSS405033A Optimise office systems to deliver to customer demand, should be used.</w:t>
      </w:r>
    </w:p>
    <w:p w:rsidR="008C2BFB" w:rsidP="00D45917">
      <w:pPr>
        <w:pStyle w:val="BodyText"/>
      </w:pPr>
    </w:p>
    <w:p w:rsidR="00000000" w:rsidRPr="00D45917" w:rsidP="00D45917">
      <w:pPr>
        <w:pStyle w:val="Heading1"/>
      </w:pPr>
      <w:bookmarkStart w:id="4" w:name="O_466884"/>
      <w:bookmarkEnd w:id="4"/>
      <w:r w:rsidRPr="00D45917">
        <w:t>Licensing/Regulatory Information</w:t>
      </w:r>
    </w:p>
    <w:p w:rsidR="00000000" w:rsidRPr="00D45917" w:rsidP="00D45917">
      <w:pPr>
        <w:pStyle w:val="BodyText"/>
      </w:pPr>
      <w:r w:rsidRPr="00D45917">
        <w:t>Not applicable.</w:t>
      </w:r>
    </w:p>
    <w:p w:rsidR="00000000" w:rsidRPr="00D45917" w:rsidP="00D45917">
      <w:pPr>
        <w:pStyle w:val="AllowPageBreak"/>
      </w:pPr>
    </w:p>
    <w:p w:rsidR="00000000" w:rsidRPr="00D45917" w:rsidP="00D45917">
      <w:pPr>
        <w:pStyle w:val="Heading1"/>
      </w:pPr>
      <w:bookmarkStart w:id="5" w:name="O_466885"/>
      <w:bookmarkEnd w:id="5"/>
      <w:r w:rsidRPr="00D45917">
        <w:t>Pre-Requisites</w:t>
      </w:r>
    </w:p>
    <w:p w:rsidR="00000000" w:rsidRPr="00D45917" w:rsidP="00D45917">
      <w:pPr>
        <w:pStyle w:val="BodyText"/>
      </w:pPr>
      <w:r w:rsidRPr="00D45917">
        <w:t>Not applicable.</w:t>
      </w:r>
    </w:p>
    <w:p w:rsidR="00000000" w:rsidRPr="00D45917" w:rsidP="00D45917">
      <w:pPr>
        <w:pStyle w:val="AllowPageBreak"/>
      </w:pPr>
    </w:p>
    <w:p w:rsidR="00000000" w:rsidRPr="00D45917" w:rsidP="00D45917">
      <w:pPr>
        <w:pStyle w:val="Heading1"/>
      </w:pPr>
      <w:bookmarkStart w:id="6" w:name="O_466886"/>
      <w:bookmarkEnd w:id="6"/>
      <w:r w:rsidRPr="00D45917">
        <w:t>Employability Skills Information</w:t>
      </w:r>
    </w:p>
    <w:p w:rsidR="008C2BFB" w:rsidP="00D45917">
      <w:pPr>
        <w:pStyle w:val="BodyText"/>
      </w:pPr>
      <w:r w:rsidRPr="00D45917">
        <w:t>This unit contains employability skills.</w:t>
      </w:r>
    </w:p>
    <w:p w:rsidR="008C2BFB" w:rsidP="00D45917">
      <w:pPr>
        <w:pStyle w:val="BodyText"/>
      </w:pPr>
    </w:p>
    <w:p w:rsidR="00000000" w:rsidRPr="00D45917" w:rsidP="00D45917">
      <w:pPr>
        <w:pStyle w:val="Heading1"/>
      </w:pPr>
      <w:bookmarkStart w:id="7" w:name="O_466887"/>
      <w:bookmarkEnd w:id="7"/>
      <w:r w:rsidRPr="00D45917">
        <w:t>Elements and Performance Criteria Pre-Content</w:t>
      </w:r>
    </w:p>
    <w:tbl>
      <w:tblPr>
        <w:tblW w:w="0" w:type="auto"/>
        <w:tblLayout w:type="fixed"/>
        <w:tblCellMar>
          <w:left w:w="62" w:type="dxa"/>
          <w:right w:w="62" w:type="dxa"/>
        </w:tblCellMar>
        <w:tblLook w:val="0000"/>
      </w:tblPr>
      <w:tblGrid>
        <w:gridCol w:w="2640"/>
        <w:gridCol w:w="6380"/>
      </w:tblGrid>
      <w:tr w:rsidTr="00D45917">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D45917">
            <w:pPr>
              <w:pStyle w:val="BodyText"/>
              <w:rPr>
                <w:lang w:val="en-NZ"/>
              </w:rPr>
            </w:pPr>
            <w:r w:rsidRPr="00D45917">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D45917" w:rsidP="00D45917">
            <w:pPr>
              <w:pStyle w:val="BodyText"/>
            </w:pPr>
            <w:r w:rsidRPr="00D45917">
              <w:t>Performance criteria describe the performance needed</w:t>
            </w:r>
            <w:r w:rsidRPr="00D45917">
              <w:t xml:space="preserve"> to demonstrate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D45917" w:rsidP="00D45917">
      <w:pPr>
        <w:pStyle w:val="BodyText"/>
      </w:pPr>
    </w:p>
    <w:p w:rsidR="00000000" w:rsidRPr="00D45917" w:rsidP="00D45917">
      <w:pPr>
        <w:pStyle w:val="AllowPageBreak"/>
      </w:pPr>
    </w:p>
    <w:p w:rsidR="00000000" w:rsidRPr="00D45917" w:rsidP="00D45917">
      <w:pPr>
        <w:pStyle w:val="Heading1"/>
      </w:pPr>
      <w:bookmarkStart w:id="8" w:name="O_466888"/>
      <w:bookmarkEnd w:id="8"/>
      <w:r w:rsidRPr="00D45917">
        <w:t>Elements and Performance Criteria</w:t>
      </w:r>
    </w:p>
    <w:p w:rsidR="00000000" w:rsidRPr="00D45917" w:rsidP="00D45917">
      <w:pPr>
        <w:pStyle w:val="BodyText"/>
      </w:pPr>
    </w:p>
    <w:tbl>
      <w:tblPr>
        <w:tblW w:w="0" w:type="auto"/>
        <w:tblLayout w:type="fixed"/>
        <w:tblCellMar>
          <w:left w:w="62" w:type="dxa"/>
          <w:right w:w="62" w:type="dxa"/>
        </w:tblCellMar>
        <w:tblLook w:val="0000"/>
      </w:tblPr>
      <w:tblGrid>
        <w:gridCol w:w="678"/>
        <w:gridCol w:w="1962"/>
        <w:gridCol w:w="770"/>
        <w:gridCol w:w="5610"/>
      </w:tblGrid>
      <w:tr w:rsidTr="00D459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45917">
            <w:pPr>
              <w:pStyle w:val="BodyText"/>
              <w:rPr>
                <w:lang w:val="en-NZ"/>
              </w:rPr>
            </w:pPr>
            <w:r w:rsidRPr="00D45917">
              <w:t>1</w:t>
            </w:r>
          </w:p>
        </w:tc>
        <w:tc>
          <w:tcPr>
            <w:tcW w:w="1962" w:type="dxa"/>
            <w:vMerge w:val="restart"/>
            <w:tcBorders>
              <w:top w:val="nil"/>
              <w:left w:val="nil"/>
              <w:bottom w:val="nil"/>
              <w:right w:val="nil"/>
            </w:tcBorders>
            <w:tcMar>
              <w:top w:w="0" w:type="dxa"/>
              <w:left w:w="62" w:type="dxa"/>
              <w:bottom w:w="0" w:type="dxa"/>
              <w:right w:w="62" w:type="dxa"/>
            </w:tcMar>
          </w:tcPr>
          <w:p w:rsidR="00000000" w:rsidP="00D45917">
            <w:pPr>
              <w:pStyle w:val="BodyText"/>
              <w:rPr>
                <w:lang w:val="en-NZ"/>
              </w:rPr>
            </w:pPr>
            <w:r w:rsidRPr="00D45917">
              <w:t>Monitor the pull system</w:t>
            </w:r>
          </w:p>
        </w:tc>
        <w:tc>
          <w:tcPr>
            <w:tcW w:w="770" w:type="dxa"/>
            <w:tcBorders>
              <w:top w:val="nil"/>
              <w:left w:val="nil"/>
              <w:bottom w:val="nil"/>
              <w:right w:val="nil"/>
            </w:tcBorders>
            <w:tcMar>
              <w:top w:w="0" w:type="dxa"/>
              <w:left w:w="62" w:type="dxa"/>
              <w:bottom w:w="0" w:type="dxa"/>
              <w:right w:w="62" w:type="dxa"/>
            </w:tcMar>
          </w:tcPr>
          <w:p w:rsidR="00000000" w:rsidP="00D45917">
            <w:pPr>
              <w:pStyle w:val="BodyText"/>
              <w:rPr>
                <w:lang w:val="en-NZ"/>
              </w:rPr>
            </w:pPr>
            <w:r w:rsidRPr="00D45917">
              <w:t>1.1</w:t>
            </w:r>
          </w:p>
        </w:tc>
        <w:tc>
          <w:tcPr>
            <w:tcW w:w="5610" w:type="dxa"/>
            <w:tcBorders>
              <w:top w:val="nil"/>
              <w:left w:val="nil"/>
              <w:bottom w:val="nil"/>
              <w:right w:val="nil"/>
            </w:tcBorders>
            <w:tcMar>
              <w:top w:w="0" w:type="dxa"/>
              <w:left w:w="62" w:type="dxa"/>
              <w:bottom w:w="0" w:type="dxa"/>
              <w:right w:w="62" w:type="dxa"/>
            </w:tcMar>
          </w:tcPr>
          <w:p w:rsidR="00000000" w:rsidP="00D45917">
            <w:pPr>
              <w:pStyle w:val="BodyText"/>
              <w:rPr>
                <w:lang w:val="en-NZ"/>
              </w:rPr>
            </w:pPr>
            <w:r w:rsidRPr="00D45917">
              <w:t xml:space="preserve">Identify the pacemaker process </w:t>
            </w:r>
          </w:p>
        </w:tc>
      </w:tr>
      <w:tr w:rsidTr="00D459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5917">
            <w:pPr>
              <w:pStyle w:val="BodyText"/>
              <w:rPr>
                <w:lang w:val="en-NZ"/>
              </w:rPr>
            </w:pPr>
            <w:r w:rsidRPr="00D45917">
              <w:t>1.2</w:t>
            </w:r>
          </w:p>
        </w:tc>
        <w:tc>
          <w:tcPr>
            <w:tcW w:w="5610" w:type="dxa"/>
            <w:tcBorders>
              <w:top w:val="nil"/>
              <w:left w:val="nil"/>
              <w:bottom w:val="nil"/>
              <w:right w:val="nil"/>
            </w:tcBorders>
            <w:tcMar>
              <w:top w:w="0" w:type="dxa"/>
              <w:left w:w="62" w:type="dxa"/>
              <w:bottom w:w="0" w:type="dxa"/>
              <w:right w:w="62" w:type="dxa"/>
            </w:tcMar>
          </w:tcPr>
          <w:p w:rsidR="00000000" w:rsidP="00D45917">
            <w:pPr>
              <w:pStyle w:val="BodyText"/>
              <w:rPr>
                <w:lang w:val="en-NZ"/>
              </w:rPr>
            </w:pPr>
            <w:r w:rsidRPr="00D45917">
              <w:t>Identify rate of production set by the pull system</w:t>
            </w:r>
          </w:p>
        </w:tc>
      </w:tr>
      <w:tr w:rsidTr="00D459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5917">
            <w:pPr>
              <w:pStyle w:val="BodyText"/>
              <w:rPr>
                <w:lang w:val="en-NZ"/>
              </w:rPr>
            </w:pPr>
            <w:r w:rsidRPr="00D45917">
              <w:t>1.3</w:t>
            </w:r>
          </w:p>
        </w:tc>
        <w:tc>
          <w:tcPr>
            <w:tcW w:w="5610" w:type="dxa"/>
            <w:tcBorders>
              <w:top w:val="nil"/>
              <w:left w:val="nil"/>
              <w:bottom w:val="nil"/>
              <w:right w:val="nil"/>
            </w:tcBorders>
            <w:tcMar>
              <w:top w:w="0" w:type="dxa"/>
              <w:left w:w="62" w:type="dxa"/>
              <w:bottom w:w="0" w:type="dxa"/>
              <w:right w:w="62" w:type="dxa"/>
            </w:tcMar>
          </w:tcPr>
          <w:p w:rsidR="00000000" w:rsidP="00D45917">
            <w:pPr>
              <w:pStyle w:val="BodyText"/>
              <w:rPr>
                <w:lang w:val="en-NZ"/>
              </w:rPr>
            </w:pPr>
            <w:r w:rsidRPr="00D45917">
              <w:t>Determine actual rate of production at key parts of the process</w:t>
            </w:r>
          </w:p>
        </w:tc>
      </w:tr>
      <w:tr w:rsidTr="00D459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5917">
            <w:pPr>
              <w:pStyle w:val="BodyText"/>
              <w:rPr>
                <w:lang w:val="en-NZ"/>
              </w:rPr>
            </w:pPr>
            <w:r w:rsidRPr="00D45917">
              <w:t>1.4</w:t>
            </w:r>
          </w:p>
        </w:tc>
        <w:tc>
          <w:tcPr>
            <w:tcW w:w="5610" w:type="dxa"/>
            <w:tcBorders>
              <w:top w:val="nil"/>
              <w:left w:val="nil"/>
              <w:bottom w:val="nil"/>
              <w:right w:val="nil"/>
            </w:tcBorders>
            <w:tcMar>
              <w:top w:w="0" w:type="dxa"/>
              <w:left w:w="62" w:type="dxa"/>
              <w:bottom w:w="0" w:type="dxa"/>
              <w:right w:w="62" w:type="dxa"/>
            </w:tcMar>
          </w:tcPr>
          <w:p w:rsidR="00000000" w:rsidP="00D45917">
            <w:pPr>
              <w:pStyle w:val="BodyText"/>
              <w:rPr>
                <w:lang w:val="en-NZ"/>
              </w:rPr>
            </w:pPr>
            <w:r w:rsidRPr="00D45917">
              <w:t xml:space="preserve">Identify types of inventories within process </w:t>
            </w:r>
          </w:p>
        </w:tc>
      </w:tr>
      <w:tr w:rsidTr="00D459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5917">
            <w:pPr>
              <w:pStyle w:val="BodyText"/>
              <w:rPr>
                <w:lang w:val="en-NZ"/>
              </w:rPr>
            </w:pPr>
            <w:r w:rsidRPr="00D45917">
              <w:t>1.5</w:t>
            </w:r>
          </w:p>
        </w:tc>
        <w:tc>
          <w:tcPr>
            <w:tcW w:w="5610" w:type="dxa"/>
            <w:tcBorders>
              <w:top w:val="nil"/>
              <w:left w:val="nil"/>
              <w:bottom w:val="nil"/>
              <w:right w:val="nil"/>
            </w:tcBorders>
            <w:tcMar>
              <w:top w:w="0" w:type="dxa"/>
              <w:left w:w="62" w:type="dxa"/>
              <w:bottom w:w="0" w:type="dxa"/>
              <w:right w:w="62" w:type="dxa"/>
            </w:tcMar>
          </w:tcPr>
          <w:p w:rsidR="00000000" w:rsidP="00D45917">
            <w:pPr>
              <w:pStyle w:val="BodyText"/>
              <w:rPr>
                <w:lang w:val="en-NZ"/>
              </w:rPr>
            </w:pPr>
            <w:r w:rsidRPr="00D45917">
              <w:t>Compare actual inventories with planned inventories</w:t>
            </w:r>
          </w:p>
        </w:tc>
      </w:tr>
      <w:tr w:rsidTr="00D459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5917">
            <w:pPr>
              <w:pStyle w:val="BodyText"/>
              <w:rPr>
                <w:lang w:val="en-NZ"/>
              </w:rPr>
            </w:pPr>
            <w:r w:rsidRPr="00D45917">
              <w:t>1.6</w:t>
            </w:r>
          </w:p>
        </w:tc>
        <w:tc>
          <w:tcPr>
            <w:tcW w:w="5610" w:type="dxa"/>
            <w:tcBorders>
              <w:top w:val="nil"/>
              <w:left w:val="nil"/>
              <w:bottom w:val="nil"/>
              <w:right w:val="nil"/>
            </w:tcBorders>
            <w:tcMar>
              <w:top w:w="0" w:type="dxa"/>
              <w:left w:w="62" w:type="dxa"/>
              <w:bottom w:w="0" w:type="dxa"/>
              <w:right w:w="62" w:type="dxa"/>
            </w:tcMar>
          </w:tcPr>
          <w:p w:rsidR="00000000" w:rsidRPr="00D45917" w:rsidP="00D45917">
            <w:pPr>
              <w:pStyle w:val="BodyText"/>
            </w:pPr>
            <w:r w:rsidRPr="00D45917">
              <w:t>Note discrepancies between actual and planned rates and inventories</w:t>
            </w:r>
          </w:p>
        </w:tc>
      </w:tr>
    </w:tbl>
    <w:p w:rsidR="00000000" w:rsidRPr="00D45917" w:rsidP="00D45917">
      <w:pPr>
        <w:pStyle w:val="BodyText"/>
      </w:pPr>
    </w:p>
    <w:tbl>
      <w:tblPr>
        <w:tblW w:w="0" w:type="auto"/>
        <w:tblLayout w:type="fixed"/>
        <w:tblCellMar>
          <w:left w:w="62" w:type="dxa"/>
          <w:right w:w="62" w:type="dxa"/>
        </w:tblCellMar>
        <w:tblLook w:val="0000"/>
      </w:tblPr>
      <w:tblGrid>
        <w:gridCol w:w="678"/>
        <w:gridCol w:w="1962"/>
        <w:gridCol w:w="770"/>
        <w:gridCol w:w="5610"/>
      </w:tblGrid>
      <w:tr w:rsidTr="00D459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45917">
            <w:pPr>
              <w:pStyle w:val="BodyText"/>
              <w:rPr>
                <w:lang w:val="en-NZ"/>
              </w:rPr>
            </w:pPr>
            <w:r w:rsidRPr="00D45917">
              <w:t>2</w:t>
            </w:r>
          </w:p>
        </w:tc>
        <w:tc>
          <w:tcPr>
            <w:tcW w:w="1962" w:type="dxa"/>
            <w:vMerge w:val="restart"/>
            <w:tcBorders>
              <w:top w:val="nil"/>
              <w:left w:val="nil"/>
              <w:bottom w:val="nil"/>
              <w:right w:val="nil"/>
            </w:tcBorders>
            <w:tcMar>
              <w:top w:w="0" w:type="dxa"/>
              <w:left w:w="62" w:type="dxa"/>
              <w:bottom w:w="0" w:type="dxa"/>
              <w:right w:w="62" w:type="dxa"/>
            </w:tcMar>
          </w:tcPr>
          <w:p w:rsidR="00000000" w:rsidP="00D45917">
            <w:pPr>
              <w:pStyle w:val="BodyText"/>
              <w:rPr>
                <w:lang w:val="en-NZ"/>
              </w:rPr>
            </w:pPr>
            <w:r w:rsidRPr="00D45917">
              <w:t>Take corrective action</w:t>
            </w:r>
          </w:p>
        </w:tc>
        <w:tc>
          <w:tcPr>
            <w:tcW w:w="770" w:type="dxa"/>
            <w:tcBorders>
              <w:top w:val="nil"/>
              <w:left w:val="nil"/>
              <w:bottom w:val="nil"/>
              <w:right w:val="nil"/>
            </w:tcBorders>
            <w:tcMar>
              <w:top w:w="0" w:type="dxa"/>
              <w:left w:w="62" w:type="dxa"/>
              <w:bottom w:w="0" w:type="dxa"/>
              <w:right w:w="62" w:type="dxa"/>
            </w:tcMar>
          </w:tcPr>
          <w:p w:rsidR="00000000" w:rsidP="00D45917">
            <w:pPr>
              <w:pStyle w:val="BodyText"/>
              <w:rPr>
                <w:lang w:val="en-NZ"/>
              </w:rPr>
            </w:pPr>
            <w:r w:rsidRPr="00D45917">
              <w:t>2.1</w:t>
            </w:r>
          </w:p>
        </w:tc>
        <w:tc>
          <w:tcPr>
            <w:tcW w:w="5610" w:type="dxa"/>
            <w:tcBorders>
              <w:top w:val="nil"/>
              <w:left w:val="nil"/>
              <w:bottom w:val="nil"/>
              <w:right w:val="nil"/>
            </w:tcBorders>
            <w:tcMar>
              <w:top w:w="0" w:type="dxa"/>
              <w:left w:w="62" w:type="dxa"/>
              <w:bottom w:w="0" w:type="dxa"/>
              <w:right w:w="62" w:type="dxa"/>
            </w:tcMar>
          </w:tcPr>
          <w:p w:rsidR="00000000" w:rsidP="00D45917">
            <w:pPr>
              <w:pStyle w:val="BodyText"/>
              <w:rPr>
                <w:lang w:val="en-NZ"/>
              </w:rPr>
            </w:pPr>
            <w:r w:rsidRPr="00D45917">
              <w:t xml:space="preserve">Determine causes of discrepancies </w:t>
            </w:r>
          </w:p>
        </w:tc>
      </w:tr>
      <w:tr w:rsidTr="00D459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5917">
            <w:pPr>
              <w:pStyle w:val="BodyText"/>
              <w:rPr>
                <w:lang w:val="en-NZ"/>
              </w:rPr>
            </w:pPr>
            <w:r w:rsidRPr="00D45917">
              <w:t>2.2</w:t>
            </w:r>
          </w:p>
        </w:tc>
        <w:tc>
          <w:tcPr>
            <w:tcW w:w="5610" w:type="dxa"/>
            <w:tcBorders>
              <w:top w:val="nil"/>
              <w:left w:val="nil"/>
              <w:bottom w:val="nil"/>
              <w:right w:val="nil"/>
            </w:tcBorders>
            <w:tcMar>
              <w:top w:w="0" w:type="dxa"/>
              <w:left w:w="62" w:type="dxa"/>
              <w:bottom w:w="0" w:type="dxa"/>
              <w:right w:w="62" w:type="dxa"/>
            </w:tcMar>
          </w:tcPr>
          <w:p w:rsidR="00000000" w:rsidP="00D45917">
            <w:pPr>
              <w:pStyle w:val="BodyText"/>
              <w:rPr>
                <w:lang w:val="en-NZ"/>
              </w:rPr>
            </w:pPr>
            <w:r w:rsidRPr="00D45917">
              <w:t xml:space="preserve">Determine action required to rectify causes of discrepancies </w:t>
            </w:r>
          </w:p>
        </w:tc>
      </w:tr>
      <w:tr w:rsidTr="00D459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5917">
            <w:pPr>
              <w:pStyle w:val="BodyText"/>
              <w:rPr>
                <w:lang w:val="en-NZ"/>
              </w:rPr>
            </w:pPr>
            <w:r w:rsidRPr="00D45917">
              <w:t>2.3</w:t>
            </w:r>
          </w:p>
        </w:tc>
        <w:tc>
          <w:tcPr>
            <w:tcW w:w="5610" w:type="dxa"/>
            <w:tcBorders>
              <w:top w:val="nil"/>
              <w:left w:val="nil"/>
              <w:bottom w:val="nil"/>
              <w:right w:val="nil"/>
            </w:tcBorders>
            <w:tcMar>
              <w:top w:w="0" w:type="dxa"/>
              <w:left w:w="62" w:type="dxa"/>
              <w:bottom w:w="0" w:type="dxa"/>
              <w:right w:w="62" w:type="dxa"/>
            </w:tcMar>
          </w:tcPr>
          <w:p w:rsidR="00000000" w:rsidRPr="00D45917" w:rsidP="00D45917">
            <w:pPr>
              <w:pStyle w:val="BodyText"/>
            </w:pPr>
            <w:r w:rsidRPr="00D45917">
              <w:t>Take appropriate action in conjunction with relevant stakeholders</w:t>
            </w:r>
          </w:p>
        </w:tc>
      </w:tr>
    </w:tbl>
    <w:p w:rsidR="00000000" w:rsidRPr="00D45917" w:rsidP="00D45917">
      <w:pPr>
        <w:pStyle w:val="BodyText"/>
      </w:pPr>
    </w:p>
    <w:tbl>
      <w:tblPr>
        <w:tblW w:w="0" w:type="auto"/>
        <w:tblLayout w:type="fixed"/>
        <w:tblCellMar>
          <w:left w:w="62" w:type="dxa"/>
          <w:right w:w="62" w:type="dxa"/>
        </w:tblCellMar>
        <w:tblLook w:val="0000"/>
      </w:tblPr>
      <w:tblGrid>
        <w:gridCol w:w="678"/>
        <w:gridCol w:w="1962"/>
        <w:gridCol w:w="770"/>
        <w:gridCol w:w="5610"/>
      </w:tblGrid>
      <w:tr w:rsidTr="00D459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45917">
            <w:pPr>
              <w:pStyle w:val="BodyText"/>
              <w:rPr>
                <w:lang w:val="en-NZ"/>
              </w:rPr>
            </w:pPr>
            <w:r w:rsidRPr="00D45917">
              <w:t>3</w:t>
            </w:r>
          </w:p>
        </w:tc>
        <w:tc>
          <w:tcPr>
            <w:tcW w:w="1962" w:type="dxa"/>
            <w:vMerge w:val="restart"/>
            <w:tcBorders>
              <w:top w:val="nil"/>
              <w:left w:val="nil"/>
              <w:bottom w:val="nil"/>
              <w:right w:val="nil"/>
            </w:tcBorders>
            <w:tcMar>
              <w:top w:w="0" w:type="dxa"/>
              <w:left w:w="62" w:type="dxa"/>
              <w:bottom w:w="0" w:type="dxa"/>
              <w:right w:w="62" w:type="dxa"/>
            </w:tcMar>
          </w:tcPr>
          <w:p w:rsidR="00000000" w:rsidP="00D45917">
            <w:pPr>
              <w:pStyle w:val="BodyText"/>
              <w:rPr>
                <w:lang w:val="en-NZ"/>
              </w:rPr>
            </w:pPr>
            <w:r w:rsidRPr="00D45917">
              <w:t>Test/improve the pull system</w:t>
            </w:r>
          </w:p>
        </w:tc>
        <w:tc>
          <w:tcPr>
            <w:tcW w:w="770" w:type="dxa"/>
            <w:tcBorders>
              <w:top w:val="nil"/>
              <w:left w:val="nil"/>
              <w:bottom w:val="nil"/>
              <w:right w:val="nil"/>
            </w:tcBorders>
            <w:tcMar>
              <w:top w:w="0" w:type="dxa"/>
              <w:left w:w="62" w:type="dxa"/>
              <w:bottom w:w="0" w:type="dxa"/>
              <w:right w:w="62" w:type="dxa"/>
            </w:tcMar>
          </w:tcPr>
          <w:p w:rsidR="00000000" w:rsidP="00D45917">
            <w:pPr>
              <w:pStyle w:val="BodyText"/>
              <w:rPr>
                <w:lang w:val="en-NZ"/>
              </w:rPr>
            </w:pPr>
            <w:r w:rsidRPr="00D45917">
              <w:t>3.1</w:t>
            </w:r>
          </w:p>
        </w:tc>
        <w:tc>
          <w:tcPr>
            <w:tcW w:w="5610" w:type="dxa"/>
            <w:tcBorders>
              <w:top w:val="nil"/>
              <w:left w:val="nil"/>
              <w:bottom w:val="nil"/>
              <w:right w:val="nil"/>
            </w:tcBorders>
            <w:tcMar>
              <w:top w:w="0" w:type="dxa"/>
              <w:left w:w="62" w:type="dxa"/>
              <w:bottom w:w="0" w:type="dxa"/>
              <w:right w:w="62" w:type="dxa"/>
            </w:tcMar>
          </w:tcPr>
          <w:p w:rsidR="00000000" w:rsidP="00D45917">
            <w:pPr>
              <w:pStyle w:val="BodyText"/>
              <w:rPr>
                <w:lang w:val="en-NZ"/>
              </w:rPr>
            </w:pPr>
            <w:r w:rsidRPr="00D45917">
              <w:t>Identify recurrent discrepancies</w:t>
            </w:r>
          </w:p>
        </w:tc>
      </w:tr>
      <w:tr w:rsidTr="00D459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5917">
            <w:pPr>
              <w:pStyle w:val="BodyText"/>
              <w:rPr>
                <w:lang w:val="en-NZ"/>
              </w:rPr>
            </w:pPr>
            <w:r w:rsidRPr="00D45917">
              <w:t>3.2</w:t>
            </w:r>
          </w:p>
        </w:tc>
        <w:tc>
          <w:tcPr>
            <w:tcW w:w="5610" w:type="dxa"/>
            <w:tcBorders>
              <w:top w:val="nil"/>
              <w:left w:val="nil"/>
              <w:bottom w:val="nil"/>
              <w:right w:val="nil"/>
            </w:tcBorders>
            <w:tcMar>
              <w:top w:w="0" w:type="dxa"/>
              <w:left w:w="62" w:type="dxa"/>
              <w:bottom w:w="0" w:type="dxa"/>
              <w:right w:w="62" w:type="dxa"/>
            </w:tcMar>
          </w:tcPr>
          <w:p w:rsidR="00000000" w:rsidP="00D45917">
            <w:pPr>
              <w:pStyle w:val="BodyText"/>
              <w:rPr>
                <w:lang w:val="en-NZ"/>
              </w:rPr>
            </w:pPr>
            <w:r w:rsidRPr="00D45917">
              <w:t>Determine causes of discrepancies</w:t>
            </w:r>
          </w:p>
        </w:tc>
      </w:tr>
      <w:tr w:rsidTr="00D459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5917">
            <w:pPr>
              <w:pStyle w:val="BodyText"/>
              <w:rPr>
                <w:lang w:val="en-NZ"/>
              </w:rPr>
            </w:pPr>
            <w:r w:rsidRPr="00D45917">
              <w:t>3.3</w:t>
            </w:r>
          </w:p>
        </w:tc>
        <w:tc>
          <w:tcPr>
            <w:tcW w:w="5610" w:type="dxa"/>
            <w:tcBorders>
              <w:top w:val="nil"/>
              <w:left w:val="nil"/>
              <w:bottom w:val="nil"/>
              <w:right w:val="nil"/>
            </w:tcBorders>
            <w:tcMar>
              <w:top w:w="0" w:type="dxa"/>
              <w:left w:w="62" w:type="dxa"/>
              <w:bottom w:w="0" w:type="dxa"/>
              <w:right w:w="62" w:type="dxa"/>
            </w:tcMar>
          </w:tcPr>
          <w:p w:rsidR="00000000" w:rsidP="00D45917">
            <w:pPr>
              <w:pStyle w:val="BodyText"/>
              <w:rPr>
                <w:lang w:val="en-NZ"/>
              </w:rPr>
            </w:pPr>
            <w:r w:rsidRPr="00D45917">
              <w:t>Determine action required to rectify cause</w:t>
            </w:r>
          </w:p>
        </w:tc>
      </w:tr>
      <w:tr w:rsidTr="00D459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5917">
            <w:pPr>
              <w:pStyle w:val="BodyText"/>
              <w:rPr>
                <w:lang w:val="en-NZ"/>
              </w:rPr>
            </w:pPr>
            <w:r w:rsidRPr="00D45917">
              <w:t>3.4</w:t>
            </w:r>
          </w:p>
        </w:tc>
        <w:tc>
          <w:tcPr>
            <w:tcW w:w="5610" w:type="dxa"/>
            <w:tcBorders>
              <w:top w:val="nil"/>
              <w:left w:val="nil"/>
              <w:bottom w:val="nil"/>
              <w:right w:val="nil"/>
            </w:tcBorders>
            <w:tcMar>
              <w:top w:w="0" w:type="dxa"/>
              <w:left w:w="62" w:type="dxa"/>
              <w:bottom w:w="0" w:type="dxa"/>
              <w:right w:w="62" w:type="dxa"/>
            </w:tcMar>
          </w:tcPr>
          <w:p w:rsidR="00000000" w:rsidP="00D45917">
            <w:pPr>
              <w:pStyle w:val="BodyText"/>
              <w:rPr>
                <w:lang w:val="en-NZ"/>
              </w:rPr>
            </w:pPr>
            <w:r w:rsidRPr="00D45917">
              <w:t>Identify unnecessary levels of inventories</w:t>
            </w:r>
          </w:p>
        </w:tc>
      </w:tr>
      <w:tr w:rsidTr="00D459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5917">
            <w:pPr>
              <w:pStyle w:val="BodyText"/>
              <w:rPr>
                <w:lang w:val="en-NZ"/>
              </w:rPr>
            </w:pPr>
            <w:r w:rsidRPr="00D45917">
              <w:t>3.5</w:t>
            </w:r>
          </w:p>
        </w:tc>
        <w:tc>
          <w:tcPr>
            <w:tcW w:w="5610" w:type="dxa"/>
            <w:tcBorders>
              <w:top w:val="nil"/>
              <w:left w:val="nil"/>
              <w:bottom w:val="nil"/>
              <w:right w:val="nil"/>
            </w:tcBorders>
            <w:tcMar>
              <w:top w:w="0" w:type="dxa"/>
              <w:left w:w="62" w:type="dxa"/>
              <w:bottom w:w="0" w:type="dxa"/>
              <w:right w:w="62" w:type="dxa"/>
            </w:tcMar>
          </w:tcPr>
          <w:p w:rsidR="00000000" w:rsidP="00D45917">
            <w:pPr>
              <w:pStyle w:val="BodyText"/>
              <w:rPr>
                <w:lang w:val="en-NZ"/>
              </w:rPr>
            </w:pPr>
            <w:r w:rsidRPr="00D45917">
              <w:t>Discuss impacts of reduced inventories with relevant stakeholders</w:t>
            </w:r>
          </w:p>
        </w:tc>
      </w:tr>
      <w:tr w:rsidTr="00D459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5917">
            <w:pPr>
              <w:pStyle w:val="BodyText"/>
              <w:rPr>
                <w:lang w:val="en-NZ"/>
              </w:rPr>
            </w:pPr>
            <w:r w:rsidRPr="00D45917">
              <w:t>3.6</w:t>
            </w:r>
          </w:p>
        </w:tc>
        <w:tc>
          <w:tcPr>
            <w:tcW w:w="5610" w:type="dxa"/>
            <w:tcBorders>
              <w:top w:val="nil"/>
              <w:left w:val="nil"/>
              <w:bottom w:val="nil"/>
              <w:right w:val="nil"/>
            </w:tcBorders>
            <w:tcMar>
              <w:top w:w="0" w:type="dxa"/>
              <w:left w:w="62" w:type="dxa"/>
              <w:bottom w:w="0" w:type="dxa"/>
              <w:right w:w="62" w:type="dxa"/>
            </w:tcMar>
          </w:tcPr>
          <w:p w:rsidR="00000000" w:rsidP="00D45917">
            <w:pPr>
              <w:pStyle w:val="BodyText"/>
              <w:rPr>
                <w:lang w:val="en-NZ"/>
              </w:rPr>
            </w:pPr>
            <w:r w:rsidRPr="00D45917">
              <w:t>Take/initiate appropriate action to rectify recurrent discrepancies/reduce levels of unnecessary inventory</w:t>
            </w:r>
          </w:p>
        </w:tc>
      </w:tr>
      <w:tr w:rsidTr="00D459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5917">
            <w:pPr>
              <w:pStyle w:val="BodyText"/>
              <w:rPr>
                <w:lang w:val="en-NZ"/>
              </w:rPr>
            </w:pPr>
            <w:r w:rsidRPr="00D45917">
              <w:t>3.7</w:t>
            </w:r>
          </w:p>
        </w:tc>
        <w:tc>
          <w:tcPr>
            <w:tcW w:w="5610" w:type="dxa"/>
            <w:tcBorders>
              <w:top w:val="nil"/>
              <w:left w:val="nil"/>
              <w:bottom w:val="nil"/>
              <w:right w:val="nil"/>
            </w:tcBorders>
            <w:tcMar>
              <w:top w:w="0" w:type="dxa"/>
              <w:left w:w="62" w:type="dxa"/>
              <w:bottom w:w="0" w:type="dxa"/>
              <w:right w:w="62" w:type="dxa"/>
            </w:tcMar>
          </w:tcPr>
          <w:p w:rsidR="00000000" w:rsidRPr="00D45917" w:rsidP="00D45917">
            <w:pPr>
              <w:pStyle w:val="BodyText"/>
            </w:pPr>
            <w:r w:rsidRPr="00D45917">
              <w:t>Monitor the system to determine the effects of changes</w:t>
            </w:r>
          </w:p>
        </w:tc>
      </w:tr>
    </w:tbl>
    <w:p w:rsidR="008C2BFB" w:rsidP="00D45917">
      <w:pPr>
        <w:pStyle w:val="BodyText"/>
      </w:pPr>
    </w:p>
    <w:p w:rsidR="008C2BFB" w:rsidP="00D45917">
      <w:pPr>
        <w:pStyle w:val="BodyText"/>
      </w:pPr>
    </w:p>
    <w:p w:rsidR="00000000" w:rsidRPr="00D45917" w:rsidP="00D45917">
      <w:pPr>
        <w:pStyle w:val="Heading1"/>
      </w:pPr>
      <w:bookmarkStart w:id="9" w:name="O_466889"/>
      <w:bookmarkEnd w:id="9"/>
      <w:r w:rsidRPr="00D45917">
        <w:t>Required Skills and Knowledge</w:t>
      </w:r>
    </w:p>
    <w:tbl>
      <w:tblPr>
        <w:tblW w:w="9462" w:type="dxa"/>
        <w:tblLayout w:type="fixed"/>
        <w:tblCellMar>
          <w:left w:w="62" w:type="dxa"/>
          <w:right w:w="62" w:type="dxa"/>
        </w:tblCellMar>
        <w:tblLook w:val="0000"/>
      </w:tblPr>
      <w:tblGrid>
        <w:gridCol w:w="9462"/>
      </w:tblGrid>
      <w:tr w:rsidTr="00D45917">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D45917">
            <w:pPr>
              <w:pStyle w:val="BodyText"/>
              <w:rPr>
                <w:lang w:val="en-NZ"/>
              </w:rPr>
            </w:pPr>
            <w:r w:rsidRPr="00D45917">
              <w:t>This section describes the skills and knowledge required for this unit.</w:t>
            </w:r>
          </w:p>
        </w:tc>
      </w:tr>
      <w:tr w:rsidTr="00D45917">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D45917">
            <w:pPr>
              <w:pStyle w:val="BodyText"/>
              <w:rPr>
                <w:lang w:val="en-NZ"/>
              </w:rPr>
            </w:pPr>
            <w:r w:rsidRPr="00D45917">
              <w:rPr>
                <w:rStyle w:val="SpecialBold"/>
              </w:rPr>
              <w:t>Required skills</w:t>
            </w:r>
          </w:p>
        </w:tc>
      </w:tr>
      <w:tr w:rsidTr="00D45917">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D45917" w:rsidP="00D45917">
            <w:pPr>
              <w:pStyle w:val="BodyText"/>
            </w:pPr>
            <w:r w:rsidRPr="00D45917">
              <w:t>Required skills include:</w:t>
            </w:r>
          </w:p>
          <w:p w:rsidR="00000000" w:rsidRPr="00D45917" w:rsidP="00D45917">
            <w:pPr>
              <w:pStyle w:val="ListBullet"/>
            </w:pPr>
            <w:r w:rsidRPr="00D45917">
              <w:t xml:space="preserve">identifying order process used by the team or in work area </w:t>
            </w:r>
          </w:p>
          <w:p w:rsidR="00000000" w:rsidRPr="00D45917" w:rsidP="00D45917">
            <w:pPr>
              <w:pStyle w:val="ListBullet"/>
            </w:pPr>
            <w:r w:rsidRPr="00D45917">
              <w:t>analysing processes and cycle times and determining the pacemaker process</w:t>
            </w:r>
          </w:p>
          <w:p w:rsidR="00000000" w:rsidRPr="00D45917" w:rsidP="00D45917">
            <w:pPr>
              <w:pStyle w:val="ListBullet"/>
            </w:pPr>
            <w:r w:rsidRPr="00D45917">
              <w:t>distin</w:t>
            </w:r>
            <w:r w:rsidRPr="00D45917">
              <w:t>guishing between pacemaker process and bottlenecks</w:t>
            </w:r>
          </w:p>
          <w:p w:rsidR="00000000" w:rsidRPr="00D45917" w:rsidP="00D45917">
            <w:pPr>
              <w:pStyle w:val="ListBullet"/>
            </w:pPr>
            <w:r w:rsidRPr="00D45917">
              <w:t>distinguishing between cycle stock, buffer stock and safety stock</w:t>
            </w:r>
          </w:p>
          <w:p w:rsidR="00000000" w:rsidRPr="00D45917" w:rsidP="00D45917">
            <w:pPr>
              <w:pStyle w:val="ListBullet"/>
            </w:pPr>
            <w:r w:rsidRPr="00D45917">
              <w:t>leading processes to identify causes of discrepancies</w:t>
            </w:r>
          </w:p>
          <w:p w:rsidR="00000000" w:rsidRPr="00D45917" w:rsidP="00D45917">
            <w:pPr>
              <w:pStyle w:val="ListBullet"/>
            </w:pPr>
            <w:r w:rsidRPr="00D45917">
              <w:t>considering a range of appropriate action in the event of discrepancy, including cons</w:t>
            </w:r>
            <w:r w:rsidRPr="00D45917">
              <w:t>idering the appropriateness of changes to:</w:t>
            </w:r>
          </w:p>
          <w:p w:rsidR="00000000" w:rsidRPr="00D45917" w:rsidP="00D45917">
            <w:pPr>
              <w:pStyle w:val="ListBullet2"/>
            </w:pPr>
            <w:r w:rsidRPr="00D45917">
              <w:t>production processes</w:t>
            </w:r>
          </w:p>
          <w:p w:rsidR="00000000" w:rsidRPr="00D45917" w:rsidP="00D45917">
            <w:pPr>
              <w:pStyle w:val="ListBullet2"/>
            </w:pPr>
            <w:r w:rsidRPr="00D45917">
              <w:t>cycle times</w:t>
            </w:r>
          </w:p>
          <w:p w:rsidR="00000000" w:rsidRPr="00D45917" w:rsidP="00D45917">
            <w:pPr>
              <w:pStyle w:val="ListBullet2"/>
            </w:pPr>
            <w:r w:rsidRPr="00D45917">
              <w:t>equipment and set-up</w:t>
            </w:r>
          </w:p>
          <w:p w:rsidR="00000000" w:rsidRPr="00D45917" w:rsidP="00D45917">
            <w:pPr>
              <w:pStyle w:val="ListBullet2"/>
            </w:pPr>
            <w:r w:rsidRPr="00D45917">
              <w:t>work organisation</w:t>
            </w:r>
          </w:p>
          <w:p w:rsidR="00000000" w:rsidRPr="00D45917" w:rsidP="00D45917">
            <w:pPr>
              <w:pStyle w:val="ListBullet2"/>
            </w:pPr>
            <w:r w:rsidRPr="00D45917">
              <w:t>training and skill development of employees</w:t>
            </w:r>
          </w:p>
          <w:p w:rsidR="00000000" w:rsidRPr="00D45917" w:rsidP="00D45917">
            <w:pPr>
              <w:pStyle w:val="ListBullet2"/>
            </w:pPr>
            <w:r w:rsidRPr="00D45917">
              <w:t>the delegations and authority of the team members or employees in work area and team or work group leader to influence the actions required, for example:</w:t>
            </w:r>
          </w:p>
          <w:p w:rsidR="00000000" w:rsidRPr="00D45917" w:rsidP="00D45917">
            <w:pPr>
              <w:pStyle w:val="ListBullet3"/>
            </w:pPr>
            <w:r w:rsidRPr="00D45917">
              <w:t>actions which can be sanctioned by the individual team member</w:t>
            </w:r>
          </w:p>
          <w:p w:rsidR="00000000" w:rsidRPr="00D45917" w:rsidP="00D45917">
            <w:pPr>
              <w:pStyle w:val="ListBullet3"/>
            </w:pPr>
            <w:r w:rsidRPr="00D45917">
              <w:t xml:space="preserve">actions which can be sanctioned by the </w:t>
            </w:r>
            <w:r w:rsidRPr="00D45917">
              <w:t>team or work group leader</w:t>
            </w:r>
          </w:p>
          <w:p w:rsidR="00000000" w:rsidRPr="00D45917" w:rsidP="00D45917">
            <w:pPr>
              <w:pStyle w:val="ListBullet3"/>
            </w:pPr>
            <w:r w:rsidRPr="00D45917">
              <w:t>actions requiring management sanction</w:t>
            </w:r>
          </w:p>
          <w:p w:rsidR="00000000" w:rsidP="00D45917">
            <w:pPr>
              <w:pStyle w:val="ListBullet3"/>
              <w:rPr>
                <w:lang w:val="en-NZ"/>
              </w:rPr>
            </w:pPr>
            <w:r w:rsidRPr="00D45917">
              <w:t>actions requiring expert intervention</w:t>
            </w:r>
          </w:p>
        </w:tc>
      </w:tr>
      <w:tr w:rsidTr="00D45917">
        <w:tblPrEx>
          <w:tblW w:w="9462" w:type="dxa"/>
          <w:tblLayout w:type="fixed"/>
          <w:tblCellMar>
            <w:left w:w="62" w:type="dxa"/>
            <w:right w:w="62" w:type="dxa"/>
          </w:tblCellMar>
          <w:tblLook w:val="0000"/>
        </w:tblPrEx>
        <w:trPr>
          <w:trHeight w:val="361"/>
        </w:trPr>
        <w:tc>
          <w:tcPr>
            <w:tcW w:w="9462" w:type="dxa"/>
            <w:tcBorders>
              <w:top w:val="nil"/>
              <w:left w:val="nil"/>
              <w:bottom w:val="nil"/>
              <w:right w:val="nil"/>
            </w:tcBorders>
            <w:tcMar>
              <w:top w:w="0" w:type="dxa"/>
              <w:left w:w="62" w:type="dxa"/>
              <w:bottom w:w="0" w:type="dxa"/>
              <w:right w:w="62" w:type="dxa"/>
            </w:tcMar>
          </w:tcPr>
          <w:p w:rsidR="00000000" w:rsidP="00D45917">
            <w:pPr>
              <w:pStyle w:val="BodyText"/>
              <w:rPr>
                <w:lang w:val="en-NZ"/>
              </w:rPr>
            </w:pPr>
          </w:p>
        </w:tc>
      </w:tr>
      <w:tr w:rsidTr="00D45917">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D45917">
            <w:pPr>
              <w:pStyle w:val="BodyText"/>
              <w:rPr>
                <w:lang w:val="en-NZ"/>
              </w:rPr>
            </w:pPr>
            <w:r w:rsidRPr="00D45917">
              <w:rPr>
                <w:rStyle w:val="SpecialBold"/>
              </w:rPr>
              <w:t>Required knowledge</w:t>
            </w:r>
          </w:p>
        </w:tc>
      </w:tr>
      <w:tr w:rsidTr="00D45917">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D45917" w:rsidP="00D45917">
            <w:pPr>
              <w:pStyle w:val="BodyText"/>
            </w:pPr>
            <w:r w:rsidRPr="00D45917">
              <w:t>Required knowledge includes:</w:t>
            </w:r>
          </w:p>
          <w:p w:rsidR="00000000" w:rsidRPr="00D45917" w:rsidP="00D45917">
            <w:pPr>
              <w:pStyle w:val="ListBullet"/>
            </w:pPr>
            <w:r w:rsidRPr="00D45917">
              <w:t>operations and equipment used in the enterprise</w:t>
            </w:r>
          </w:p>
          <w:p w:rsidR="00000000" w:rsidRPr="00D45917" w:rsidP="00D45917">
            <w:pPr>
              <w:pStyle w:val="ListBullet"/>
            </w:pPr>
            <w:r w:rsidRPr="00D45917">
              <w:t>capabilities of equipment</w:t>
            </w:r>
          </w:p>
          <w:p w:rsidR="00000000" w:rsidRPr="00D45917" w:rsidP="00D45917">
            <w:pPr>
              <w:pStyle w:val="ListBullet"/>
            </w:pPr>
            <w:r w:rsidRPr="00D45917">
              <w:t>abilities and skills of personnel</w:t>
            </w:r>
          </w:p>
          <w:p w:rsidR="00000000" w:rsidRPr="00D45917" w:rsidP="00D45917">
            <w:pPr>
              <w:pStyle w:val="ListBullet"/>
            </w:pPr>
            <w:r w:rsidRPr="00D45917">
              <w:t>ultimate customer order process and relationship to demand pull for team or area</w:t>
            </w:r>
          </w:p>
          <w:p w:rsidR="00000000" w:rsidRPr="00D45917" w:rsidP="00D45917">
            <w:pPr>
              <w:pStyle w:val="ListBullet"/>
            </w:pPr>
            <w:r w:rsidRPr="00D45917">
              <w:t>inventories held by enterprise</w:t>
            </w:r>
          </w:p>
          <w:p w:rsidR="00000000" w:rsidRPr="00D45917" w:rsidP="00D45917">
            <w:pPr>
              <w:pStyle w:val="ListBullet"/>
            </w:pPr>
            <w:r w:rsidRPr="00D45917">
              <w:t>stakeholders relevant to team or area</w:t>
            </w:r>
          </w:p>
          <w:p w:rsidR="00000000" w:rsidRPr="00D45917" w:rsidP="00D45917">
            <w:pPr>
              <w:pStyle w:val="ListBullet"/>
            </w:pPr>
            <w:r w:rsidRPr="00D45917">
              <w:t>a range of possible actions available to address discrepancies</w:t>
            </w:r>
          </w:p>
        </w:tc>
      </w:tr>
    </w:tbl>
    <w:p w:rsidR="008C2BFB" w:rsidP="00D45917">
      <w:pPr>
        <w:pStyle w:val="BodyText"/>
      </w:pPr>
    </w:p>
    <w:p w:rsidR="008C2BFB" w:rsidP="00D45917">
      <w:pPr>
        <w:pStyle w:val="BodyText"/>
      </w:pPr>
    </w:p>
    <w:p w:rsidR="00000000" w:rsidRPr="00D45917" w:rsidP="00D45917">
      <w:pPr>
        <w:pStyle w:val="Heading1"/>
      </w:pPr>
      <w:bookmarkStart w:id="10" w:name="O_466890"/>
      <w:bookmarkEnd w:id="10"/>
      <w:r w:rsidRPr="00D45917">
        <w:t>Evidence Guide</w:t>
      </w:r>
    </w:p>
    <w:tbl>
      <w:tblPr>
        <w:tblW w:w="9462" w:type="dxa"/>
        <w:tblLayout w:type="fixed"/>
        <w:tblCellMar>
          <w:left w:w="62" w:type="dxa"/>
          <w:right w:w="62" w:type="dxa"/>
        </w:tblCellMar>
        <w:tblLook w:val="0000"/>
      </w:tblPr>
      <w:tblGrid>
        <w:gridCol w:w="3800"/>
        <w:gridCol w:w="5662"/>
      </w:tblGrid>
      <w:tr w:rsidTr="00D45917">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D45917">
            <w:pPr>
              <w:pStyle w:val="BodyText"/>
              <w:rPr>
                <w:lang w:val="en-NZ"/>
              </w:rPr>
            </w:pPr>
            <w:r w:rsidRPr="00D45917">
              <w:t>The evidence guide provides advice on assessment and must be read in conjunction with the performance criteria, required skills and knowledge, range statement and the Assessment Guidelines for the Training Package.</w:t>
            </w:r>
          </w:p>
        </w:tc>
      </w:tr>
      <w:tr w:rsidTr="00D4591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5917">
            <w:pPr>
              <w:pStyle w:val="BodyText"/>
              <w:rPr>
                <w:lang w:val="en-NZ"/>
              </w:rPr>
            </w:pPr>
            <w:r w:rsidRPr="00D45917">
              <w:rPr>
                <w:rStyle w:val="SpecialBold"/>
              </w:rPr>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5917" w:rsidP="00D45917">
            <w:pPr>
              <w:pStyle w:val="BodyText"/>
            </w:pPr>
            <w:r w:rsidRPr="00D45917">
              <w:t xml:space="preserve">A person who demonstrates competency in this unit must be able to provide evidence of the ability to: </w:t>
            </w:r>
          </w:p>
          <w:p w:rsidR="00000000" w:rsidRPr="00D45917" w:rsidP="00D45917">
            <w:pPr>
              <w:pStyle w:val="ListBullet"/>
            </w:pPr>
            <w:r w:rsidRPr="00D45917">
              <w:t>identify the demand pull system used in their area or team</w:t>
            </w:r>
          </w:p>
          <w:p w:rsidR="00000000" w:rsidRPr="00D45917" w:rsidP="00D45917">
            <w:pPr>
              <w:pStyle w:val="ListBullet"/>
            </w:pPr>
            <w:r w:rsidRPr="00D45917">
              <w:t>identify pacemaker process</w:t>
            </w:r>
          </w:p>
          <w:p w:rsidR="00000000" w:rsidRPr="00D45917" w:rsidP="00D45917">
            <w:pPr>
              <w:pStyle w:val="ListBullet"/>
            </w:pPr>
            <w:r w:rsidRPr="00D45917">
              <w:t xml:space="preserve">identify types of inventories used by team or area </w:t>
            </w:r>
          </w:p>
          <w:p w:rsidR="00000000" w:rsidRPr="00D45917" w:rsidP="00D45917">
            <w:pPr>
              <w:pStyle w:val="ListBullet"/>
            </w:pPr>
            <w:r w:rsidRPr="00D45917">
              <w:t>determine appropriate actions to rectify discrepancies between actual and planned rates of production</w:t>
            </w:r>
          </w:p>
          <w:p w:rsidR="00000000" w:rsidP="00D45917">
            <w:pPr>
              <w:pStyle w:val="ListBullet"/>
              <w:rPr>
                <w:lang w:val="en-NZ"/>
              </w:rPr>
            </w:pPr>
            <w:r w:rsidRPr="00D45917">
              <w:t>implement and monitor changes to rectify discrepancies.</w:t>
            </w:r>
          </w:p>
        </w:tc>
      </w:tr>
      <w:tr w:rsidTr="00D4591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5917">
            <w:pPr>
              <w:pStyle w:val="BodyText"/>
              <w:rPr>
                <w:lang w:val="en-NZ"/>
              </w:rPr>
            </w:pPr>
            <w:r w:rsidRPr="00D45917">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5917" w:rsidP="00D45917">
            <w:pPr>
              <w:pStyle w:val="BodyText"/>
            </w:pPr>
            <w:r w:rsidRPr="00D45917">
              <w:t xml:space="preserve">Assessment of performance must be undertaken in a workplace using or implementing one or more competitive systems and practices. </w:t>
            </w:r>
          </w:p>
          <w:p w:rsidR="00000000" w:rsidRPr="00D45917" w:rsidP="00D45917">
            <w:pPr>
              <w:pStyle w:val="BodyText"/>
            </w:pPr>
            <w:r w:rsidRPr="00D45917">
              <w:t>Access may be required to:</w:t>
            </w:r>
          </w:p>
          <w:p w:rsidR="00000000" w:rsidRPr="00D45917" w:rsidP="00D45917">
            <w:pPr>
              <w:pStyle w:val="ListBullet"/>
            </w:pPr>
            <w:r w:rsidRPr="00D45917">
              <w:t>workplace procedures and plans relevant to work a</w:t>
            </w:r>
            <w:r w:rsidRPr="00D45917">
              <w:t>rea</w:t>
            </w:r>
          </w:p>
          <w:p w:rsidR="00000000" w:rsidRPr="00D45917" w:rsidP="00D45917">
            <w:pPr>
              <w:pStyle w:val="ListBullet"/>
            </w:pPr>
            <w:r w:rsidRPr="00D45917">
              <w:t>specifications and documentation relating to planned, currently being implemented, or implemented changes to work processes and procedures relevant to the assessee</w:t>
            </w:r>
          </w:p>
          <w:p w:rsidR="00000000" w:rsidRPr="00D45917" w:rsidP="00D45917">
            <w:pPr>
              <w:pStyle w:val="ListBullet"/>
            </w:pPr>
            <w:r w:rsidRPr="00D45917">
              <w:t>documentation and information in relation to production, waste, overheads and hazard con</w:t>
            </w:r>
            <w:r w:rsidRPr="00D45917">
              <w:t>trol/management</w:t>
            </w:r>
          </w:p>
          <w:p w:rsidR="00000000" w:rsidRPr="00D45917" w:rsidP="00D45917">
            <w:pPr>
              <w:pStyle w:val="ListBullet"/>
            </w:pPr>
            <w:r w:rsidRPr="00D45917">
              <w:t>reports from supervisors/managers</w:t>
            </w:r>
          </w:p>
          <w:p w:rsidR="00000000" w:rsidP="00D45917">
            <w:pPr>
              <w:pStyle w:val="ListBullet"/>
              <w:rPr>
                <w:lang w:val="en-NZ"/>
              </w:rPr>
            </w:pPr>
            <w:r w:rsidRPr="00D45917">
              <w:t>case studies and scenarios to assess responses to contingencies.</w:t>
            </w:r>
          </w:p>
        </w:tc>
      </w:tr>
      <w:tr w:rsidTr="00D4591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5917">
            <w:pPr>
              <w:pStyle w:val="BodyText"/>
              <w:rPr>
                <w:lang w:val="en-NZ"/>
              </w:rPr>
            </w:pPr>
            <w:r w:rsidRPr="00D45917">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5917" w:rsidP="00D45917">
            <w:pPr>
              <w:pStyle w:val="BodyText"/>
            </w:pPr>
            <w:r w:rsidRPr="00D45917">
              <w:t>A holistic approach should be taken to the assessment.</w:t>
            </w:r>
          </w:p>
          <w:p w:rsidR="00000000" w:rsidRPr="00D45917" w:rsidP="00D45917">
            <w:pPr>
              <w:pStyle w:val="BodyText"/>
            </w:pPr>
            <w:r w:rsidRPr="00D45917">
              <w:t>Competence in this unit may be assessed by using a combination o</w:t>
            </w:r>
            <w:r w:rsidRPr="00D45917">
              <w:t>f the following to generate evidence:</w:t>
            </w:r>
          </w:p>
          <w:p w:rsidR="00000000" w:rsidRPr="00D45917" w:rsidP="00D45917">
            <w:pPr>
              <w:pStyle w:val="ListBullet"/>
            </w:pPr>
            <w:r w:rsidRPr="00D45917">
              <w:t>demonstration in the workplace</w:t>
            </w:r>
          </w:p>
          <w:p w:rsidR="00000000" w:rsidRPr="00D45917" w:rsidP="00D45917">
            <w:pPr>
              <w:pStyle w:val="ListBullet"/>
            </w:pPr>
            <w:r w:rsidRPr="00D45917">
              <w:t>workplace projects</w:t>
            </w:r>
          </w:p>
          <w:p w:rsidR="00000000" w:rsidRPr="00D45917" w:rsidP="00D45917">
            <w:pPr>
              <w:pStyle w:val="ListBullet"/>
            </w:pPr>
            <w:r w:rsidRPr="00D45917">
              <w:t>suitable simulation</w:t>
            </w:r>
          </w:p>
          <w:p w:rsidR="00000000" w:rsidRPr="00D45917" w:rsidP="00D45917">
            <w:pPr>
              <w:pStyle w:val="ListBullet"/>
            </w:pPr>
            <w:r w:rsidRPr="00D45917">
              <w:t>case studies/scenarios (particularly for assessment of contingencies, improvement scenarios, and so on)</w:t>
            </w:r>
          </w:p>
          <w:p w:rsidR="00000000" w:rsidRPr="00D45917" w:rsidP="00D45917">
            <w:pPr>
              <w:pStyle w:val="ListBullet"/>
            </w:pPr>
            <w:r w:rsidRPr="00D45917">
              <w:t xml:space="preserve">targeted questioning </w:t>
            </w:r>
          </w:p>
          <w:p w:rsidR="00000000" w:rsidRPr="00D45917" w:rsidP="00D45917">
            <w:pPr>
              <w:pStyle w:val="ListBullet"/>
            </w:pPr>
            <w:r w:rsidRPr="00D45917">
              <w:t>reports from supervisors, peers and colleagues (third-party reports)</w:t>
            </w:r>
          </w:p>
          <w:p w:rsidR="00000000" w:rsidRPr="00D45917" w:rsidP="00D45917">
            <w:pPr>
              <w:pStyle w:val="ListBullet"/>
            </w:pPr>
            <w:r w:rsidRPr="00D45917">
              <w:t>portfolio of evidence</w:t>
            </w:r>
          </w:p>
          <w:p w:rsidR="00000000" w:rsidRPr="00D45917" w:rsidP="00D45917">
            <w:pPr>
              <w:pStyle w:val="BodyText"/>
            </w:pPr>
            <w:r w:rsidRPr="00D45917">
              <w:t>In all cases it is expected that practical assessment will be combined with targeted questioning to assess underpinning knowledge.</w:t>
            </w:r>
          </w:p>
          <w:p w:rsidR="00000000" w:rsidP="00D45917">
            <w:pPr>
              <w:pStyle w:val="BodyText"/>
              <w:rPr>
                <w:lang w:val="en-NZ"/>
              </w:rPr>
            </w:pPr>
            <w:r w:rsidRPr="00D45917">
              <w:t>Where applicable, reasonable adjus</w:t>
            </w:r>
            <w:r w:rsidRPr="00D45917">
              <w:t>tment must be made to work environments and training situations to accommodate ethnicity, age, gender, demographics and disability.</w:t>
            </w:r>
          </w:p>
        </w:tc>
      </w:tr>
      <w:tr w:rsidTr="00D4591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5917">
            <w:pPr>
              <w:pStyle w:val="BodyText"/>
              <w:rPr>
                <w:lang w:val="en-NZ"/>
              </w:rPr>
            </w:pPr>
            <w:r w:rsidRPr="00D45917">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5917" w:rsidP="00D45917">
            <w:pPr>
              <w:pStyle w:val="BodyText"/>
            </w:pPr>
            <w:r w:rsidRPr="00D45917">
              <w:t>Assessment processes and techniques must be culturally appropriate and appropriate to t</w:t>
            </w:r>
            <w:r w:rsidRPr="00D45917">
              <w:t>he oracy, language and literacy capacity of the assessee and the work being performed.</w:t>
            </w:r>
          </w:p>
        </w:tc>
      </w:tr>
    </w:tbl>
    <w:p w:rsidR="008C2BFB" w:rsidP="00D45917">
      <w:pPr>
        <w:pStyle w:val="BodyText"/>
      </w:pPr>
    </w:p>
    <w:p w:rsidR="008C2BFB" w:rsidP="00D45917">
      <w:pPr>
        <w:pStyle w:val="BodyText"/>
      </w:pPr>
    </w:p>
    <w:p w:rsidR="00000000" w:rsidRPr="00D45917" w:rsidP="00D45917">
      <w:pPr>
        <w:pStyle w:val="Heading1"/>
      </w:pPr>
      <w:bookmarkStart w:id="11" w:name="O_466891"/>
      <w:bookmarkEnd w:id="11"/>
      <w:r w:rsidRPr="00D45917">
        <w:t>Range Statement</w:t>
      </w:r>
    </w:p>
    <w:tbl>
      <w:tblPr>
        <w:tblW w:w="9462" w:type="dxa"/>
        <w:tblLayout w:type="fixed"/>
        <w:tblCellMar>
          <w:left w:w="62" w:type="dxa"/>
          <w:right w:w="62" w:type="dxa"/>
        </w:tblCellMar>
        <w:tblLook w:val="0000"/>
      </w:tblPr>
      <w:tblGrid>
        <w:gridCol w:w="3800"/>
        <w:gridCol w:w="5662"/>
      </w:tblGrid>
      <w:tr w:rsidTr="00D45917">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D45917">
            <w:pPr>
              <w:pStyle w:val="BodyText"/>
              <w:rPr>
                <w:lang w:val="en-NZ"/>
              </w:rPr>
            </w:pPr>
            <w:r w:rsidRPr="00D45917">
              <w:t>The range statement relates to the unit of compet</w:t>
            </w:r>
            <w:r w:rsidRPr="00D45917">
              <w:t>ency as a whole. It allows for different work environments and situations that may affect performance. Bold italicised wording, if used in the performance criteria, is detailed below. Essential operating conditions that may be present with training and ass</w:t>
            </w:r>
            <w:r w:rsidRPr="00D45917">
              <w:t>essment (depending on the work situation, needs of the candidate, accessibility of the item, and local industry and regional contexts) may also be included.</w:t>
            </w:r>
          </w:p>
        </w:tc>
      </w:tr>
      <w:tr w:rsidTr="00D4591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5917">
            <w:pPr>
              <w:pStyle w:val="BodyText"/>
              <w:rPr>
                <w:lang w:val="en-NZ"/>
              </w:rPr>
            </w:pPr>
            <w:r w:rsidRPr="00D45917">
              <w:rPr>
                <w:rStyle w:val="SpecialBold"/>
              </w:rPr>
              <w:t>Competitive systems and practices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5917" w:rsidP="00D45917">
            <w:pPr>
              <w:pStyle w:val="BodyText"/>
            </w:pPr>
            <w:r w:rsidRPr="00D45917">
              <w:t>Competitive systems and practices may include, but are not limi</w:t>
            </w:r>
            <w:r w:rsidRPr="00D45917">
              <w:t>ted to:</w:t>
            </w:r>
          </w:p>
          <w:p w:rsidR="00000000" w:rsidRPr="00D45917" w:rsidP="00D45917">
            <w:pPr>
              <w:pStyle w:val="ListBullet"/>
            </w:pPr>
            <w:r w:rsidRPr="00D45917">
              <w:t>lean operations</w:t>
            </w:r>
          </w:p>
          <w:p w:rsidR="00000000" w:rsidRPr="00D45917" w:rsidP="00D45917">
            <w:pPr>
              <w:pStyle w:val="ListBullet"/>
            </w:pPr>
            <w:r w:rsidRPr="00D45917">
              <w:t>agile operations</w:t>
            </w:r>
          </w:p>
          <w:p w:rsidR="00000000" w:rsidRPr="00D45917" w:rsidP="00D45917">
            <w:pPr>
              <w:pStyle w:val="ListBullet"/>
            </w:pPr>
            <w:r w:rsidRPr="00D45917">
              <w:t>preventative and predictive maintenance approaches</w:t>
            </w:r>
          </w:p>
          <w:p w:rsidR="00000000" w:rsidRPr="00D45917" w:rsidP="00D45917">
            <w:pPr>
              <w:pStyle w:val="ListBullet"/>
            </w:pPr>
            <w:r w:rsidRPr="00D45917">
              <w:t>monitoring and data gathering systems, such as Systems Control and Data Acquisition (SCADA) software, Enterprise Resource Planning (ERP) systems, Materials Resourc</w:t>
            </w:r>
            <w:r w:rsidRPr="00D45917">
              <w:t xml:space="preserve">e Planning (MRP) and proprietary systems </w:t>
            </w:r>
          </w:p>
          <w:p w:rsidR="00000000" w:rsidRPr="00D45917" w:rsidP="00D45917">
            <w:pPr>
              <w:pStyle w:val="ListBullet"/>
            </w:pPr>
            <w:r w:rsidRPr="00D45917">
              <w:t>statistical process control systems, including six sigma and three sigma</w:t>
            </w:r>
          </w:p>
          <w:p w:rsidR="00000000" w:rsidRPr="00D45917" w:rsidP="00D45917">
            <w:pPr>
              <w:pStyle w:val="ListBullet"/>
            </w:pPr>
            <w:r w:rsidRPr="00D45917">
              <w:t>Just in Time (JIT), kanban and other pull-related operations control systems</w:t>
            </w:r>
          </w:p>
          <w:p w:rsidR="00000000" w:rsidRPr="00D45917" w:rsidP="00D45917">
            <w:pPr>
              <w:pStyle w:val="ListBullet"/>
            </w:pPr>
            <w:r w:rsidRPr="00D45917">
              <w:t>supply, value, and demand chain monitoring and analysis</w:t>
            </w:r>
          </w:p>
          <w:p w:rsidR="00000000" w:rsidRPr="00D45917" w:rsidP="00D45917">
            <w:pPr>
              <w:pStyle w:val="ListBullet"/>
            </w:pPr>
            <w:r w:rsidRPr="00D45917">
              <w:t xml:space="preserve">5S </w:t>
            </w:r>
          </w:p>
          <w:p w:rsidR="00000000" w:rsidRPr="00D45917" w:rsidP="00D45917">
            <w:pPr>
              <w:pStyle w:val="ListBullet"/>
            </w:pPr>
            <w:r w:rsidRPr="00D45917">
              <w:t>continuous improvement (kaizen)</w:t>
            </w:r>
          </w:p>
          <w:p w:rsidR="00000000" w:rsidRPr="00D45917" w:rsidP="00D45917">
            <w:pPr>
              <w:pStyle w:val="ListBullet"/>
            </w:pPr>
            <w:r w:rsidRPr="00D45917">
              <w:t>breakthrough improvement (kaizen blitz)</w:t>
            </w:r>
          </w:p>
          <w:p w:rsidR="00000000" w:rsidRPr="00D45917" w:rsidP="00D45917">
            <w:pPr>
              <w:pStyle w:val="ListBullet"/>
            </w:pPr>
            <w:r w:rsidRPr="00D45917">
              <w:t>cause/effect diagrams</w:t>
            </w:r>
          </w:p>
          <w:p w:rsidR="00000000" w:rsidRPr="00D45917" w:rsidP="00D45917">
            <w:pPr>
              <w:pStyle w:val="ListBullet"/>
            </w:pPr>
            <w:r w:rsidRPr="00D45917">
              <w:t>overall equipment effectiveness (OEE)</w:t>
            </w:r>
          </w:p>
          <w:p w:rsidR="00000000" w:rsidRPr="00D45917" w:rsidP="00D45917">
            <w:pPr>
              <w:pStyle w:val="ListBullet"/>
            </w:pPr>
            <w:r w:rsidRPr="00D45917">
              <w:t>takt time</w:t>
            </w:r>
          </w:p>
          <w:p w:rsidR="00000000" w:rsidRPr="00D45917" w:rsidP="00D45917">
            <w:pPr>
              <w:pStyle w:val="ListBullet"/>
            </w:pPr>
            <w:r w:rsidRPr="00D45917">
              <w:t>process mapping</w:t>
            </w:r>
          </w:p>
          <w:p w:rsidR="00000000" w:rsidRPr="00D45917" w:rsidP="00D45917">
            <w:pPr>
              <w:pStyle w:val="ListBullet"/>
            </w:pPr>
            <w:r w:rsidRPr="00D45917">
              <w:t xml:space="preserve">problem solving </w:t>
            </w:r>
          </w:p>
          <w:p w:rsidR="00000000" w:rsidRPr="00D45917" w:rsidP="00D45917">
            <w:pPr>
              <w:pStyle w:val="ListBullet"/>
            </w:pPr>
            <w:r w:rsidRPr="00D45917">
              <w:t>run charts</w:t>
            </w:r>
          </w:p>
          <w:p w:rsidR="00000000" w:rsidRPr="00D45917" w:rsidP="00D45917">
            <w:pPr>
              <w:pStyle w:val="ListBullet"/>
            </w:pPr>
            <w:r w:rsidRPr="00D45917">
              <w:t>standard procedures</w:t>
            </w:r>
          </w:p>
          <w:p w:rsidR="00000000" w:rsidRPr="00D45917" w:rsidP="00D45917">
            <w:pPr>
              <w:pStyle w:val="ListBullet"/>
            </w:pPr>
            <w:r w:rsidRPr="00D45917">
              <w:t>current reality tree</w:t>
            </w:r>
          </w:p>
          <w:p w:rsidR="00000000" w:rsidRPr="00D45917" w:rsidP="00D45917">
            <w:pPr>
              <w:pStyle w:val="BodyText"/>
            </w:pPr>
            <w:r w:rsidRPr="00D45917">
              <w:t>Competitive systems and pract</w:t>
            </w:r>
            <w:r w:rsidRPr="00D45917">
              <w:t>ices should be interpreted so as to take into account:</w:t>
            </w:r>
          </w:p>
          <w:p w:rsidR="00000000" w:rsidRPr="00D45917" w:rsidP="00D45917">
            <w:pPr>
              <w:pStyle w:val="ListBullet"/>
            </w:pPr>
            <w:r w:rsidRPr="00D45917">
              <w:t>the stage of implementation of competitive systems and practices</w:t>
            </w:r>
          </w:p>
          <w:p w:rsidR="00000000" w:rsidRPr="00D45917" w:rsidP="00D45917">
            <w:pPr>
              <w:pStyle w:val="ListBullet"/>
            </w:pPr>
            <w:r w:rsidRPr="00D45917">
              <w:t>the size of the enterprise</w:t>
            </w:r>
          </w:p>
          <w:p w:rsidR="00000000" w:rsidP="00D45917">
            <w:pPr>
              <w:pStyle w:val="ListBullet"/>
              <w:rPr>
                <w:lang w:val="en-NZ"/>
              </w:rPr>
            </w:pPr>
            <w:r w:rsidRPr="00D45917">
              <w:t>the work organisation, culture, regulatory environment and the industry sector</w:t>
            </w:r>
          </w:p>
        </w:tc>
      </w:tr>
      <w:tr w:rsidTr="00D4591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5917">
            <w:pPr>
              <w:pStyle w:val="BodyText"/>
              <w:rPr>
                <w:lang w:val="en-NZ"/>
              </w:rPr>
            </w:pPr>
            <w:r w:rsidRPr="00D45917">
              <w:rPr>
                <w:rStyle w:val="SpecialBold"/>
              </w:rPr>
              <w:t>Pull system</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5917" w:rsidP="00D45917">
            <w:pPr>
              <w:pStyle w:val="BodyText"/>
            </w:pPr>
            <w:r w:rsidRPr="00D45917">
              <w:t>A pull system in a operations system is one where:</w:t>
            </w:r>
          </w:p>
          <w:p w:rsidR="00000000" w:rsidRPr="00D45917" w:rsidP="00D45917">
            <w:pPr>
              <w:pStyle w:val="ListBullet"/>
            </w:pPr>
            <w:r w:rsidRPr="00D45917">
              <w:t>operations are done to order and not for holding large inventories of parts and completed stock</w:t>
            </w:r>
          </w:p>
          <w:p w:rsidR="00000000" w:rsidRPr="00D45917" w:rsidP="00D45917">
            <w:pPr>
              <w:pStyle w:val="ListBullet"/>
            </w:pPr>
            <w:r w:rsidRPr="00D45917">
              <w:t>work flow is done according to demand pull from the next work stage</w:t>
            </w:r>
          </w:p>
          <w:p w:rsidR="00000000" w:rsidRPr="00D45917" w:rsidP="00D45917">
            <w:pPr>
              <w:pStyle w:val="ListBullet"/>
            </w:pPr>
            <w:r w:rsidRPr="00D45917">
              <w:t>operations are in response to customer d</w:t>
            </w:r>
            <w:r w:rsidRPr="00D45917">
              <w:t>emand</w:t>
            </w:r>
          </w:p>
          <w:p w:rsidR="00000000" w:rsidP="00D45917">
            <w:pPr>
              <w:pStyle w:val="BodyText"/>
              <w:rPr>
                <w:lang w:val="en-NZ"/>
              </w:rPr>
            </w:pPr>
            <w:r w:rsidRPr="00D45917">
              <w:t>The pull system must be flexible and have cycle times set by parameters calculated from customer demand indicators</w:t>
            </w:r>
          </w:p>
        </w:tc>
      </w:tr>
      <w:tr w:rsidTr="00D4591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5917">
            <w:pPr>
              <w:pStyle w:val="BodyText"/>
              <w:rPr>
                <w:lang w:val="en-NZ"/>
              </w:rPr>
            </w:pPr>
            <w:r w:rsidRPr="00D45917">
              <w:rPr>
                <w:rStyle w:val="SpecialBold"/>
              </w:rPr>
              <w:t>Production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5917" w:rsidP="00D45917">
            <w:pPr>
              <w:pStyle w:val="BodyText"/>
            </w:pPr>
            <w:r w:rsidRPr="00D45917">
              <w:t xml:space="preserve">Production in this unit is primarily used in a manufacturing sense and may include: </w:t>
            </w:r>
          </w:p>
          <w:p w:rsidR="00000000" w:rsidRPr="00D45917" w:rsidP="00D45917">
            <w:pPr>
              <w:pStyle w:val="ListBullet"/>
            </w:pPr>
            <w:r w:rsidRPr="00D45917">
              <w:t xml:space="preserve">repetitive production of items (e.g. </w:t>
            </w:r>
            <w:r w:rsidRPr="00D45917">
              <w:t>components and whitegoods)</w:t>
            </w:r>
          </w:p>
          <w:p w:rsidR="00000000" w:rsidRPr="00D45917" w:rsidP="00D45917">
            <w:pPr>
              <w:pStyle w:val="ListBullet"/>
            </w:pPr>
            <w:r w:rsidRPr="00D45917">
              <w:t>continuous or batch production (e.g. hydrocarbons, chemicals and cement)</w:t>
            </w:r>
          </w:p>
          <w:p w:rsidR="00000000" w:rsidP="00D45917">
            <w:pPr>
              <w:pStyle w:val="BodyText"/>
              <w:rPr>
                <w:lang w:val="en-NZ"/>
              </w:rPr>
            </w:pPr>
            <w:r w:rsidRPr="00D45917">
              <w:t>The term production may also be contextualised to allow for the unit to be applied to divisions or organisations supplying supporting services (e.g. transpo</w:t>
            </w:r>
            <w:r w:rsidRPr="00D45917">
              <w:t>rt and logistics, and utilities)</w:t>
            </w:r>
          </w:p>
        </w:tc>
      </w:tr>
      <w:tr w:rsidTr="00D4591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5917">
            <w:pPr>
              <w:pStyle w:val="BodyText"/>
              <w:rPr>
                <w:lang w:val="en-NZ"/>
              </w:rPr>
            </w:pPr>
            <w:r w:rsidRPr="00D45917">
              <w:rPr>
                <w:rStyle w:val="SpecialBold"/>
              </w:rPr>
              <w:t>Pacemaker</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5917" w:rsidP="00D45917">
            <w:pPr>
              <w:pStyle w:val="BodyText"/>
            </w:pPr>
            <w:r w:rsidRPr="00D45917">
              <w:t>Pacemaker processes refer to:</w:t>
            </w:r>
          </w:p>
          <w:p w:rsidR="00000000" w:rsidP="00D45917">
            <w:pPr>
              <w:pStyle w:val="ListBullet"/>
              <w:rPr>
                <w:lang w:val="en-NZ"/>
              </w:rPr>
            </w:pPr>
            <w:r w:rsidRPr="00D45917">
              <w:t xml:space="preserve">process or scheduling points which sets the pace for the flow of operations through </w:t>
            </w:r>
            <w:r w:rsidRPr="00D45917">
              <w:t xml:space="preserve">the enterprise. It needs to be distinguished from processes which are temporarily setting the pace for other processes because of faults, breakdowns, inefficiencies, poor design and/or waste. These should be categorised as bottlenecks and made targets for </w:t>
            </w:r>
            <w:r w:rsidRPr="00D45917">
              <w:t xml:space="preserve">corrective action. </w:t>
            </w:r>
          </w:p>
        </w:tc>
      </w:tr>
      <w:tr w:rsidTr="00D4591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5917">
            <w:pPr>
              <w:pStyle w:val="BodyText"/>
              <w:rPr>
                <w:lang w:val="en-NZ"/>
              </w:rPr>
            </w:pPr>
            <w:r w:rsidRPr="00D45917">
              <w:rPr>
                <w:rStyle w:val="SpecialBold"/>
              </w:rPr>
              <w:t>Types of inventories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5917" w:rsidP="00D45917">
            <w:pPr>
              <w:pStyle w:val="BodyText"/>
            </w:pPr>
            <w:r w:rsidRPr="00D45917">
              <w:t>Inventories within process may include:</w:t>
            </w:r>
          </w:p>
          <w:p w:rsidR="00000000" w:rsidRPr="00D45917" w:rsidP="00D45917">
            <w:pPr>
              <w:pStyle w:val="ListBullet"/>
            </w:pPr>
            <w:r w:rsidRPr="00D45917">
              <w:t>cycle stock which reflects the replenishment quantity and frequency</w:t>
            </w:r>
          </w:p>
          <w:p w:rsidR="00000000" w:rsidRPr="00D45917" w:rsidP="00D45917">
            <w:pPr>
              <w:pStyle w:val="ListBullet"/>
            </w:pPr>
            <w:r w:rsidRPr="00D45917">
              <w:t>buffer stock to meet demand variability and forecast errors</w:t>
            </w:r>
          </w:p>
          <w:p w:rsidR="00000000" w:rsidP="00D45917">
            <w:pPr>
              <w:pStyle w:val="ListBullet"/>
              <w:rPr>
                <w:lang w:val="en-NZ"/>
              </w:rPr>
            </w:pPr>
            <w:r w:rsidRPr="00D45917">
              <w:t>safety stock required to guard against qualit</w:t>
            </w:r>
            <w:r w:rsidRPr="00D45917">
              <w:t>y and delivery failures upstream</w:t>
            </w:r>
          </w:p>
        </w:tc>
      </w:tr>
      <w:tr w:rsidTr="00D4591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5917">
            <w:pPr>
              <w:pStyle w:val="BodyText"/>
              <w:rPr>
                <w:lang w:val="en-NZ"/>
              </w:rPr>
            </w:pPr>
            <w:r w:rsidRPr="00D45917">
              <w:rPr>
                <w:rStyle w:val="SpecialBold"/>
              </w:rPr>
              <w:t>Determine cause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5917" w:rsidP="00D45917">
            <w:pPr>
              <w:pStyle w:val="BodyText"/>
            </w:pPr>
            <w:r w:rsidRPr="00D45917">
              <w:t>Determine cause may include the individual/team leader:</w:t>
            </w:r>
          </w:p>
          <w:p w:rsidR="00000000" w:rsidRPr="00D45917" w:rsidP="00D45917">
            <w:pPr>
              <w:pStyle w:val="ListBullet"/>
            </w:pPr>
            <w:r w:rsidRPr="00D45917">
              <w:t>analysing cause themselves</w:t>
            </w:r>
          </w:p>
          <w:p w:rsidR="00000000" w:rsidRPr="00D45917" w:rsidP="00D45917">
            <w:pPr>
              <w:pStyle w:val="ListBullet"/>
            </w:pPr>
            <w:r w:rsidRPr="00D45917">
              <w:t>identifying that expert analysis is required and requesting this analysis</w:t>
            </w:r>
          </w:p>
          <w:p w:rsidR="00000000" w:rsidRPr="00D45917" w:rsidP="00D45917">
            <w:pPr>
              <w:pStyle w:val="ListBullet"/>
            </w:pPr>
            <w:r w:rsidRPr="00D45917">
              <w:t>setting up an improvement team to analyse cause</w:t>
            </w:r>
          </w:p>
          <w:p w:rsidR="00000000" w:rsidP="00D45917">
            <w:pPr>
              <w:pStyle w:val="ListBullet"/>
              <w:rPr>
                <w:lang w:val="en-NZ"/>
              </w:rPr>
            </w:pPr>
            <w:r w:rsidRPr="00D45917">
              <w:t>identifying that the cause of the discrepancy is upstream or downstream of the team or area</w:t>
            </w:r>
          </w:p>
        </w:tc>
      </w:tr>
      <w:tr w:rsidTr="00D4591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5917">
            <w:pPr>
              <w:pStyle w:val="BodyText"/>
              <w:rPr>
                <w:lang w:val="en-NZ"/>
              </w:rPr>
            </w:pPr>
            <w:r w:rsidRPr="00D45917">
              <w:rPr>
                <w:rStyle w:val="SpecialBold"/>
              </w:rPr>
              <w:t>Action required</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5917" w:rsidP="00D45917">
            <w:pPr>
              <w:pStyle w:val="BodyText"/>
            </w:pPr>
            <w:r w:rsidRPr="00D45917">
              <w:t>Action required includes:</w:t>
            </w:r>
          </w:p>
          <w:p w:rsidR="00000000" w:rsidP="00D45917">
            <w:pPr>
              <w:pStyle w:val="ListBullet"/>
              <w:rPr>
                <w:lang w:val="en-NZ"/>
              </w:rPr>
            </w:pPr>
            <w:r w:rsidRPr="00D45917">
              <w:t xml:space="preserve">actions to align actual and planned rates of production and inventories. The actions </w:t>
            </w:r>
            <w:r w:rsidRPr="00D45917">
              <w:t>will vary and will depend on assessment of the discrepancy and the nature of the operation</w:t>
            </w:r>
          </w:p>
        </w:tc>
      </w:tr>
      <w:tr w:rsidTr="00D4591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5917">
            <w:pPr>
              <w:pStyle w:val="BodyText"/>
              <w:rPr>
                <w:lang w:val="en-NZ"/>
              </w:rPr>
            </w:pPr>
            <w:r w:rsidRPr="00D45917">
              <w:rPr>
                <w:rStyle w:val="SpecialBold"/>
              </w:rPr>
              <w:t>Stakeholders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5917" w:rsidP="00D45917">
            <w:pPr>
              <w:pStyle w:val="BodyText"/>
            </w:pPr>
            <w:r w:rsidRPr="00D45917">
              <w:t>Stakeholders include:</w:t>
            </w:r>
          </w:p>
          <w:p w:rsidR="00000000" w:rsidRPr="00D45917" w:rsidP="00D45917">
            <w:pPr>
              <w:pStyle w:val="ListBullet"/>
            </w:pPr>
            <w:r w:rsidRPr="00D45917">
              <w:t>managers</w:t>
            </w:r>
          </w:p>
          <w:p w:rsidR="00000000" w:rsidRPr="00D45917" w:rsidP="00D45917">
            <w:pPr>
              <w:pStyle w:val="ListBullet"/>
            </w:pPr>
            <w:r w:rsidRPr="00D45917">
              <w:t>supervisors</w:t>
            </w:r>
          </w:p>
          <w:p w:rsidR="00000000" w:rsidRPr="00D45917" w:rsidP="00D45917">
            <w:pPr>
              <w:pStyle w:val="ListBullet"/>
            </w:pPr>
            <w:r w:rsidRPr="00D45917">
              <w:t>employees</w:t>
            </w:r>
          </w:p>
          <w:p w:rsidR="00000000" w:rsidRPr="00D45917" w:rsidP="00D45917">
            <w:pPr>
              <w:pStyle w:val="ListBullet"/>
            </w:pPr>
            <w:r w:rsidRPr="00D45917">
              <w:t>shareholders</w:t>
            </w:r>
          </w:p>
          <w:p w:rsidR="00000000" w:rsidRPr="00D45917" w:rsidP="00D45917">
            <w:pPr>
              <w:pStyle w:val="ListBullet"/>
            </w:pPr>
            <w:r w:rsidRPr="00D45917">
              <w:t>occupational health and safety (OHS) mechanisms/representatives</w:t>
            </w:r>
          </w:p>
          <w:p w:rsidR="00000000" w:rsidRPr="00D45917" w:rsidP="00D45917">
            <w:pPr>
              <w:pStyle w:val="ListBullet"/>
            </w:pPr>
            <w:r w:rsidRPr="00D45917">
              <w:t>industrial relations</w:t>
            </w:r>
            <w:r w:rsidRPr="00D45917">
              <w:t xml:space="preserve"> mechanisms/representatives</w:t>
            </w:r>
          </w:p>
          <w:p w:rsidR="00000000" w:rsidRPr="00D45917" w:rsidP="00D45917">
            <w:pPr>
              <w:pStyle w:val="ListBullet"/>
            </w:pPr>
            <w:r w:rsidRPr="00D45917">
              <w:t>suppliers</w:t>
            </w:r>
          </w:p>
          <w:p w:rsidR="00000000" w:rsidRPr="00D45917" w:rsidP="00D45917">
            <w:pPr>
              <w:pStyle w:val="ListBullet"/>
            </w:pPr>
            <w:r w:rsidRPr="00D45917">
              <w:t>customers</w:t>
            </w:r>
          </w:p>
          <w:p w:rsidR="00000000" w:rsidRPr="00D45917" w:rsidP="00D45917">
            <w:pPr>
              <w:pStyle w:val="ListBullet"/>
            </w:pPr>
            <w:r w:rsidRPr="00D45917">
              <w:t>service providers</w:t>
            </w:r>
          </w:p>
        </w:tc>
      </w:tr>
    </w:tbl>
    <w:p w:rsidR="008C2BFB" w:rsidP="00D45917">
      <w:pPr>
        <w:pStyle w:val="BodyText"/>
      </w:pPr>
    </w:p>
    <w:p w:rsidR="008C2BFB" w:rsidP="00D45917">
      <w:pPr>
        <w:pStyle w:val="BodyText"/>
      </w:pPr>
    </w:p>
    <w:p w:rsidR="00000000" w:rsidRPr="00D45917" w:rsidP="00D45917">
      <w:pPr>
        <w:pStyle w:val="Heading1"/>
      </w:pPr>
      <w:bookmarkStart w:id="12" w:name="O_466892"/>
      <w:bookmarkEnd w:id="12"/>
      <w:r w:rsidRPr="00D45917">
        <w:t>Unit Sector(s)</w:t>
      </w:r>
    </w:p>
    <w:tbl>
      <w:tblPr>
        <w:tblW w:w="9354" w:type="dxa"/>
        <w:tblLayout w:type="fixed"/>
        <w:tblCellMar>
          <w:left w:w="62" w:type="dxa"/>
          <w:right w:w="62" w:type="dxa"/>
        </w:tblCellMar>
        <w:tblLook w:val="0000"/>
      </w:tblPr>
      <w:tblGrid>
        <w:gridCol w:w="2592"/>
        <w:gridCol w:w="6762"/>
      </w:tblGrid>
      <w:tr w:rsidTr="00D45917">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D45917">
            <w:pPr>
              <w:pStyle w:val="BodyText"/>
              <w:rPr>
                <w:lang w:val="en-NZ"/>
              </w:rPr>
            </w:pPr>
            <w:r w:rsidRPr="00D45917">
              <w:t>Unit sector</w:t>
            </w:r>
          </w:p>
        </w:tc>
        <w:tc>
          <w:tcPr>
            <w:tcW w:w="6762" w:type="dxa"/>
            <w:tcBorders>
              <w:top w:val="nil"/>
              <w:left w:val="nil"/>
              <w:bottom w:val="nil"/>
              <w:right w:val="nil"/>
            </w:tcBorders>
            <w:tcMar>
              <w:top w:w="0" w:type="dxa"/>
              <w:left w:w="62" w:type="dxa"/>
              <w:bottom w:w="0" w:type="dxa"/>
              <w:right w:w="62" w:type="dxa"/>
            </w:tcMar>
          </w:tcPr>
          <w:p w:rsidR="00000000" w:rsidRPr="00D45917" w:rsidP="00D45917">
            <w:pPr>
              <w:pStyle w:val="BodyText"/>
            </w:pPr>
            <w:r w:rsidRPr="00D45917">
              <w:t>Competitive systems and practices</w:t>
            </w:r>
          </w:p>
        </w:tc>
      </w:tr>
    </w:tbl>
    <w:p w:rsidR="00000000" w:rsidRPr="00D45917" w:rsidP="00D45917">
      <w:pPr>
        <w:pStyle w:val="BodyText"/>
      </w:pPr>
    </w:p>
    <w:p w:rsidR="00000000" w:rsidRPr="00D45917" w:rsidP="00D45917">
      <w:pPr>
        <w:pStyle w:val="AllowPageBreak"/>
      </w:pPr>
    </w:p>
    <w:p w:rsidR="00000000" w:rsidRPr="00D45917" w:rsidP="00D45917">
      <w:pPr>
        <w:pStyle w:val="Heading1"/>
      </w:pPr>
      <w:bookmarkStart w:id="13" w:name="O_466893"/>
      <w:bookmarkEnd w:id="13"/>
      <w:r w:rsidRPr="00D45917">
        <w:t>Custom Content Section</w:t>
      </w:r>
    </w:p>
    <w:p w:rsidR="00000000" w:rsidRPr="00D45917" w:rsidP="00D45917">
      <w:pPr>
        <w:pStyle w:val="BodyText"/>
      </w:pPr>
      <w:r w:rsidRPr="00D45917">
        <w:t>Not applicable.</w:t>
      </w:r>
    </w:p>
    <w:p w:rsidR="00000000" w:rsidRPr="00D45917" w:rsidP="00D45917"/>
    <w:sectPr w:rsidSect="00D4591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9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C2BFB" w:rsidP="008C2B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9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BFB" w:rsidP="00D459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C2BFB" w:rsidP="00D4591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C2BFB" w:rsidP="00D4591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9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C2BFB" w:rsidP="008C2BF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9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BFB" w:rsidP="00D45917">
    <w:pPr>
      <w:pStyle w:val="Header"/>
      <w:framePr w:wrap="around"/>
    </w:pPr>
    <w:r>
      <w:fldChar w:fldCharType="begin"/>
    </w:r>
    <w:r>
      <w:instrText xml:space="preserve"> TITLE   \* MERGEFORMAT </w:instrText>
    </w:r>
    <w:r>
      <w:fldChar w:fldCharType="separate"/>
    </w:r>
    <w:r>
      <w:t>MSS403023A Monitor a levelled pull system of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C2BFB" w:rsidP="00D4591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324BB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9EC83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CE4DF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591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45917"/>
    <w:pPr>
      <w:spacing w:before="360" w:after="60"/>
      <w:outlineLvl w:val="0"/>
    </w:pPr>
    <w:rPr>
      <w:sz w:val="32"/>
    </w:rPr>
  </w:style>
  <w:style w:type="paragraph" w:styleId="Heading2">
    <w:name w:val="heading 2"/>
    <w:basedOn w:val="HeadingBase"/>
    <w:next w:val="BodyText"/>
    <w:link w:val="Heading2Char"/>
    <w:qFormat/>
    <w:rsid w:val="00D45917"/>
    <w:pPr>
      <w:keepLines/>
      <w:spacing w:before="240" w:after="120"/>
      <w:outlineLvl w:val="1"/>
    </w:pPr>
    <w:rPr>
      <w:sz w:val="28"/>
      <w:szCs w:val="40"/>
    </w:rPr>
  </w:style>
  <w:style w:type="paragraph" w:styleId="Heading3">
    <w:name w:val="heading 3"/>
    <w:basedOn w:val="HeadingBase"/>
    <w:next w:val="BodyText"/>
    <w:link w:val="Heading3Char"/>
    <w:qFormat/>
    <w:rsid w:val="00D45917"/>
    <w:pPr>
      <w:spacing w:before="180" w:after="120"/>
      <w:outlineLvl w:val="2"/>
    </w:pPr>
    <w:rPr>
      <w:spacing w:val="-10"/>
      <w:kern w:val="32"/>
    </w:rPr>
  </w:style>
  <w:style w:type="paragraph" w:styleId="Heading4">
    <w:name w:val="heading 4"/>
    <w:basedOn w:val="HeadingBase"/>
    <w:next w:val="BodyText"/>
    <w:link w:val="Heading4Char"/>
    <w:qFormat/>
    <w:rsid w:val="00D45917"/>
    <w:pPr>
      <w:spacing w:before="160" w:after="120"/>
      <w:outlineLvl w:val="3"/>
    </w:pPr>
    <w:rPr>
      <w:sz w:val="22"/>
    </w:rPr>
  </w:style>
  <w:style w:type="paragraph" w:styleId="Heading5">
    <w:name w:val="heading 5"/>
    <w:basedOn w:val="HeadingBase"/>
    <w:next w:val="Normal"/>
    <w:link w:val="Heading5Char"/>
    <w:qFormat/>
    <w:rsid w:val="00D45917"/>
    <w:pPr>
      <w:spacing w:before="80"/>
      <w:outlineLvl w:val="4"/>
    </w:pPr>
    <w:rPr>
      <w:color w:val="918585"/>
      <w:sz w:val="20"/>
    </w:rPr>
  </w:style>
  <w:style w:type="paragraph" w:styleId="Heading6">
    <w:name w:val="heading 6"/>
    <w:basedOn w:val="HeadingBase"/>
    <w:next w:val="Normal"/>
    <w:link w:val="Heading6Char"/>
    <w:qFormat/>
    <w:rsid w:val="00D45917"/>
    <w:pPr>
      <w:spacing w:before="60"/>
      <w:outlineLvl w:val="5"/>
    </w:pPr>
    <w:rPr>
      <w:color w:val="918585"/>
      <w:sz w:val="20"/>
    </w:rPr>
  </w:style>
  <w:style w:type="paragraph" w:styleId="Heading7">
    <w:name w:val="heading 7"/>
    <w:basedOn w:val="Normal"/>
    <w:next w:val="Normal"/>
    <w:link w:val="Heading7Char"/>
    <w:qFormat/>
    <w:rsid w:val="00D45917"/>
    <w:pPr>
      <w:ind w:left="720"/>
      <w:outlineLvl w:val="6"/>
    </w:pPr>
    <w:rPr>
      <w:i/>
    </w:rPr>
  </w:style>
  <w:style w:type="paragraph" w:styleId="Heading8">
    <w:name w:val="heading 8"/>
    <w:basedOn w:val="Normal"/>
    <w:next w:val="Normal"/>
    <w:link w:val="Heading8Char"/>
    <w:qFormat/>
    <w:rsid w:val="00D45917"/>
    <w:pPr>
      <w:ind w:left="720"/>
      <w:outlineLvl w:val="7"/>
    </w:pPr>
    <w:rPr>
      <w:i/>
    </w:rPr>
  </w:style>
  <w:style w:type="paragraph" w:styleId="Heading9">
    <w:name w:val="heading 9"/>
    <w:basedOn w:val="Normal"/>
    <w:next w:val="Normal"/>
    <w:link w:val="Heading9Char"/>
    <w:qFormat/>
    <w:rsid w:val="00D45917"/>
    <w:pPr>
      <w:ind w:left="720"/>
      <w:outlineLvl w:val="8"/>
    </w:pPr>
    <w:rPr>
      <w:i/>
    </w:rPr>
  </w:style>
  <w:style w:type="character" w:default="1" w:styleId="DefaultParagraphFont">
    <w:name w:val="Default Paragraph Font"/>
    <w:uiPriority w:val="1"/>
    <w:unhideWhenUsed/>
    <w:rsid w:val="00D459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5917"/>
  </w:style>
  <w:style w:type="character" w:customStyle="1" w:styleId="Heading1Char">
    <w:name w:val="Heading 1 Char"/>
    <w:link w:val="Heading1"/>
    <w:rsid w:val="00D45917"/>
    <w:rPr>
      <w:rFonts w:ascii="Times New Roman" w:eastAsia="Times New Roman" w:hAnsi="Times New Roman" w:cs="Times New Roman"/>
      <w:b/>
      <w:sz w:val="32"/>
      <w:szCs w:val="20"/>
      <w:lang w:eastAsia="en-US"/>
    </w:rPr>
  </w:style>
  <w:style w:type="paragraph" w:styleId="BodyText">
    <w:name w:val="Body Text"/>
    <w:basedOn w:val="Normal"/>
    <w:link w:val="BodyTextChar"/>
    <w:rsid w:val="00D45917"/>
    <w:pPr>
      <w:spacing w:before="120" w:after="120"/>
      <w:contextualSpacing/>
    </w:pPr>
    <w:rPr>
      <w:rFonts w:ascii="Times New Roman" w:hAnsi="Times New Roman"/>
      <w:sz w:val="24"/>
      <w:szCs w:val="22"/>
    </w:rPr>
  </w:style>
  <w:style w:type="character" w:customStyle="1" w:styleId="BodyTextChar">
    <w:name w:val="Body Text Char"/>
    <w:link w:val="BodyText"/>
    <w:rsid w:val="00D45917"/>
    <w:rPr>
      <w:rFonts w:ascii="Times New Roman" w:eastAsia="Times New Roman" w:hAnsi="Times New Roman" w:cs="Times New Roman"/>
      <w:sz w:val="24"/>
      <w:lang w:val="en-US" w:eastAsia="en-US"/>
    </w:rPr>
  </w:style>
  <w:style w:type="paragraph" w:styleId="Footer">
    <w:name w:val="footer"/>
    <w:basedOn w:val="Normal"/>
    <w:link w:val="FooterChar"/>
    <w:rsid w:val="00D459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45917"/>
    <w:rPr>
      <w:rFonts w:ascii="Times New Roman" w:eastAsia="Times New Roman" w:hAnsi="Times New Roman" w:cs="Times New Roman"/>
      <w:sz w:val="16"/>
      <w:lang w:val="en-US" w:eastAsia="en-US"/>
    </w:rPr>
  </w:style>
  <w:style w:type="paragraph" w:styleId="ListBullet">
    <w:name w:val="List Bullet"/>
    <w:basedOn w:val="List"/>
    <w:rsid w:val="00D45917"/>
    <w:pPr>
      <w:numPr>
        <w:numId w:val="14"/>
      </w:numPr>
      <w:tabs>
        <w:tab w:val="clear" w:pos="340"/>
      </w:tabs>
      <w:spacing w:before="40" w:after="40"/>
    </w:pPr>
  </w:style>
  <w:style w:type="character" w:customStyle="1" w:styleId="SpecialBold">
    <w:name w:val="Special Bold"/>
    <w:rsid w:val="00D45917"/>
    <w:rPr>
      <w:b/>
      <w:spacing w:val="0"/>
    </w:rPr>
  </w:style>
  <w:style w:type="paragraph" w:styleId="ListBullet2">
    <w:name w:val="List Bullet 2"/>
    <w:basedOn w:val="List2"/>
    <w:rsid w:val="00D45917"/>
    <w:pPr>
      <w:numPr>
        <w:numId w:val="15"/>
      </w:numPr>
      <w:tabs>
        <w:tab w:val="clear" w:pos="680"/>
      </w:tabs>
    </w:pPr>
  </w:style>
  <w:style w:type="paragraph" w:styleId="Header">
    <w:name w:val="header"/>
    <w:basedOn w:val="Normal"/>
    <w:link w:val="HeaderChar"/>
    <w:rsid w:val="00D459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45917"/>
    <w:rPr>
      <w:rFonts w:ascii="Times New Roman" w:eastAsia="Times New Roman" w:hAnsi="Times New Roman" w:cs="Times New Roman"/>
      <w:sz w:val="16"/>
      <w:szCs w:val="20"/>
      <w:lang w:val="en-GB" w:eastAsia="en-US"/>
    </w:rPr>
  </w:style>
  <w:style w:type="character" w:styleId="Emphasis">
    <w:name w:val="Emphasis"/>
    <w:qFormat/>
    <w:rsid w:val="00D45917"/>
    <w:rPr>
      <w:i/>
    </w:rPr>
  </w:style>
  <w:style w:type="paragraph" w:customStyle="1" w:styleId="SuperHeading">
    <w:name w:val="SuperHeading"/>
    <w:basedOn w:val="Normal"/>
    <w:rsid w:val="00D45917"/>
    <w:pPr>
      <w:spacing w:before="240" w:after="120"/>
      <w:outlineLvl w:val="0"/>
    </w:pPr>
    <w:rPr>
      <w:rFonts w:ascii="Times New Roman" w:hAnsi="Times New Roman"/>
      <w:b/>
      <w:sz w:val="28"/>
    </w:rPr>
  </w:style>
  <w:style w:type="paragraph" w:customStyle="1" w:styleId="AllowPageBreak">
    <w:name w:val="AllowPageBreak"/>
    <w:rsid w:val="00D4591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45917"/>
    <w:pPr>
      <w:numPr>
        <w:numId w:val="3"/>
      </w:numPr>
      <w:tabs>
        <w:tab w:val="clear" w:pos="1021"/>
      </w:tabs>
      <w:ind w:left="1037" w:hanging="357"/>
    </w:pPr>
  </w:style>
  <w:style w:type="character" w:customStyle="1" w:styleId="Heading2Char">
    <w:name w:val="Heading 2 Char"/>
    <w:link w:val="Heading2"/>
    <w:rsid w:val="00D45917"/>
    <w:rPr>
      <w:rFonts w:ascii="Times New Roman" w:eastAsia="Times New Roman" w:hAnsi="Times New Roman" w:cs="Times New Roman"/>
      <w:b/>
      <w:sz w:val="28"/>
      <w:szCs w:val="40"/>
      <w:lang w:eastAsia="en-US"/>
    </w:rPr>
  </w:style>
  <w:style w:type="character" w:customStyle="1" w:styleId="Heading3Char">
    <w:name w:val="Heading 3 Char"/>
    <w:link w:val="Heading3"/>
    <w:rsid w:val="00D4591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45917"/>
    <w:rPr>
      <w:rFonts w:ascii="Times New Roman" w:eastAsia="Times New Roman" w:hAnsi="Times New Roman" w:cs="Times New Roman"/>
      <w:b/>
      <w:szCs w:val="20"/>
      <w:lang w:eastAsia="en-US"/>
    </w:rPr>
  </w:style>
  <w:style w:type="character" w:customStyle="1" w:styleId="Heading5Char">
    <w:name w:val="Heading 5 Char"/>
    <w:link w:val="Heading5"/>
    <w:rsid w:val="00D4591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459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591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4591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45917"/>
    <w:rPr>
      <w:rFonts w:ascii="Courier New" w:eastAsia="Times New Roman" w:hAnsi="Courier New" w:cs="Times New Roman"/>
      <w:i/>
      <w:szCs w:val="20"/>
      <w:lang w:val="en-US" w:eastAsia="en-US"/>
    </w:rPr>
  </w:style>
  <w:style w:type="paragraph" w:customStyle="1" w:styleId="HeadingBase">
    <w:name w:val="Heading Base"/>
    <w:rsid w:val="00D459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5917"/>
    <w:pPr>
      <w:tabs>
        <w:tab w:val="right" w:leader="dot" w:pos="9072"/>
      </w:tabs>
      <w:ind w:left="567"/>
    </w:pPr>
    <w:rPr>
      <w:szCs w:val="22"/>
    </w:rPr>
  </w:style>
  <w:style w:type="paragraph" w:customStyle="1" w:styleId="TOCBase">
    <w:name w:val="TOC Base"/>
    <w:rsid w:val="00D459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5917"/>
    <w:pPr>
      <w:tabs>
        <w:tab w:val="right" w:leader="dot" w:pos="9072"/>
      </w:tabs>
      <w:spacing w:before="40" w:after="40"/>
      <w:ind w:left="284"/>
    </w:pPr>
    <w:rPr>
      <w:rFonts w:ascii="Times New Roman" w:hAnsi="Times New Roman"/>
    </w:rPr>
  </w:style>
  <w:style w:type="paragraph" w:styleId="TOC1">
    <w:name w:val="toc 1"/>
    <w:basedOn w:val="TOCBase"/>
    <w:next w:val="Normal"/>
    <w:rsid w:val="00D4591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45917"/>
    <w:pPr>
      <w:spacing w:before="5040"/>
      <w:jc w:val="center"/>
    </w:pPr>
    <w:rPr>
      <w:sz w:val="48"/>
      <w:szCs w:val="72"/>
      <w:lang w:val="en-US"/>
    </w:rPr>
  </w:style>
  <w:style w:type="character" w:customStyle="1" w:styleId="TitleChar">
    <w:name w:val="Title Char"/>
    <w:link w:val="Title"/>
    <w:rsid w:val="00D459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5917"/>
    <w:pPr>
      <w:tabs>
        <w:tab w:val="left" w:pos="3600"/>
        <w:tab w:val="left" w:pos="3958"/>
      </w:tabs>
    </w:pPr>
  </w:style>
  <w:style w:type="paragraph" w:styleId="List">
    <w:name w:val="List"/>
    <w:basedOn w:val="BodyText"/>
    <w:next w:val="BodyText"/>
    <w:rsid w:val="00D45917"/>
    <w:pPr>
      <w:tabs>
        <w:tab w:val="left" w:pos="340"/>
      </w:tabs>
      <w:spacing w:before="60" w:after="60"/>
      <w:ind w:left="340" w:hanging="340"/>
    </w:pPr>
  </w:style>
  <w:style w:type="paragraph" w:customStyle="1" w:styleId="Note">
    <w:name w:val="Note"/>
    <w:basedOn w:val="BodyText"/>
    <w:rsid w:val="00D459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45917"/>
    <w:pPr>
      <w:framePr w:wrap="auto" w:hAnchor="text" w:y="6049"/>
    </w:pPr>
    <w:rPr>
      <w:color w:val="000000"/>
      <w:sz w:val="40"/>
    </w:rPr>
  </w:style>
  <w:style w:type="paragraph" w:customStyle="1" w:styleId="TOCTitle">
    <w:name w:val="TOCTitle"/>
    <w:basedOn w:val="Heading1"/>
    <w:rsid w:val="00D45917"/>
    <w:pPr>
      <w:spacing w:after="240"/>
      <w:jc w:val="center"/>
      <w:outlineLvl w:val="9"/>
    </w:pPr>
    <w:rPr>
      <w:caps/>
    </w:rPr>
  </w:style>
  <w:style w:type="paragraph" w:customStyle="1" w:styleId="Version">
    <w:name w:val="Version"/>
    <w:rsid w:val="00D4591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45917"/>
    <w:pPr>
      <w:keepNext w:val="0"/>
      <w:tabs>
        <w:tab w:val="right" w:pos="4176"/>
      </w:tabs>
      <w:ind w:left="198" w:hanging="198"/>
    </w:pPr>
    <w:rPr>
      <w:rFonts w:ascii="Garamond" w:hAnsi="Garamond"/>
    </w:rPr>
  </w:style>
  <w:style w:type="paragraph" w:styleId="IndexHeading">
    <w:name w:val="index heading"/>
    <w:basedOn w:val="Normal"/>
    <w:next w:val="Index1"/>
    <w:semiHidden/>
    <w:rsid w:val="00D45917"/>
    <w:pPr>
      <w:spacing w:before="120" w:after="120"/>
    </w:pPr>
    <w:rPr>
      <w:rFonts w:ascii="Arial" w:hAnsi="Arial"/>
      <w:b/>
      <w:color w:val="918585"/>
      <w:sz w:val="24"/>
    </w:rPr>
  </w:style>
  <w:style w:type="paragraph" w:customStyle="1" w:styleId="Chapter">
    <w:name w:val="Chapter"/>
    <w:basedOn w:val="Normal"/>
    <w:rsid w:val="00D45917"/>
    <w:pPr>
      <w:spacing w:before="240"/>
    </w:pPr>
    <w:rPr>
      <w:rFonts w:ascii="Times New Roman" w:hAnsi="Times New Roman"/>
      <w:smallCaps/>
      <w:spacing w:val="80"/>
      <w:sz w:val="28"/>
    </w:rPr>
  </w:style>
  <w:style w:type="paragraph" w:customStyle="1" w:styleId="InChapter">
    <w:name w:val="InChapter"/>
    <w:basedOn w:val="Heading3"/>
    <w:rsid w:val="00D45917"/>
    <w:pPr>
      <w:spacing w:after="240"/>
      <w:outlineLvl w:val="9"/>
    </w:pPr>
    <w:rPr>
      <w:noProof/>
    </w:rPr>
  </w:style>
  <w:style w:type="paragraph" w:styleId="Index2">
    <w:name w:val="index 2"/>
    <w:basedOn w:val="Normal"/>
    <w:next w:val="Normal"/>
    <w:semiHidden/>
    <w:rsid w:val="00D45917"/>
    <w:pPr>
      <w:tabs>
        <w:tab w:val="right" w:pos="4176"/>
      </w:tabs>
      <w:ind w:left="568" w:hanging="284"/>
    </w:pPr>
    <w:rPr>
      <w:rFonts w:ascii="Garamond" w:hAnsi="Garamond"/>
    </w:rPr>
  </w:style>
  <w:style w:type="paragraph" w:customStyle="1" w:styleId="Byline">
    <w:name w:val="Byline"/>
    <w:rsid w:val="00D459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5917"/>
    <w:pPr>
      <w:tabs>
        <w:tab w:val="clear" w:pos="3600"/>
        <w:tab w:val="clear" w:pos="3958"/>
      </w:tabs>
      <w:jc w:val="right"/>
    </w:pPr>
  </w:style>
  <w:style w:type="paragraph" w:styleId="Caption">
    <w:name w:val="caption"/>
    <w:basedOn w:val="BodyText"/>
    <w:next w:val="Normal"/>
    <w:qFormat/>
    <w:rsid w:val="00D45917"/>
    <w:pPr>
      <w:framePr w:w="2268" w:hSpace="181" w:vSpace="181" w:wrap="around" w:vAnchor="text" w:hAnchor="page" w:x="1135" w:y="285" w:anchorLock="1"/>
    </w:pPr>
    <w:rPr>
      <w:i/>
    </w:rPr>
  </w:style>
  <w:style w:type="paragraph" w:customStyle="1" w:styleId="MiniTOCTitle">
    <w:name w:val="MiniTOCTitle"/>
    <w:basedOn w:val="Heading4"/>
    <w:rsid w:val="00D45917"/>
    <w:pPr>
      <w:spacing w:before="240"/>
      <w:outlineLvl w:val="9"/>
    </w:pPr>
    <w:rPr>
      <w:noProof/>
      <w:sz w:val="24"/>
    </w:rPr>
  </w:style>
  <w:style w:type="paragraph" w:customStyle="1" w:styleId="MiniTOCItem">
    <w:name w:val="MiniTOCItem"/>
    <w:basedOn w:val="ListBullet"/>
    <w:rsid w:val="00D45917"/>
    <w:pPr>
      <w:numPr>
        <w:numId w:val="0"/>
      </w:numPr>
      <w:tabs>
        <w:tab w:val="right" w:leader="dot" w:pos="6521"/>
      </w:tabs>
      <w:spacing w:before="0" w:after="0"/>
    </w:pPr>
  </w:style>
  <w:style w:type="paragraph" w:customStyle="1" w:styleId="TOFTitle">
    <w:name w:val="TOFTitle"/>
    <w:basedOn w:val="TOCTitle"/>
    <w:rsid w:val="00D45917"/>
  </w:style>
  <w:style w:type="paragraph" w:styleId="TableofFigures">
    <w:name w:val="table of figures"/>
    <w:basedOn w:val="Normal"/>
    <w:next w:val="Normal"/>
    <w:semiHidden/>
    <w:rsid w:val="00D45917"/>
    <w:pPr>
      <w:tabs>
        <w:tab w:val="right" w:leader="dot" w:pos="9072"/>
      </w:tabs>
      <w:ind w:left="970" w:hanging="403"/>
    </w:pPr>
    <w:rPr>
      <w:rFonts w:ascii="Times New Roman" w:hAnsi="Times New Roman"/>
      <w:b/>
    </w:rPr>
  </w:style>
  <w:style w:type="paragraph" w:styleId="ListNumber">
    <w:name w:val="List Number"/>
    <w:basedOn w:val="List"/>
    <w:rsid w:val="00D45917"/>
    <w:pPr>
      <w:numPr>
        <w:numId w:val="12"/>
      </w:numPr>
    </w:pPr>
  </w:style>
  <w:style w:type="character" w:customStyle="1" w:styleId="WingdingSymbols">
    <w:name w:val="Wingding Symbols"/>
    <w:rsid w:val="00D45917"/>
    <w:rPr>
      <w:rFonts w:ascii="Wingdings" w:hAnsi="Wingdings"/>
    </w:rPr>
  </w:style>
  <w:style w:type="paragraph" w:customStyle="1" w:styleId="TableHeading">
    <w:name w:val="Table Heading"/>
    <w:basedOn w:val="HeadingBase"/>
    <w:rsid w:val="00D45917"/>
    <w:pPr>
      <w:keepLines/>
      <w:pBdr>
        <w:bottom w:val="single" w:sz="6" w:space="1" w:color="918585"/>
      </w:pBdr>
      <w:spacing w:before="240"/>
    </w:pPr>
  </w:style>
  <w:style w:type="character" w:customStyle="1" w:styleId="HotSpot">
    <w:name w:val="HotSpot"/>
    <w:rsid w:val="00D45917"/>
    <w:rPr>
      <w:color w:val="0033CC"/>
      <w:u w:val="none"/>
    </w:rPr>
  </w:style>
  <w:style w:type="paragraph" w:customStyle="1" w:styleId="BodyTextRight">
    <w:name w:val="Body Text Right"/>
    <w:basedOn w:val="BodyText"/>
    <w:rsid w:val="00D45917"/>
    <w:pPr>
      <w:spacing w:before="0" w:after="0"/>
      <w:jc w:val="right"/>
    </w:pPr>
  </w:style>
  <w:style w:type="paragraph" w:styleId="Index3">
    <w:name w:val="index 3"/>
    <w:basedOn w:val="ListNumber2"/>
    <w:next w:val="Normal"/>
    <w:semiHidden/>
    <w:rsid w:val="00D45917"/>
    <w:pPr>
      <w:numPr>
        <w:numId w:val="0"/>
      </w:numPr>
      <w:tabs>
        <w:tab w:val="right" w:leader="dot" w:pos="4176"/>
      </w:tabs>
    </w:pPr>
  </w:style>
  <w:style w:type="paragraph" w:styleId="ListNumber2">
    <w:name w:val="List Number 2"/>
    <w:basedOn w:val="List2"/>
    <w:rsid w:val="00D45917"/>
    <w:pPr>
      <w:numPr>
        <w:numId w:val="11"/>
      </w:numPr>
      <w:tabs>
        <w:tab w:val="clear" w:pos="1060"/>
      </w:tabs>
    </w:pPr>
  </w:style>
  <w:style w:type="paragraph" w:customStyle="1" w:styleId="MarginNote">
    <w:name w:val="Margin Note"/>
    <w:basedOn w:val="BodyText"/>
    <w:rsid w:val="00D459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59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4591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45917"/>
    <w:rPr>
      <w:sz w:val="32"/>
    </w:rPr>
  </w:style>
  <w:style w:type="paragraph" w:customStyle="1" w:styleId="HeadingProcedure">
    <w:name w:val="Heading Procedure"/>
    <w:basedOn w:val="HeadingBase"/>
    <w:next w:val="Normal"/>
    <w:rsid w:val="00D45917"/>
    <w:pPr>
      <w:tabs>
        <w:tab w:val="left" w:pos="0"/>
      </w:tabs>
      <w:spacing w:before="120" w:after="60"/>
    </w:pPr>
    <w:rPr>
      <w:i/>
      <w:color w:val="918585"/>
      <w:sz w:val="22"/>
    </w:rPr>
  </w:style>
  <w:style w:type="paragraph" w:customStyle="1" w:styleId="TableBodyText">
    <w:name w:val="Table Body Text"/>
    <w:basedOn w:val="BodyText"/>
    <w:rsid w:val="00D45917"/>
    <w:pPr>
      <w:spacing w:before="60" w:after="60"/>
    </w:pPr>
  </w:style>
  <w:style w:type="paragraph" w:styleId="ListContinue">
    <w:name w:val="List Continue"/>
    <w:basedOn w:val="List"/>
    <w:rsid w:val="00D45917"/>
    <w:pPr>
      <w:ind w:firstLine="0"/>
    </w:pPr>
  </w:style>
  <w:style w:type="paragraph" w:customStyle="1" w:styleId="ListNote">
    <w:name w:val="List Note"/>
    <w:basedOn w:val="List"/>
    <w:rsid w:val="00D45917"/>
    <w:pPr>
      <w:pBdr>
        <w:top w:val="single" w:sz="6" w:space="2" w:color="918585"/>
        <w:bottom w:val="single" w:sz="6" w:space="2" w:color="918585"/>
      </w:pBdr>
      <w:tabs>
        <w:tab w:val="left" w:pos="1021"/>
      </w:tabs>
      <w:ind w:firstLine="0"/>
    </w:pPr>
  </w:style>
  <w:style w:type="paragraph" w:customStyle="1" w:styleId="Warning">
    <w:name w:val="Warning"/>
    <w:basedOn w:val="BodyText"/>
    <w:rsid w:val="00D45917"/>
    <w:pPr>
      <w:shd w:val="clear" w:color="auto" w:fill="D9D9D9"/>
      <w:tabs>
        <w:tab w:val="left" w:pos="992"/>
      </w:tabs>
      <w:ind w:left="119" w:right="119"/>
    </w:pPr>
    <w:rPr>
      <w:sz w:val="20"/>
    </w:rPr>
  </w:style>
  <w:style w:type="paragraph" w:customStyle="1" w:styleId="MarginIcons">
    <w:name w:val="Margin Icons"/>
    <w:basedOn w:val="BodyText"/>
    <w:rsid w:val="00D4591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45917"/>
    <w:rPr>
      <w:rFonts w:ascii="Courier New" w:hAnsi="Courier New"/>
    </w:rPr>
  </w:style>
  <w:style w:type="paragraph" w:customStyle="1" w:styleId="NoteBullet">
    <w:name w:val="Note Bullet"/>
    <w:basedOn w:val="Note"/>
    <w:rsid w:val="00D45917"/>
    <w:pPr>
      <w:tabs>
        <w:tab w:val="clear" w:pos="680"/>
      </w:tabs>
      <w:spacing w:before="60" w:after="60"/>
    </w:pPr>
  </w:style>
  <w:style w:type="paragraph" w:customStyle="1" w:styleId="SubHeading2">
    <w:name w:val="SubHeading2"/>
    <w:basedOn w:val="HeadingBase"/>
    <w:rsid w:val="00D45917"/>
    <w:pPr>
      <w:spacing w:before="240" w:after="60"/>
    </w:pPr>
    <w:rPr>
      <w:sz w:val="20"/>
    </w:rPr>
  </w:style>
  <w:style w:type="paragraph" w:customStyle="1" w:styleId="SubHeading1">
    <w:name w:val="SubHeading1"/>
    <w:basedOn w:val="HeadingBase"/>
    <w:rsid w:val="00D45917"/>
    <w:pPr>
      <w:spacing w:before="240" w:after="60"/>
    </w:pPr>
    <w:rPr>
      <w:color w:val="918585"/>
      <w:sz w:val="22"/>
    </w:rPr>
  </w:style>
  <w:style w:type="paragraph" w:customStyle="1" w:styleId="SideHeading">
    <w:name w:val="Side Heading"/>
    <w:basedOn w:val="HeadingBase"/>
    <w:rsid w:val="00D459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5917"/>
    <w:pPr>
      <w:numPr>
        <w:numId w:val="13"/>
      </w:numPr>
    </w:pPr>
  </w:style>
  <w:style w:type="paragraph" w:styleId="PlainText">
    <w:name w:val="Plain Text"/>
    <w:basedOn w:val="Normal"/>
    <w:link w:val="PlainTextChar"/>
    <w:rsid w:val="00D45917"/>
    <w:rPr>
      <w:sz w:val="20"/>
    </w:rPr>
  </w:style>
  <w:style w:type="character" w:customStyle="1" w:styleId="PlainTextChar">
    <w:name w:val="Plain Text Char"/>
    <w:basedOn w:val="DefaultParagraphFont"/>
    <w:link w:val="PlainText"/>
    <w:rsid w:val="00D45917"/>
    <w:rPr>
      <w:rFonts w:ascii="Courier New" w:eastAsia="Times New Roman" w:hAnsi="Courier New" w:cs="Times New Roman"/>
      <w:sz w:val="20"/>
      <w:szCs w:val="20"/>
      <w:lang w:val="en-US" w:eastAsia="en-US"/>
    </w:rPr>
  </w:style>
  <w:style w:type="character" w:customStyle="1" w:styleId="MenuOption">
    <w:name w:val="Menu Option"/>
    <w:rsid w:val="00D45917"/>
    <w:rPr>
      <w:b/>
      <w:smallCaps/>
    </w:rPr>
  </w:style>
  <w:style w:type="paragraph" w:customStyle="1" w:styleId="TableListNumber">
    <w:name w:val="Table List Number"/>
    <w:basedOn w:val="ListNumber"/>
    <w:rsid w:val="00D45917"/>
    <w:pPr>
      <w:numPr>
        <w:numId w:val="0"/>
      </w:numPr>
    </w:pPr>
  </w:style>
  <w:style w:type="paragraph" w:styleId="TOC4">
    <w:name w:val="toc 4"/>
    <w:basedOn w:val="TOCBase"/>
    <w:next w:val="Normal"/>
    <w:semiHidden/>
    <w:rsid w:val="00D45917"/>
    <w:pPr>
      <w:tabs>
        <w:tab w:val="right" w:leader="dot" w:pos="9071"/>
      </w:tabs>
      <w:ind w:left="1701"/>
    </w:pPr>
  </w:style>
  <w:style w:type="paragraph" w:customStyle="1" w:styleId="ListAlpha">
    <w:name w:val="List Alpha"/>
    <w:basedOn w:val="List"/>
    <w:rsid w:val="00D45917"/>
    <w:pPr>
      <w:numPr>
        <w:numId w:val="10"/>
      </w:numPr>
    </w:pPr>
  </w:style>
  <w:style w:type="paragraph" w:customStyle="1" w:styleId="ListAlpha2">
    <w:name w:val="List Alpha 2"/>
    <w:basedOn w:val="List2"/>
    <w:rsid w:val="00D45917"/>
    <w:pPr>
      <w:numPr>
        <w:numId w:val="9"/>
      </w:numPr>
    </w:pPr>
  </w:style>
  <w:style w:type="paragraph" w:styleId="List2">
    <w:name w:val="List 2"/>
    <w:basedOn w:val="BodyText"/>
    <w:rsid w:val="00D45917"/>
    <w:pPr>
      <w:tabs>
        <w:tab w:val="left" w:pos="680"/>
      </w:tabs>
      <w:spacing w:before="60" w:after="60"/>
      <w:ind w:left="680" w:hanging="340"/>
    </w:pPr>
  </w:style>
  <w:style w:type="paragraph" w:styleId="List3">
    <w:name w:val="List 3"/>
    <w:basedOn w:val="BodyText"/>
    <w:rsid w:val="00D45917"/>
    <w:pPr>
      <w:tabs>
        <w:tab w:val="left" w:pos="1021"/>
      </w:tabs>
      <w:spacing w:before="60" w:after="60"/>
      <w:ind w:left="1020" w:hanging="340"/>
    </w:pPr>
  </w:style>
  <w:style w:type="paragraph" w:styleId="List4">
    <w:name w:val="List 4"/>
    <w:basedOn w:val="BodyText"/>
    <w:rsid w:val="00D45917"/>
    <w:pPr>
      <w:tabs>
        <w:tab w:val="left" w:pos="1361"/>
      </w:tabs>
      <w:spacing w:before="60" w:after="60"/>
      <w:ind w:left="1361" w:hanging="340"/>
    </w:pPr>
  </w:style>
  <w:style w:type="paragraph" w:styleId="List5">
    <w:name w:val="List 5"/>
    <w:basedOn w:val="BodyText"/>
    <w:rsid w:val="00D45917"/>
    <w:pPr>
      <w:tabs>
        <w:tab w:val="left" w:pos="1701"/>
      </w:tabs>
      <w:spacing w:before="60" w:after="60"/>
      <w:ind w:left="1701" w:hanging="340"/>
    </w:pPr>
  </w:style>
  <w:style w:type="paragraph" w:styleId="ListBullet4">
    <w:name w:val="List Bullet 4"/>
    <w:basedOn w:val="List4"/>
    <w:rsid w:val="00D45917"/>
    <w:pPr>
      <w:numPr>
        <w:numId w:val="4"/>
      </w:numPr>
    </w:pPr>
  </w:style>
  <w:style w:type="paragraph" w:styleId="ListBullet5">
    <w:name w:val="List Bullet 5"/>
    <w:basedOn w:val="List5"/>
    <w:rsid w:val="00D45917"/>
    <w:pPr>
      <w:numPr>
        <w:numId w:val="5"/>
      </w:numPr>
    </w:pPr>
  </w:style>
  <w:style w:type="paragraph" w:styleId="ListContinue2">
    <w:name w:val="List Continue 2"/>
    <w:basedOn w:val="List2"/>
    <w:rsid w:val="00D45917"/>
    <w:pPr>
      <w:ind w:firstLine="0"/>
    </w:pPr>
  </w:style>
  <w:style w:type="paragraph" w:styleId="ListContinue3">
    <w:name w:val="List Continue 3"/>
    <w:basedOn w:val="List3"/>
    <w:rsid w:val="00D45917"/>
    <w:pPr>
      <w:ind w:left="1021" w:firstLine="0"/>
    </w:pPr>
  </w:style>
  <w:style w:type="paragraph" w:styleId="ListContinue4">
    <w:name w:val="List Continue 4"/>
    <w:basedOn w:val="List4"/>
    <w:rsid w:val="00D45917"/>
    <w:pPr>
      <w:ind w:firstLine="0"/>
    </w:pPr>
  </w:style>
  <w:style w:type="paragraph" w:styleId="ListContinue5">
    <w:name w:val="List Continue 5"/>
    <w:basedOn w:val="List5"/>
    <w:rsid w:val="00D45917"/>
    <w:pPr>
      <w:ind w:firstLine="0"/>
    </w:pPr>
  </w:style>
  <w:style w:type="paragraph" w:styleId="ListNumber3">
    <w:name w:val="List Number 3"/>
    <w:basedOn w:val="List3"/>
    <w:rsid w:val="00D45917"/>
    <w:pPr>
      <w:numPr>
        <w:numId w:val="6"/>
      </w:numPr>
    </w:pPr>
  </w:style>
  <w:style w:type="paragraph" w:styleId="ListNumber4">
    <w:name w:val="List Number 4"/>
    <w:basedOn w:val="List4"/>
    <w:rsid w:val="00D45917"/>
    <w:pPr>
      <w:numPr>
        <w:numId w:val="7"/>
      </w:numPr>
    </w:pPr>
  </w:style>
  <w:style w:type="paragraph" w:styleId="ListNumber5">
    <w:name w:val="List Number 5"/>
    <w:basedOn w:val="List5"/>
    <w:rsid w:val="00D45917"/>
    <w:pPr>
      <w:numPr>
        <w:numId w:val="8"/>
      </w:numPr>
    </w:pPr>
  </w:style>
  <w:style w:type="paragraph" w:styleId="BlockText">
    <w:name w:val="Block Text"/>
    <w:basedOn w:val="Normal"/>
    <w:rsid w:val="00D45917"/>
    <w:pPr>
      <w:spacing w:after="120"/>
      <w:ind w:left="1440" w:right="1440"/>
    </w:pPr>
  </w:style>
  <w:style w:type="character" w:customStyle="1" w:styleId="Subscript">
    <w:name w:val="Subscript"/>
    <w:rsid w:val="00D45917"/>
    <w:rPr>
      <w:sz w:val="16"/>
      <w:vertAlign w:val="subscript"/>
    </w:rPr>
  </w:style>
  <w:style w:type="character" w:customStyle="1" w:styleId="Superscript">
    <w:name w:val="Superscript"/>
    <w:rsid w:val="00D45917"/>
    <w:rPr>
      <w:sz w:val="16"/>
      <w:vertAlign w:val="superscript"/>
    </w:rPr>
  </w:style>
  <w:style w:type="character" w:customStyle="1" w:styleId="Symbols">
    <w:name w:val="Symbols"/>
    <w:rsid w:val="00D45917"/>
    <w:rPr>
      <w:rFonts w:ascii="Symbol" w:hAnsi="Symbol"/>
    </w:rPr>
  </w:style>
  <w:style w:type="character" w:customStyle="1" w:styleId="MenuOptions">
    <w:name w:val="Menu Options"/>
    <w:rsid w:val="00D45917"/>
    <w:rPr>
      <w:rFonts w:ascii="Arial Narrow" w:hAnsi="Arial Narrow"/>
      <w:smallCaps/>
    </w:rPr>
  </w:style>
  <w:style w:type="character" w:customStyle="1" w:styleId="Buttons">
    <w:name w:val="Buttons"/>
    <w:rsid w:val="00D45917"/>
    <w:rPr>
      <w:b/>
    </w:rPr>
  </w:style>
  <w:style w:type="character" w:customStyle="1" w:styleId="Underlined">
    <w:name w:val="Underlined"/>
    <w:rsid w:val="00D45917"/>
    <w:rPr>
      <w:u w:val="single"/>
    </w:rPr>
  </w:style>
  <w:style w:type="paragraph" w:customStyle="1" w:styleId="TableBodyTextRight">
    <w:name w:val="Table Body Text Right"/>
    <w:basedOn w:val="TableBodyText"/>
    <w:rsid w:val="00D45917"/>
    <w:pPr>
      <w:widowControl w:val="0"/>
      <w:autoSpaceDE w:val="0"/>
      <w:autoSpaceDN w:val="0"/>
      <w:adjustRightInd w:val="0"/>
      <w:jc w:val="right"/>
    </w:pPr>
    <w:rPr>
      <w:rFonts w:cs="Arial"/>
      <w:szCs w:val="18"/>
    </w:rPr>
  </w:style>
  <w:style w:type="paragraph" w:customStyle="1" w:styleId="CopyrightText">
    <w:name w:val="Copyright Text"/>
    <w:basedOn w:val="BodyText"/>
    <w:rsid w:val="00D45917"/>
    <w:rPr>
      <w:sz w:val="18"/>
    </w:rPr>
  </w:style>
  <w:style w:type="paragraph" w:customStyle="1" w:styleId="BodySmallRight">
    <w:name w:val="Body Small Right"/>
    <w:basedOn w:val="BodyTextRight"/>
    <w:rsid w:val="00D45917"/>
    <w:rPr>
      <w:sz w:val="18"/>
      <w:szCs w:val="18"/>
    </w:rPr>
  </w:style>
  <w:style w:type="paragraph" w:customStyle="1" w:styleId="MarginEdition">
    <w:name w:val="Margin Edition"/>
    <w:basedOn w:val="MarginNote"/>
    <w:rsid w:val="00D45917"/>
    <w:pPr>
      <w:spacing w:before="0" w:after="0"/>
    </w:pPr>
    <w:rPr>
      <w:rFonts w:ascii="Times New Roman" w:hAnsi="Times New Roman"/>
      <w:color w:val="999999"/>
    </w:rPr>
  </w:style>
  <w:style w:type="paragraph" w:customStyle="1" w:styleId="Spacer">
    <w:name w:val="Spacer"/>
    <w:basedOn w:val="Normal"/>
    <w:rsid w:val="00D45917"/>
    <w:rPr>
      <w:sz w:val="2"/>
      <w:szCs w:val="2"/>
    </w:rPr>
  </w:style>
  <w:style w:type="character" w:customStyle="1" w:styleId="Small">
    <w:name w:val="Small"/>
    <w:rsid w:val="00D45917"/>
    <w:rPr>
      <w:sz w:val="16"/>
    </w:rPr>
  </w:style>
  <w:style w:type="paragraph" w:customStyle="1" w:styleId="WideTable">
    <w:name w:val="Wide Table"/>
    <w:basedOn w:val="Normal"/>
    <w:rsid w:val="00D45917"/>
    <w:pPr>
      <w:ind w:left="-1418"/>
    </w:pPr>
    <w:rPr>
      <w:sz w:val="2"/>
      <w:szCs w:val="2"/>
    </w:rPr>
  </w:style>
  <w:style w:type="character" w:styleId="PageNumber">
    <w:name w:val="page number"/>
    <w:rsid w:val="00D45917"/>
  </w:style>
  <w:style w:type="paragraph" w:styleId="Quote">
    <w:name w:val="Quote"/>
    <w:basedOn w:val="Heading1"/>
    <w:link w:val="QuoteChar"/>
    <w:qFormat/>
    <w:rsid w:val="00D45917"/>
    <w:rPr>
      <w:b w:val="0"/>
      <w:sz w:val="72"/>
      <w:szCs w:val="72"/>
      <w:lang w:val="en-NZ"/>
    </w:rPr>
  </w:style>
  <w:style w:type="character" w:customStyle="1" w:styleId="QuoteChar">
    <w:name w:val="Quote Char"/>
    <w:link w:val="Quote"/>
    <w:rsid w:val="00D459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5917"/>
    <w:pPr>
      <w:pageBreakBefore/>
    </w:pPr>
  </w:style>
  <w:style w:type="paragraph" w:customStyle="1" w:styleId="Border">
    <w:name w:val="Border"/>
    <w:basedOn w:val="Normal"/>
    <w:qFormat/>
    <w:rsid w:val="00D45917"/>
    <w:pPr>
      <w:pBdr>
        <w:top w:val="single" w:sz="18" w:space="1" w:color="auto"/>
      </w:pBdr>
    </w:pPr>
    <w:rPr>
      <w:rFonts w:ascii="Times New Roman" w:hAnsi="Times New Roman"/>
      <w:color w:val="FFFFFF"/>
      <w:sz w:val="2"/>
    </w:rPr>
  </w:style>
  <w:style w:type="character" w:styleId="IntenseEmphasis">
    <w:name w:val="Intense Emphasis"/>
    <w:uiPriority w:val="21"/>
    <w:qFormat/>
    <w:rsid w:val="00D45917"/>
    <w:rPr>
      <w:b/>
      <w:bCs/>
      <w:i/>
      <w:iCs/>
      <w:color w:val="auto"/>
    </w:rPr>
  </w:style>
  <w:style w:type="paragraph" w:styleId="IntenseQuote">
    <w:name w:val="Intense Quote"/>
    <w:basedOn w:val="Normal"/>
    <w:next w:val="Normal"/>
    <w:link w:val="IntenseQuoteChar"/>
    <w:uiPriority w:val="30"/>
    <w:qFormat/>
    <w:rsid w:val="00D4591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45917"/>
    <w:rPr>
      <w:rFonts w:ascii="Courier New" w:eastAsia="Times New Roman" w:hAnsi="Courier New" w:cs="Times New Roman"/>
      <w:b/>
      <w:bCs/>
      <w:i/>
      <w:iCs/>
      <w:szCs w:val="20"/>
      <w:lang w:val="en-US" w:eastAsia="en-US"/>
    </w:rPr>
  </w:style>
  <w:style w:type="character" w:styleId="SubtleReference">
    <w:name w:val="Subtle Reference"/>
    <w:uiPriority w:val="31"/>
    <w:qFormat/>
    <w:rsid w:val="00D45917"/>
    <w:rPr>
      <w:smallCaps/>
      <w:color w:val="auto"/>
      <w:u w:val="single"/>
    </w:rPr>
  </w:style>
  <w:style w:type="character" w:styleId="IntenseReference">
    <w:name w:val="Intense Reference"/>
    <w:uiPriority w:val="32"/>
    <w:qFormat/>
    <w:rsid w:val="00D45917"/>
    <w:rPr>
      <w:b/>
      <w:bCs/>
      <w:smallCaps/>
      <w:color w:val="auto"/>
      <w:spacing w:val="5"/>
      <w:u w:val="single"/>
    </w:rPr>
  </w:style>
  <w:style w:type="paragraph" w:customStyle="1" w:styleId="2ColumnHeading">
    <w:name w:val="2Column Heading"/>
    <w:basedOn w:val="BodyText"/>
    <w:qFormat/>
    <w:rsid w:val="00D45917"/>
    <w:pPr>
      <w:spacing w:after="60"/>
      <w:ind w:left="-2268"/>
    </w:pPr>
    <w:rPr>
      <w:b/>
    </w:rPr>
  </w:style>
  <w:style w:type="paragraph" w:customStyle="1" w:styleId="Heading1TOC">
    <w:name w:val="Heading1 TOC"/>
    <w:basedOn w:val="Normal"/>
    <w:qFormat/>
    <w:rsid w:val="00D45917"/>
    <w:pPr>
      <w:spacing w:before="240" w:after="120"/>
    </w:pPr>
    <w:rPr>
      <w:rFonts w:ascii="Times New Roman" w:hAnsi="Times New Roman"/>
      <w:b/>
      <w:sz w:val="32"/>
    </w:rPr>
  </w:style>
  <w:style w:type="paragraph" w:customStyle="1" w:styleId="Heading2TOC">
    <w:name w:val="Heading2 TOC"/>
    <w:basedOn w:val="Normal"/>
    <w:qFormat/>
    <w:rsid w:val="00D45917"/>
    <w:pPr>
      <w:spacing w:before="240" w:after="60"/>
    </w:pPr>
    <w:rPr>
      <w:rFonts w:ascii="Times New Roman" w:hAnsi="Times New Roman"/>
      <w:b/>
      <w:sz w:val="28"/>
    </w:rPr>
  </w:style>
  <w:style w:type="character" w:customStyle="1" w:styleId="Underline">
    <w:name w:val="Underline"/>
    <w:qFormat/>
    <w:rsid w:val="00D45917"/>
    <w:rPr>
      <w:u w:val="single"/>
    </w:rPr>
  </w:style>
  <w:style w:type="character" w:customStyle="1" w:styleId="BoldandItalics">
    <w:name w:val="Bold and Italics"/>
    <w:qFormat/>
    <w:rsid w:val="00D45917"/>
    <w:rPr>
      <w:b/>
      <w:i/>
      <w:u w:val="none"/>
    </w:rPr>
  </w:style>
  <w:style w:type="paragraph" w:styleId="BalloonText">
    <w:name w:val="Balloon Text"/>
    <w:basedOn w:val="Normal"/>
    <w:link w:val="BalloonTextChar"/>
    <w:rsid w:val="00D45917"/>
    <w:rPr>
      <w:rFonts w:ascii="Tahoma" w:hAnsi="Tahoma" w:cs="Tahoma"/>
      <w:sz w:val="16"/>
      <w:szCs w:val="16"/>
    </w:rPr>
  </w:style>
  <w:style w:type="character" w:customStyle="1" w:styleId="BalloonTextChar">
    <w:name w:val="Balloon Text Char"/>
    <w:link w:val="BalloonText"/>
    <w:rsid w:val="00D4591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4591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4591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5A1191F0.dotm</Template>
  <TotalTime>0</TotalTime>
  <Pages>7</Pages>
  <Words>1568</Words>
  <Characters>9517</Characters>
  <Application>Microsoft Office Word</Application>
  <DocSecurity>0</DocSecurity>
  <Lines>341</Lines>
  <Paragraphs>191</Paragraphs>
  <ScaleCrop>false</ScaleCrop>
  <Company>Author-it Software Corporation Ltd.</Company>
  <LinksUpToDate>false</LinksUpToDate>
  <CharactersWithSpaces>10992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MSS403023A Monitor a levelled pull system of operations</dc:title>
  <dc:subject>Approved</dc:subject>
  <dc:creator>Manufacturing Skills Australia</dc:creator>
  <cp:keywords>Release: 1</cp:keywords>
  <dc:description>Copyright © 1996-2007 Author-it Software Corporation Ltd., all rights reserved.</dc:description>
  <cp:lastModifiedBy>Narendra Tomar</cp:lastModifiedBy>
  <cp:revision>3</cp:revision>
  <dcterms:created xsi:type="dcterms:W3CDTF">2012-05-26T18:46:00Z</dcterms:created>
  <dcterms:modified xsi:type="dcterms:W3CDTF">2012-05-26T18:46:00Z</dcterms:modified>
</cp:coreProperties>
</file>