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5F1" w:rsidP="007A05F1">
      <w:pPr>
        <w:pStyle w:val="Title"/>
      </w:pPr>
      <w:r>
        <w:fldChar w:fldCharType="begin"/>
      </w:r>
      <w:r>
        <w:instrText xml:space="preserve"> TITLE   \* MERGEFORMAT </w:instrText>
      </w:r>
      <w:r>
        <w:fldChar w:fldCharType="separate"/>
      </w:r>
      <w:r>
        <w:t>MSS402051A Apply quality standards</w:t>
      </w:r>
      <w:r>
        <w:fldChar w:fldCharType="end"/>
      </w:r>
    </w:p>
    <w:p w:rsidR="007A05F1" w:rsidP="007A05F1">
      <w:pPr>
        <w:pStyle w:val="Version"/>
        <w:sectPr w:rsidSect="00DC21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1A4" w:rsidP="00DC21A4">
      <w:pPr>
        <w:pStyle w:val="SuperHeading"/>
      </w:pPr>
      <w:r w:rsidRPr="00DC21A4">
        <w:t>MSS402051A Apply quality standards</w:t>
      </w:r>
    </w:p>
    <w:p w:rsidR="00000000" w:rsidRPr="00DC21A4" w:rsidP="00DC21A4">
      <w:pPr>
        <w:pStyle w:val="Heading1"/>
      </w:pPr>
      <w:bookmarkStart w:id="1" w:name="O_466542"/>
      <w:bookmarkEnd w:id="1"/>
      <w:r w:rsidRPr="00DC21A4">
        <w:t>Modification History</w:t>
      </w:r>
    </w:p>
    <w:p w:rsidR="00000000" w:rsidRPr="00DC21A4" w:rsidP="00DC21A4">
      <w:pPr>
        <w:pStyle w:val="BodyText"/>
      </w:pPr>
      <w:r w:rsidRPr="00DC21A4">
        <w:t>New unit, superseding MSACMT251A Apply quality standards - Equivalent</w:t>
      </w:r>
    </w:p>
    <w:p w:rsidR="00000000" w:rsidRPr="00DC21A4" w:rsidP="00DC21A4">
      <w:pPr>
        <w:pStyle w:val="AllowPageBreak"/>
      </w:pPr>
    </w:p>
    <w:p w:rsidR="00000000" w:rsidRPr="00DC21A4" w:rsidP="00DC21A4">
      <w:pPr>
        <w:pStyle w:val="Heading1"/>
      </w:pPr>
      <w:bookmarkStart w:id="2" w:name="O_466543"/>
      <w:bookmarkEnd w:id="2"/>
      <w:r w:rsidRPr="00DC21A4">
        <w:t>Unit Descriptor</w:t>
      </w:r>
    </w:p>
    <w:p w:rsidR="00000000" w:rsidRPr="00DC21A4" w:rsidP="00DC21A4">
      <w:pPr>
        <w:pStyle w:val="BodyText"/>
      </w:pPr>
      <w:r w:rsidRPr="00DC21A4">
        <w:t>This unit of competency covers the skills and knowledge required to apply qualit</w:t>
      </w:r>
      <w:r w:rsidRPr="00DC21A4">
        <w:t>y standards to work operations in an organisation. The unit is designed to complement competitive systems and practices units.</w:t>
      </w:r>
    </w:p>
    <w:p w:rsidR="00000000" w:rsidRPr="00DC21A4" w:rsidP="00DC21A4">
      <w:pPr>
        <w:pStyle w:val="AllowPageBreak"/>
      </w:pPr>
    </w:p>
    <w:p w:rsidR="00000000" w:rsidRPr="00DC21A4" w:rsidP="00DC21A4">
      <w:pPr>
        <w:pStyle w:val="Heading1"/>
      </w:pPr>
      <w:bookmarkStart w:id="3" w:name="O_466544"/>
      <w:bookmarkEnd w:id="3"/>
      <w:r w:rsidRPr="00DC21A4">
        <w:t>Application of the Unit</w:t>
      </w:r>
    </w:p>
    <w:p w:rsidR="00000000" w:rsidRPr="00DC21A4" w:rsidP="00DC21A4">
      <w:pPr>
        <w:pStyle w:val="BodyText"/>
      </w:pPr>
      <w:r w:rsidRPr="00DC21A4">
        <w:t>This unit applies to an individual who is expected to take responsibility for the qualit</w:t>
      </w:r>
      <w:r w:rsidRPr="00DC21A4">
        <w:t>y of their own work, and to take actions specified in the procedures and within the scope of their job and authority to ensure that quality standards are met.</w:t>
      </w:r>
    </w:p>
    <w:p w:rsidR="00000000" w:rsidRPr="00DC21A4" w:rsidP="00DC21A4">
      <w:pPr>
        <w:pStyle w:val="BodyText"/>
      </w:pPr>
      <w:r w:rsidRPr="00DC21A4">
        <w:t xml:space="preserve">This unit requires the application of skills associated with interpreting and applying workplace </w:t>
      </w:r>
      <w:r w:rsidRPr="00DC21A4">
        <w:t>standards and identifying and addressing problems that interfere with quality outcomes. The unit requires initiative, enterprise and self-management to ensure quality standards are achieved.</w:t>
      </w:r>
    </w:p>
    <w:p w:rsidR="00000000" w:rsidRPr="00DC21A4" w:rsidP="00DC21A4">
      <w:pPr>
        <w:pStyle w:val="AllowPageBreak"/>
      </w:pPr>
    </w:p>
    <w:p w:rsidR="00000000" w:rsidRPr="00DC21A4" w:rsidP="00DC21A4">
      <w:pPr>
        <w:pStyle w:val="Heading1"/>
      </w:pPr>
      <w:bookmarkStart w:id="4" w:name="O_466545"/>
      <w:bookmarkEnd w:id="4"/>
      <w:r w:rsidRPr="00DC21A4">
        <w:t>Licensing/Regulatory Information</w:t>
      </w:r>
    </w:p>
    <w:p w:rsidR="00000000" w:rsidRPr="00DC21A4" w:rsidP="00DC21A4">
      <w:pPr>
        <w:pStyle w:val="BodyText"/>
      </w:pPr>
      <w:r w:rsidRPr="00DC21A4">
        <w:t>Not applicable.</w:t>
      </w:r>
    </w:p>
    <w:p w:rsidR="00000000" w:rsidRPr="00DC21A4" w:rsidP="00DC21A4">
      <w:pPr>
        <w:pStyle w:val="AllowPageBreak"/>
      </w:pPr>
    </w:p>
    <w:p w:rsidR="00000000" w:rsidRPr="00DC21A4" w:rsidP="00DC21A4">
      <w:pPr>
        <w:pStyle w:val="Heading1"/>
      </w:pPr>
      <w:bookmarkStart w:id="5" w:name="O_466546"/>
      <w:bookmarkEnd w:id="5"/>
      <w:r w:rsidRPr="00DC21A4">
        <w:t>Pre-Requisites</w:t>
      </w:r>
    </w:p>
    <w:p w:rsidR="00000000" w:rsidRPr="00DC21A4" w:rsidP="00DC21A4">
      <w:pPr>
        <w:pStyle w:val="BodyText"/>
      </w:pPr>
      <w:r w:rsidRPr="00DC21A4">
        <w:t>Not applicable.</w:t>
      </w:r>
    </w:p>
    <w:p w:rsidR="00000000" w:rsidRPr="00DC21A4" w:rsidP="00DC21A4">
      <w:pPr>
        <w:pStyle w:val="AllowPageBreak"/>
      </w:pPr>
    </w:p>
    <w:p w:rsidR="00000000" w:rsidRPr="00DC21A4" w:rsidP="00DC21A4">
      <w:pPr>
        <w:pStyle w:val="Heading1"/>
      </w:pPr>
      <w:bookmarkStart w:id="6" w:name="O_466547"/>
      <w:bookmarkEnd w:id="6"/>
      <w:r w:rsidRPr="00DC21A4">
        <w:t>Employability Skills Information</w:t>
      </w:r>
    </w:p>
    <w:p w:rsidR="00000000" w:rsidRPr="00DC21A4" w:rsidP="00DC21A4">
      <w:pPr>
        <w:pStyle w:val="BodyText"/>
      </w:pPr>
      <w:r w:rsidRPr="00DC21A4">
        <w:t>This unit contains employability skills.</w:t>
      </w:r>
    </w:p>
    <w:p w:rsidR="00000000" w:rsidRPr="00DC21A4" w:rsidP="00DC21A4">
      <w:pPr>
        <w:pStyle w:val="AllowPageBreak"/>
      </w:pPr>
    </w:p>
    <w:p w:rsidR="00000000" w:rsidRPr="00DC21A4" w:rsidP="00DC21A4">
      <w:pPr>
        <w:pStyle w:val="Heading1"/>
      </w:pPr>
      <w:bookmarkStart w:id="7" w:name="O_466548"/>
      <w:bookmarkEnd w:id="7"/>
      <w:r w:rsidRPr="00DC21A4">
        <w:t>Elements and Performance Criteria Pre-Content</w:t>
      </w:r>
    </w:p>
    <w:tbl>
      <w:tblPr>
        <w:tblW w:w="0" w:type="auto"/>
        <w:tblLayout w:type="fixed"/>
        <w:tblCellMar>
          <w:left w:w="62" w:type="dxa"/>
          <w:right w:w="62" w:type="dxa"/>
        </w:tblCellMar>
        <w:tblLook w:val="0000"/>
      </w:tblPr>
      <w:tblGrid>
        <w:gridCol w:w="2640"/>
        <w:gridCol w:w="6380"/>
      </w:tblGrid>
      <w:tr w:rsidTr="00DC21A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Performance criteria describe the performance needed to demonstrate achievement of the element. Where bold italicised text is used, further information is detailed in the required skills and</w:t>
            </w:r>
            <w:r w:rsidRPr="00DC21A4">
              <w:t xml:space="preserve"> knowledge section and the range statement. Assessment of performance is to be consistent with the evidence guide.</w:t>
            </w:r>
          </w:p>
        </w:tc>
      </w:tr>
    </w:tbl>
    <w:p w:rsidR="00000000" w:rsidRPr="00DC21A4" w:rsidP="00DC21A4">
      <w:pPr>
        <w:pStyle w:val="BodyText"/>
      </w:pPr>
    </w:p>
    <w:p w:rsidR="00000000" w:rsidRPr="00DC21A4" w:rsidP="00DC21A4">
      <w:pPr>
        <w:pStyle w:val="AllowPageBreak"/>
      </w:pPr>
    </w:p>
    <w:p w:rsidR="00000000" w:rsidRPr="00DC21A4" w:rsidP="00DC21A4">
      <w:pPr>
        <w:pStyle w:val="Heading1"/>
      </w:pPr>
      <w:bookmarkStart w:id="8" w:name="O_466549"/>
      <w:bookmarkEnd w:id="8"/>
      <w:r w:rsidRPr="00DC21A4">
        <w:t>Elements and Performance Criteria</w:t>
      </w:r>
    </w:p>
    <w:p w:rsidR="00000000" w:rsidRPr="00DC21A4" w:rsidP="00DC21A4">
      <w:pPr>
        <w:pStyle w:val="BodyText"/>
      </w:pPr>
    </w:p>
    <w:tbl>
      <w:tblPr>
        <w:tblW w:w="0" w:type="auto"/>
        <w:tblLayout w:type="fixed"/>
        <w:tblCellMar>
          <w:left w:w="62" w:type="dxa"/>
          <w:right w:w="62" w:type="dxa"/>
        </w:tblCellMar>
        <w:tblLook w:val="0000"/>
      </w:tblPr>
      <w:tblGrid>
        <w:gridCol w:w="678"/>
        <w:gridCol w:w="1962"/>
        <w:gridCol w:w="770"/>
        <w:gridCol w:w="5610"/>
      </w:tblGrid>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1</w:t>
            </w:r>
          </w:p>
        </w:tc>
        <w:tc>
          <w:tcPr>
            <w:tcW w:w="1962" w:type="dxa"/>
            <w:vMerge w:val="restart"/>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Assess own work</w:t>
            </w: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1.1</w:t>
            </w:r>
          </w:p>
        </w:tc>
        <w:tc>
          <w:tcPr>
            <w:tcW w:w="561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Continuously check completed work against workplace standards rel</w:t>
            </w:r>
            <w:r w:rsidRPr="00DC21A4">
              <w:t>evant to the operation being undertaken</w:t>
            </w:r>
          </w:p>
        </w:tc>
      </w:tr>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1.2</w:t>
            </w:r>
          </w:p>
        </w:tc>
        <w:tc>
          <w:tcPr>
            <w:tcW w:w="561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Demonstrate an understanding of how the work activities and completed work relate to the next production process or processes and to the final products or services concerned</w:t>
            </w:r>
          </w:p>
        </w:tc>
      </w:tr>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1.3</w:t>
            </w:r>
          </w:p>
        </w:tc>
        <w:tc>
          <w:tcPr>
            <w:tcW w:w="561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Identify</w:t>
            </w:r>
            <w:r w:rsidRPr="00DC21A4">
              <w:t xml:space="preserve"> and isolate faulty components, products or processes </w:t>
            </w:r>
          </w:p>
        </w:tc>
      </w:tr>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1.4</w:t>
            </w:r>
          </w:p>
        </w:tc>
        <w:tc>
          <w:tcPr>
            <w:tcW w:w="5610"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Record and/or report faults and any identified causes to the supervisor concerned, where required, in accordance with workplace procedures</w:t>
            </w:r>
          </w:p>
        </w:tc>
      </w:tr>
    </w:tbl>
    <w:p w:rsidR="00000000" w:rsidRPr="00DC21A4" w:rsidP="00DC21A4">
      <w:pPr>
        <w:pStyle w:val="BodyText"/>
      </w:pPr>
    </w:p>
    <w:tbl>
      <w:tblPr>
        <w:tblW w:w="0" w:type="auto"/>
        <w:tblLayout w:type="fixed"/>
        <w:tblCellMar>
          <w:left w:w="62" w:type="dxa"/>
          <w:right w:w="62" w:type="dxa"/>
        </w:tblCellMar>
        <w:tblLook w:val="0000"/>
      </w:tblPr>
      <w:tblGrid>
        <w:gridCol w:w="678"/>
        <w:gridCol w:w="1962"/>
        <w:gridCol w:w="770"/>
        <w:gridCol w:w="5610"/>
      </w:tblGrid>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2</w:t>
            </w:r>
          </w:p>
        </w:tc>
        <w:tc>
          <w:tcPr>
            <w:tcW w:w="1962" w:type="dxa"/>
            <w:vMerge w:val="restart"/>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Assess quality of</w:t>
            </w:r>
            <w:r w:rsidRPr="00DC21A4">
              <w:t xml:space="preserve"> received components, parts or materials</w:t>
            </w: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2.1</w:t>
            </w:r>
          </w:p>
        </w:tc>
        <w:tc>
          <w:tcPr>
            <w:tcW w:w="561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Continuously check received components, parts, materials, information, service or final products against workplace standards and specifications for conformance</w:t>
            </w:r>
          </w:p>
        </w:tc>
      </w:tr>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2.2</w:t>
            </w:r>
          </w:p>
        </w:tc>
        <w:tc>
          <w:tcPr>
            <w:tcW w:w="561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Demonstrate an understanding of how the rece</w:t>
            </w:r>
            <w:r w:rsidRPr="00DC21A4">
              <w:t>ived components, parts or materials, information or service relate to the current operation and how they contribute to the final quality of the product or service</w:t>
            </w:r>
          </w:p>
        </w:tc>
      </w:tr>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2.3</w:t>
            </w:r>
          </w:p>
        </w:tc>
        <w:tc>
          <w:tcPr>
            <w:tcW w:w="561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Identify and isolate faulty components, parts, materials or information that relate to</w:t>
            </w:r>
            <w:r w:rsidRPr="00DC21A4">
              <w:t xml:space="preserve"> the operator's work</w:t>
            </w:r>
          </w:p>
        </w:tc>
      </w:tr>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2.4</w:t>
            </w:r>
          </w:p>
        </w:tc>
        <w:tc>
          <w:tcPr>
            <w:tcW w:w="561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Record and/or report faults and any identified causes in accordance with workplace procedures</w:t>
            </w:r>
          </w:p>
        </w:tc>
      </w:tr>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2.5</w:t>
            </w:r>
          </w:p>
        </w:tc>
        <w:tc>
          <w:tcPr>
            <w:tcW w:w="5610"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Identify causes of any identified faults and take corrective action as specified in workplace procedures</w:t>
            </w:r>
          </w:p>
        </w:tc>
      </w:tr>
    </w:tbl>
    <w:p w:rsidR="00000000" w:rsidRPr="00DC21A4" w:rsidP="00DC21A4">
      <w:pPr>
        <w:pStyle w:val="BodyText"/>
      </w:pPr>
    </w:p>
    <w:tbl>
      <w:tblPr>
        <w:tblW w:w="0" w:type="auto"/>
        <w:tblLayout w:type="fixed"/>
        <w:tblCellMar>
          <w:left w:w="62" w:type="dxa"/>
          <w:right w:w="62" w:type="dxa"/>
        </w:tblCellMar>
        <w:tblLook w:val="0000"/>
      </w:tblPr>
      <w:tblGrid>
        <w:gridCol w:w="678"/>
        <w:gridCol w:w="1962"/>
        <w:gridCol w:w="770"/>
        <w:gridCol w:w="5610"/>
      </w:tblGrid>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3</w:t>
            </w:r>
          </w:p>
        </w:tc>
        <w:tc>
          <w:tcPr>
            <w:tcW w:w="1962"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Measure components, parts or materials</w:t>
            </w: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3.1</w:t>
            </w:r>
          </w:p>
        </w:tc>
        <w:tc>
          <w:tcPr>
            <w:tcW w:w="5610"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Measure materials, component parts, information, service or products, as required, using the appropriate measuring instruments in accordance with workplace procedures</w:t>
            </w:r>
          </w:p>
        </w:tc>
      </w:tr>
    </w:tbl>
    <w:p w:rsidR="00000000" w:rsidRPr="00DC21A4" w:rsidP="00DC21A4">
      <w:pPr>
        <w:pStyle w:val="BodyText"/>
      </w:pPr>
    </w:p>
    <w:tbl>
      <w:tblPr>
        <w:tblW w:w="0" w:type="auto"/>
        <w:tblLayout w:type="fixed"/>
        <w:tblCellMar>
          <w:left w:w="62" w:type="dxa"/>
          <w:right w:w="62" w:type="dxa"/>
        </w:tblCellMar>
        <w:tblLook w:val="0000"/>
      </w:tblPr>
      <w:tblGrid>
        <w:gridCol w:w="678"/>
        <w:gridCol w:w="1962"/>
        <w:gridCol w:w="770"/>
        <w:gridCol w:w="5610"/>
      </w:tblGrid>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4</w:t>
            </w:r>
          </w:p>
        </w:tc>
        <w:tc>
          <w:tcPr>
            <w:tcW w:w="1962"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Record information on production indicator</w:t>
            </w: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4.1</w:t>
            </w:r>
          </w:p>
        </w:tc>
        <w:tc>
          <w:tcPr>
            <w:tcW w:w="5610"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Record basic information on quality and other indicators of process performance in accordance with workplace procedures</w:t>
            </w:r>
          </w:p>
        </w:tc>
      </w:tr>
    </w:tbl>
    <w:p w:rsidR="00000000" w:rsidRPr="00DC21A4" w:rsidP="00DC21A4">
      <w:pPr>
        <w:pStyle w:val="BodyText"/>
      </w:pPr>
    </w:p>
    <w:tbl>
      <w:tblPr>
        <w:tblW w:w="0" w:type="auto"/>
        <w:tblLayout w:type="fixed"/>
        <w:tblCellMar>
          <w:left w:w="62" w:type="dxa"/>
          <w:right w:w="62" w:type="dxa"/>
        </w:tblCellMar>
        <w:tblLook w:val="0000"/>
      </w:tblPr>
      <w:tblGrid>
        <w:gridCol w:w="678"/>
        <w:gridCol w:w="1962"/>
        <w:gridCol w:w="770"/>
        <w:gridCol w:w="5610"/>
      </w:tblGrid>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5</w:t>
            </w:r>
          </w:p>
        </w:tc>
        <w:tc>
          <w:tcPr>
            <w:tcW w:w="1962" w:type="dxa"/>
            <w:vMerge w:val="restart"/>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Investigate causes of quality deviations</w:t>
            </w: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5.1</w:t>
            </w:r>
          </w:p>
        </w:tc>
        <w:tc>
          <w:tcPr>
            <w:tcW w:w="561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Investigate and report causes of deviations from specified quality standards for c</w:t>
            </w:r>
            <w:r w:rsidRPr="00DC21A4">
              <w:t>omponents</w:t>
            </w:r>
          </w:p>
        </w:tc>
      </w:tr>
      <w:tr w:rsidTr="00DC2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5.2</w:t>
            </w:r>
          </w:p>
        </w:tc>
        <w:tc>
          <w:tcPr>
            <w:tcW w:w="5610"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Recommend suitable preventative action based on workplace quality standards and the identified causes of deviations from specified quality standards of materials</w:t>
            </w:r>
          </w:p>
        </w:tc>
      </w:tr>
    </w:tbl>
    <w:p w:rsidR="007A05F1" w:rsidP="00DC21A4">
      <w:pPr>
        <w:pStyle w:val="BodyText"/>
      </w:pPr>
    </w:p>
    <w:p w:rsidR="007A05F1" w:rsidP="00DC21A4">
      <w:pPr>
        <w:pStyle w:val="BodyText"/>
      </w:pPr>
    </w:p>
    <w:p w:rsidR="00000000" w:rsidRPr="00DC21A4" w:rsidP="00DC21A4">
      <w:pPr>
        <w:pStyle w:val="Heading1"/>
      </w:pPr>
      <w:bookmarkStart w:id="9" w:name="O_466550"/>
      <w:bookmarkEnd w:id="9"/>
      <w:r w:rsidRPr="00DC21A4">
        <w:t>Required Skills and Knowledge</w:t>
      </w:r>
    </w:p>
    <w:tbl>
      <w:tblPr>
        <w:tblW w:w="9462" w:type="dxa"/>
        <w:tblLayout w:type="fixed"/>
        <w:tblCellMar>
          <w:left w:w="62" w:type="dxa"/>
          <w:right w:w="62" w:type="dxa"/>
        </w:tblCellMar>
        <w:tblLook w:val="0000"/>
      </w:tblPr>
      <w:tblGrid>
        <w:gridCol w:w="9462"/>
      </w:tblGrid>
      <w:tr w:rsidTr="00DC21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This section describes the skills and knowledge required for this unit.</w:t>
            </w:r>
          </w:p>
        </w:tc>
      </w:tr>
      <w:tr w:rsidTr="00DC21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rPr>
                <w:rStyle w:val="SpecialBold"/>
              </w:rPr>
              <w:t>Required skills</w:t>
            </w:r>
          </w:p>
        </w:tc>
      </w:tr>
      <w:tr w:rsidTr="00DC21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Required skills include:</w:t>
            </w:r>
          </w:p>
          <w:p w:rsidR="00000000" w:rsidRPr="00DC21A4" w:rsidP="00DC21A4">
            <w:pPr>
              <w:pStyle w:val="ListBullet"/>
            </w:pPr>
            <w:r w:rsidRPr="00DC21A4">
              <w:t>interpreting work instructions, specifications, standards and patterns appropriate to own work</w:t>
            </w:r>
          </w:p>
          <w:p w:rsidR="00000000" w:rsidRPr="00DC21A4" w:rsidP="00DC21A4">
            <w:pPr>
              <w:pStyle w:val="ListBullet"/>
            </w:pPr>
            <w:r w:rsidRPr="00DC21A4">
              <w:t>carrying out relevant visual inspections of materials, component parts and final products</w:t>
            </w:r>
          </w:p>
          <w:p w:rsidR="00000000" w:rsidRPr="00DC21A4" w:rsidP="00DC21A4">
            <w:pPr>
              <w:pStyle w:val="ListBullet"/>
            </w:pPr>
            <w:r w:rsidRPr="00DC21A4">
              <w:t>carrying out relevant physical/chemical measurements or tests</w:t>
            </w:r>
          </w:p>
          <w:p w:rsidR="00000000" w:rsidRPr="00DC21A4" w:rsidP="00DC21A4">
            <w:pPr>
              <w:pStyle w:val="ListBullet"/>
            </w:pPr>
            <w:r w:rsidRPr="00DC21A4">
              <w:t>maintaining accurate work records in accordance with procedures</w:t>
            </w:r>
          </w:p>
          <w:p w:rsidR="00000000" w:rsidRPr="00DC21A4" w:rsidP="00DC21A4">
            <w:pPr>
              <w:pStyle w:val="ListBullet"/>
            </w:pPr>
            <w:r w:rsidRPr="00DC21A4">
              <w:t>carrying out work in accordance with occ</w:t>
            </w:r>
            <w:r w:rsidRPr="00DC21A4">
              <w:t>upational health and safety (OHS) policies and procedures</w:t>
            </w:r>
          </w:p>
          <w:p w:rsidR="00000000" w:rsidRPr="00DC21A4" w:rsidP="00DC21A4">
            <w:pPr>
              <w:pStyle w:val="ListBullet"/>
            </w:pPr>
            <w:r w:rsidRPr="00DC21A4">
              <w:t>meeting work specifications</w:t>
            </w:r>
          </w:p>
          <w:p w:rsidR="00000000" w:rsidRPr="00DC21A4" w:rsidP="00DC21A4">
            <w:pPr>
              <w:pStyle w:val="ListBullet"/>
            </w:pPr>
            <w:r w:rsidRPr="00DC21A4">
              <w:t>communicating effectively within defined workplace procedures</w:t>
            </w:r>
          </w:p>
          <w:p w:rsidR="00000000" w:rsidP="00DC21A4">
            <w:pPr>
              <w:pStyle w:val="ListBullet"/>
              <w:rPr>
                <w:lang w:val="en-NZ"/>
              </w:rPr>
            </w:pPr>
            <w:r w:rsidRPr="00DC21A4">
              <w:t>interpreting and applying defined procedures</w:t>
            </w:r>
          </w:p>
        </w:tc>
      </w:tr>
      <w:tr w:rsidTr="00DC21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p>
        </w:tc>
      </w:tr>
      <w:tr w:rsidTr="00DC21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rPr>
                <w:rStyle w:val="SpecialBold"/>
              </w:rPr>
              <w:t>Required knowledge</w:t>
            </w:r>
          </w:p>
        </w:tc>
      </w:tr>
      <w:tr w:rsidTr="00DC21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Required knowledge includes:</w:t>
            </w:r>
          </w:p>
          <w:p w:rsidR="00000000" w:rsidRPr="00DC21A4" w:rsidP="00DC21A4">
            <w:pPr>
              <w:pStyle w:val="ListBullet"/>
            </w:pPr>
            <w:r w:rsidRPr="00DC21A4">
              <w:t>relevant q</w:t>
            </w:r>
            <w:r w:rsidRPr="00DC21A4">
              <w:t>uality standards, policies and procedures</w:t>
            </w:r>
          </w:p>
          <w:p w:rsidR="00000000" w:rsidRPr="00DC21A4" w:rsidP="00DC21A4">
            <w:pPr>
              <w:pStyle w:val="ListBullet"/>
            </w:pPr>
            <w:r w:rsidRPr="00DC21A4">
              <w:t>relevant production processes, materials and products</w:t>
            </w:r>
          </w:p>
          <w:p w:rsidR="00000000" w:rsidRPr="00DC21A4" w:rsidP="00DC21A4">
            <w:pPr>
              <w:pStyle w:val="ListBullet"/>
            </w:pPr>
            <w:r w:rsidRPr="00DC21A4">
              <w:t>basic characteristics of materials used in the relevant production processes</w:t>
            </w:r>
          </w:p>
          <w:p w:rsidR="00000000" w:rsidRPr="00DC21A4" w:rsidP="00DC21A4">
            <w:pPr>
              <w:pStyle w:val="ListBullet"/>
            </w:pPr>
            <w:r w:rsidRPr="00DC21A4">
              <w:t>safety and environmental aspects of relevant production processes</w:t>
            </w:r>
          </w:p>
          <w:p w:rsidR="00000000" w:rsidRPr="00DC21A4" w:rsidP="00DC21A4">
            <w:pPr>
              <w:pStyle w:val="ListBullet"/>
            </w:pPr>
            <w:r w:rsidRPr="00DC21A4">
              <w:t>relevant measurement techniques and quality checking procedures</w:t>
            </w:r>
          </w:p>
          <w:p w:rsidR="00000000" w:rsidRPr="00DC21A4" w:rsidP="00DC21A4">
            <w:pPr>
              <w:pStyle w:val="ListBullet"/>
            </w:pPr>
            <w:r w:rsidRPr="00DC21A4">
              <w:t>workplace procedures</w:t>
            </w:r>
          </w:p>
          <w:p w:rsidR="00000000" w:rsidRPr="00DC21A4" w:rsidP="00DC21A4">
            <w:pPr>
              <w:pStyle w:val="ListBullet"/>
            </w:pPr>
            <w:r w:rsidRPr="00DC21A4">
              <w:t>reporting procedures</w:t>
            </w:r>
          </w:p>
        </w:tc>
      </w:tr>
    </w:tbl>
    <w:p w:rsidR="007A05F1" w:rsidP="00DC21A4">
      <w:pPr>
        <w:pStyle w:val="BodyText"/>
      </w:pPr>
    </w:p>
    <w:p w:rsidR="007A05F1" w:rsidP="00DC21A4">
      <w:pPr>
        <w:pStyle w:val="BodyText"/>
      </w:pPr>
    </w:p>
    <w:p w:rsidR="00000000" w:rsidRPr="00DC21A4" w:rsidP="00DC21A4">
      <w:pPr>
        <w:pStyle w:val="Heading1"/>
      </w:pPr>
      <w:bookmarkStart w:id="10" w:name="O_466551"/>
      <w:bookmarkEnd w:id="10"/>
      <w:r w:rsidRPr="00DC21A4">
        <w:t>Evidence Guide</w:t>
      </w:r>
    </w:p>
    <w:tbl>
      <w:tblPr>
        <w:tblW w:w="9462" w:type="dxa"/>
        <w:tblLayout w:type="fixed"/>
        <w:tblCellMar>
          <w:left w:w="62" w:type="dxa"/>
          <w:right w:w="62" w:type="dxa"/>
        </w:tblCellMar>
        <w:tblLook w:val="0000"/>
      </w:tblPr>
      <w:tblGrid>
        <w:gridCol w:w="3800"/>
        <w:gridCol w:w="5662"/>
      </w:tblGrid>
      <w:tr w:rsidTr="00DC21A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C21A4">
            <w:pPr>
              <w:pStyle w:val="BodyText"/>
              <w:rPr>
                <w:lang w:val="en-NZ"/>
              </w:rPr>
            </w:pPr>
            <w:r w:rsidRPr="00DC21A4">
              <w:t>The evidence guide provides advice on assessment and must be read in conjunction with the performance criteria, req</w:t>
            </w:r>
            <w:r w:rsidRPr="00DC21A4">
              <w:t>uired skills and knowledge, range statement and the Assessment Guidelines for the Training Package.</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 xml:space="preserve">A person who demonstrates competency in this unit must be able to provide evidence of the ability to: </w:t>
            </w:r>
          </w:p>
          <w:p w:rsidR="00000000" w:rsidRPr="00DC21A4" w:rsidP="00DC21A4">
            <w:pPr>
              <w:pStyle w:val="ListBullet"/>
            </w:pPr>
            <w:r w:rsidRPr="00DC21A4">
              <w:t>interpret, relevant work instructions, standards and specifications appropriate to own work</w:t>
            </w:r>
          </w:p>
          <w:p w:rsidR="00000000" w:rsidRPr="00DC21A4" w:rsidP="00DC21A4">
            <w:pPr>
              <w:pStyle w:val="ListBullet"/>
            </w:pPr>
            <w:r w:rsidRPr="00DC21A4">
              <w:t>check and measure relevant quality parameters</w:t>
            </w:r>
          </w:p>
          <w:p w:rsidR="00000000" w:rsidRPr="00DC21A4" w:rsidP="00DC21A4">
            <w:pPr>
              <w:pStyle w:val="ListBullet"/>
            </w:pPr>
            <w:r w:rsidRPr="00DC21A4">
              <w:t>interpret resu</w:t>
            </w:r>
            <w:r w:rsidRPr="00DC21A4">
              <w:t>lts of quality checks in terms of specifications, patterns and work standards</w:t>
            </w:r>
          </w:p>
          <w:p w:rsidR="00000000" w:rsidRPr="00DC21A4" w:rsidP="00DC21A4">
            <w:pPr>
              <w:pStyle w:val="ListBullet"/>
            </w:pPr>
            <w:r w:rsidRPr="00DC21A4">
              <w:t>take required action where standards of materials, component parts, final product or work processes are found to be unacceptable</w:t>
            </w:r>
          </w:p>
          <w:p w:rsidR="00000000" w:rsidP="00DC21A4">
            <w:pPr>
              <w:pStyle w:val="ListBullet"/>
              <w:rPr>
                <w:lang w:val="en-NZ"/>
              </w:rPr>
            </w:pPr>
            <w:r w:rsidRPr="00DC21A4">
              <w:t>maintain accurate records.</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 xml:space="preserve">Assessment of performance must be undertaken in a workplace using or implementing one or more competitive systems and practices. </w:t>
            </w:r>
          </w:p>
          <w:p w:rsidR="00000000" w:rsidRPr="00DC21A4" w:rsidP="00DC21A4">
            <w:pPr>
              <w:pStyle w:val="BodyText"/>
            </w:pPr>
            <w:r w:rsidRPr="00DC21A4">
              <w:t>Access may be required to:</w:t>
            </w:r>
          </w:p>
          <w:p w:rsidR="00000000" w:rsidRPr="00DC21A4" w:rsidP="00DC21A4">
            <w:pPr>
              <w:pStyle w:val="ListBullet"/>
            </w:pPr>
            <w:r w:rsidRPr="00DC21A4">
              <w:t>workplace procedures and plans relevant to work a</w:t>
            </w:r>
            <w:r w:rsidRPr="00DC21A4">
              <w:t>rea</w:t>
            </w:r>
          </w:p>
          <w:p w:rsidR="00000000" w:rsidRPr="00DC21A4" w:rsidP="00DC21A4">
            <w:pPr>
              <w:pStyle w:val="ListBullet"/>
            </w:pPr>
            <w:r w:rsidRPr="00DC21A4">
              <w:t>specifications and documentation relating to planned, currently being implemented, or implemented changes to work processes and procedures relevant to the assessee</w:t>
            </w:r>
          </w:p>
          <w:p w:rsidR="00000000" w:rsidRPr="00DC21A4" w:rsidP="00DC21A4">
            <w:pPr>
              <w:pStyle w:val="ListBullet"/>
            </w:pPr>
            <w:r w:rsidRPr="00DC21A4">
              <w:t>documentation and information in relation to production, waste, overheads and hazard con</w:t>
            </w:r>
            <w:r w:rsidRPr="00DC21A4">
              <w:t>trol/management</w:t>
            </w:r>
          </w:p>
          <w:p w:rsidR="00000000" w:rsidRPr="00DC21A4" w:rsidP="00DC21A4">
            <w:pPr>
              <w:pStyle w:val="ListBullet"/>
            </w:pPr>
            <w:r w:rsidRPr="00DC21A4">
              <w:t>reports from supervisors/managers</w:t>
            </w:r>
          </w:p>
          <w:p w:rsidR="00000000" w:rsidP="00DC21A4">
            <w:pPr>
              <w:pStyle w:val="ListBullet"/>
              <w:rPr>
                <w:lang w:val="en-NZ"/>
              </w:rPr>
            </w:pPr>
            <w:r w:rsidRPr="00DC21A4">
              <w:t>case studies and scenarios to assess responses to contingencies.</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A holistic approach should be taken to the assessment.</w:t>
            </w:r>
          </w:p>
          <w:p w:rsidR="00000000" w:rsidRPr="00DC21A4" w:rsidP="00DC21A4">
            <w:pPr>
              <w:pStyle w:val="BodyText"/>
            </w:pPr>
            <w:r w:rsidRPr="00DC21A4">
              <w:t>Competence in this unit may be assessed by using a combination o</w:t>
            </w:r>
            <w:r w:rsidRPr="00DC21A4">
              <w:t>f the following to generate evidence:</w:t>
            </w:r>
          </w:p>
          <w:p w:rsidR="00000000" w:rsidRPr="00DC21A4" w:rsidP="00DC21A4">
            <w:pPr>
              <w:pStyle w:val="ListBullet"/>
            </w:pPr>
            <w:r w:rsidRPr="00DC21A4">
              <w:t>demonstration in the workplace</w:t>
            </w:r>
          </w:p>
          <w:p w:rsidR="00000000" w:rsidRPr="00DC21A4" w:rsidP="00DC21A4">
            <w:pPr>
              <w:pStyle w:val="ListBullet"/>
            </w:pPr>
            <w:r w:rsidRPr="00DC21A4">
              <w:t>workplace projects</w:t>
            </w:r>
          </w:p>
          <w:p w:rsidR="00000000" w:rsidRPr="00DC21A4" w:rsidP="00DC21A4">
            <w:pPr>
              <w:pStyle w:val="ListBullet"/>
            </w:pPr>
            <w:r w:rsidRPr="00DC21A4">
              <w:t>suitable simulation</w:t>
            </w:r>
          </w:p>
          <w:p w:rsidR="00000000" w:rsidRPr="00DC21A4" w:rsidP="00DC21A4">
            <w:pPr>
              <w:pStyle w:val="ListBullet"/>
            </w:pPr>
            <w:r w:rsidRPr="00DC21A4">
              <w:t>case studies/scenarios (particularly for assessment of contingencies, improvement scenarios, and so on)</w:t>
            </w:r>
          </w:p>
          <w:p w:rsidR="00000000" w:rsidRPr="00DC21A4" w:rsidP="00DC21A4">
            <w:pPr>
              <w:pStyle w:val="ListBullet"/>
            </w:pPr>
            <w:r w:rsidRPr="00DC21A4">
              <w:t xml:space="preserve">targeted questioning </w:t>
            </w:r>
          </w:p>
          <w:p w:rsidR="00000000" w:rsidRPr="00DC21A4" w:rsidP="00DC21A4">
            <w:pPr>
              <w:pStyle w:val="ListBullet"/>
            </w:pPr>
            <w:r w:rsidRPr="00DC21A4">
              <w:t>reports from supervisors, peers and colleagues (third-party reports)</w:t>
            </w:r>
          </w:p>
          <w:p w:rsidR="00000000" w:rsidRPr="00DC21A4" w:rsidP="00DC21A4">
            <w:pPr>
              <w:pStyle w:val="ListBullet"/>
            </w:pPr>
            <w:r w:rsidRPr="00DC21A4">
              <w:t>portfolio of evidence.</w:t>
            </w:r>
          </w:p>
          <w:p w:rsidR="00000000" w:rsidRPr="00DC21A4" w:rsidP="00DC21A4">
            <w:pPr>
              <w:pStyle w:val="BodyText"/>
            </w:pPr>
            <w:r w:rsidRPr="00DC21A4">
              <w:t>In all cases it is expected that practical assessment will be combined with targeted questioning to assess underpinning knowledge.</w:t>
            </w:r>
          </w:p>
          <w:p w:rsidR="00000000" w:rsidP="00DC21A4">
            <w:pPr>
              <w:pStyle w:val="BodyText"/>
              <w:rPr>
                <w:lang w:val="en-NZ"/>
              </w:rPr>
            </w:pPr>
            <w:r w:rsidRPr="00DC21A4">
              <w:t>Where applicable, reasonable adju</w:t>
            </w:r>
            <w:r w:rsidRPr="00DC21A4">
              <w:t>stment must be made to work environments and training situations to accommodate ethnicity, age, gender, demographics and disability.</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 xml:space="preserve">Assessment processes and techniques must be culturally appropriate and appropriate to </w:t>
            </w:r>
            <w:r w:rsidRPr="00DC21A4">
              <w:t>the oracy, language and literacy capacity of the candidate and the work being performed.</w:t>
            </w:r>
          </w:p>
        </w:tc>
      </w:tr>
    </w:tbl>
    <w:p w:rsidR="007A05F1" w:rsidP="00DC21A4">
      <w:pPr>
        <w:pStyle w:val="BodyText"/>
      </w:pPr>
    </w:p>
    <w:p w:rsidR="007A05F1" w:rsidP="00DC21A4">
      <w:pPr>
        <w:pStyle w:val="BodyText"/>
      </w:pPr>
    </w:p>
    <w:p w:rsidR="00000000" w:rsidRPr="00DC21A4" w:rsidP="00DC21A4">
      <w:pPr>
        <w:pStyle w:val="Heading1"/>
      </w:pPr>
      <w:bookmarkStart w:id="11" w:name="O_466552"/>
      <w:bookmarkEnd w:id="11"/>
      <w:r w:rsidRPr="00DC21A4">
        <w:t>Range Statement</w:t>
      </w:r>
    </w:p>
    <w:tbl>
      <w:tblPr>
        <w:tblW w:w="9462" w:type="dxa"/>
        <w:tblLayout w:type="fixed"/>
        <w:tblCellMar>
          <w:left w:w="62" w:type="dxa"/>
          <w:right w:w="62" w:type="dxa"/>
        </w:tblCellMar>
        <w:tblLook w:val="0000"/>
      </w:tblPr>
      <w:tblGrid>
        <w:gridCol w:w="3800"/>
        <w:gridCol w:w="5662"/>
      </w:tblGrid>
      <w:tr w:rsidTr="00DC21A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C21A4">
            <w:pPr>
              <w:pStyle w:val="BodyText"/>
              <w:rPr>
                <w:lang w:val="en-NZ"/>
              </w:rPr>
            </w:pPr>
            <w:r w:rsidRPr="00DC21A4">
              <w:t>The range statement relates to the unit of competency as a whole. It allows for different work environments and situations that may affect performance. Bold italicised wording, if used in the performance criteria, is detailed below. Essential operating con</w:t>
            </w:r>
            <w:r w:rsidRPr="00DC21A4">
              <w:t>ditions that may be present with training and assessment (depending on the work situation, needs of the candidate, accessibility of the item, and local industry and regional contexts) may also be included.</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Competitive s</w:t>
            </w:r>
            <w:r w:rsidRPr="00DC21A4">
              <w:t>ystems and practices may include, but are not limited to:</w:t>
            </w:r>
          </w:p>
          <w:p w:rsidR="00000000" w:rsidRPr="00DC21A4" w:rsidP="00DC21A4">
            <w:pPr>
              <w:pStyle w:val="ListBullet"/>
            </w:pPr>
            <w:r w:rsidRPr="00DC21A4">
              <w:t>lean operations</w:t>
            </w:r>
          </w:p>
          <w:p w:rsidR="00000000" w:rsidRPr="00DC21A4" w:rsidP="00DC21A4">
            <w:pPr>
              <w:pStyle w:val="ListBullet"/>
            </w:pPr>
            <w:r w:rsidRPr="00DC21A4">
              <w:t>agile operations</w:t>
            </w:r>
          </w:p>
          <w:p w:rsidR="00000000" w:rsidRPr="00DC21A4" w:rsidP="00DC21A4">
            <w:pPr>
              <w:pStyle w:val="ListBullet"/>
            </w:pPr>
            <w:r w:rsidRPr="00DC21A4">
              <w:t>preventative and predictive maintenance approaches</w:t>
            </w:r>
          </w:p>
          <w:p w:rsidR="00000000" w:rsidRPr="00DC21A4" w:rsidP="00DC21A4">
            <w:pPr>
              <w:pStyle w:val="ListBullet"/>
            </w:pPr>
            <w:r w:rsidRPr="00DC21A4">
              <w:t xml:space="preserve">monitoring and data gathering systems, such as Systems Control and Data Acquisition (SCADA) software, Enterprise </w:t>
            </w:r>
            <w:r w:rsidRPr="00DC21A4">
              <w:t xml:space="preserve">Resource Planning (ERP) systems, Materials Resource Planning (MRP) and proprietary systems </w:t>
            </w:r>
          </w:p>
          <w:p w:rsidR="00000000" w:rsidRPr="00DC21A4" w:rsidP="00DC21A4">
            <w:pPr>
              <w:pStyle w:val="ListBullet"/>
            </w:pPr>
            <w:r w:rsidRPr="00DC21A4">
              <w:t>statistical process control systems, including six sigma and three sigma</w:t>
            </w:r>
          </w:p>
          <w:p w:rsidR="00000000" w:rsidRPr="00DC21A4" w:rsidP="00DC21A4">
            <w:pPr>
              <w:pStyle w:val="ListBullet"/>
            </w:pPr>
            <w:r w:rsidRPr="00DC21A4">
              <w:t>Just in Time (JIT), kanban and other pull-related operations control systems</w:t>
            </w:r>
          </w:p>
          <w:p w:rsidR="00000000" w:rsidRPr="00DC21A4" w:rsidP="00DC21A4">
            <w:pPr>
              <w:pStyle w:val="ListBullet"/>
            </w:pPr>
            <w:r w:rsidRPr="00DC21A4">
              <w:t>supply, value,</w:t>
            </w:r>
            <w:r w:rsidRPr="00DC21A4">
              <w:t xml:space="preserve"> and demand chain monitoring and analysis</w:t>
            </w:r>
          </w:p>
          <w:p w:rsidR="00000000" w:rsidRPr="00DC21A4" w:rsidP="00DC21A4">
            <w:pPr>
              <w:pStyle w:val="ListBullet"/>
            </w:pPr>
            <w:r w:rsidRPr="00DC21A4">
              <w:t xml:space="preserve">5S </w:t>
            </w:r>
          </w:p>
          <w:p w:rsidR="00000000" w:rsidRPr="00DC21A4" w:rsidP="00DC21A4">
            <w:pPr>
              <w:pStyle w:val="ListBullet"/>
            </w:pPr>
            <w:r w:rsidRPr="00DC21A4">
              <w:t>continuous improvement (kaizen)</w:t>
            </w:r>
          </w:p>
          <w:p w:rsidR="00000000" w:rsidRPr="00DC21A4" w:rsidP="00DC21A4">
            <w:pPr>
              <w:pStyle w:val="ListBullet"/>
            </w:pPr>
            <w:r w:rsidRPr="00DC21A4">
              <w:t>breakthrough improvement (kaizen blitz)</w:t>
            </w:r>
          </w:p>
          <w:p w:rsidR="00000000" w:rsidRPr="00DC21A4" w:rsidP="00DC21A4">
            <w:pPr>
              <w:pStyle w:val="ListBullet"/>
            </w:pPr>
            <w:r w:rsidRPr="00DC21A4">
              <w:t>cause/effect diagrams</w:t>
            </w:r>
          </w:p>
          <w:p w:rsidR="00000000" w:rsidRPr="00DC21A4" w:rsidP="00DC21A4">
            <w:pPr>
              <w:pStyle w:val="ListBullet"/>
            </w:pPr>
            <w:r w:rsidRPr="00DC21A4">
              <w:t>overall equipment effectiveness (OEE)</w:t>
            </w:r>
          </w:p>
          <w:p w:rsidR="00000000" w:rsidRPr="00DC21A4" w:rsidP="00DC21A4">
            <w:pPr>
              <w:pStyle w:val="ListBullet"/>
            </w:pPr>
            <w:r w:rsidRPr="00DC21A4">
              <w:t>takt time</w:t>
            </w:r>
          </w:p>
          <w:p w:rsidR="00000000" w:rsidRPr="00DC21A4" w:rsidP="00DC21A4">
            <w:pPr>
              <w:pStyle w:val="ListBullet"/>
            </w:pPr>
            <w:r w:rsidRPr="00DC21A4">
              <w:t>process mapping</w:t>
            </w:r>
          </w:p>
          <w:p w:rsidR="00000000" w:rsidRPr="00DC21A4" w:rsidP="00DC21A4">
            <w:pPr>
              <w:pStyle w:val="ListBullet"/>
            </w:pPr>
            <w:r w:rsidRPr="00DC21A4">
              <w:t xml:space="preserve">problem solving </w:t>
            </w:r>
          </w:p>
          <w:p w:rsidR="00000000" w:rsidRPr="00DC21A4" w:rsidP="00DC21A4">
            <w:pPr>
              <w:pStyle w:val="ListBullet"/>
            </w:pPr>
            <w:r w:rsidRPr="00DC21A4">
              <w:t>run charts</w:t>
            </w:r>
          </w:p>
          <w:p w:rsidR="00000000" w:rsidRPr="00DC21A4" w:rsidP="00DC21A4">
            <w:pPr>
              <w:pStyle w:val="ListBullet"/>
            </w:pPr>
            <w:r w:rsidRPr="00DC21A4">
              <w:t>standard procedures</w:t>
            </w:r>
          </w:p>
          <w:p w:rsidR="00000000" w:rsidRPr="00DC21A4" w:rsidP="00DC21A4">
            <w:pPr>
              <w:pStyle w:val="ListBullet"/>
            </w:pPr>
            <w:r w:rsidRPr="00DC21A4">
              <w:t>current reality tree</w:t>
            </w:r>
          </w:p>
          <w:p w:rsidR="00000000" w:rsidRPr="00DC21A4" w:rsidP="00DC21A4">
            <w:pPr>
              <w:pStyle w:val="BodyText"/>
            </w:pPr>
            <w:r w:rsidRPr="00DC21A4">
              <w:t>Competitive systems and practices should be interpreted so as to take into account:</w:t>
            </w:r>
          </w:p>
          <w:p w:rsidR="00000000" w:rsidRPr="00DC21A4" w:rsidP="00DC21A4">
            <w:pPr>
              <w:pStyle w:val="ListBullet"/>
            </w:pPr>
            <w:r w:rsidRPr="00DC21A4">
              <w:t>the stage of implementation of competitive systems and practices</w:t>
            </w:r>
          </w:p>
          <w:p w:rsidR="00000000" w:rsidRPr="00DC21A4" w:rsidP="00DC21A4">
            <w:pPr>
              <w:pStyle w:val="ListBullet"/>
            </w:pPr>
            <w:r w:rsidRPr="00DC21A4">
              <w:t>the size of the enterprise</w:t>
            </w:r>
          </w:p>
          <w:p w:rsidR="00000000" w:rsidP="00DC21A4">
            <w:pPr>
              <w:pStyle w:val="ListBullet"/>
              <w:rPr>
                <w:lang w:val="en-NZ"/>
              </w:rPr>
            </w:pPr>
            <w:r w:rsidRPr="00DC21A4">
              <w:t>the work organisation, culture, regulatory environment and</w:t>
            </w:r>
            <w:r w:rsidRPr="00DC21A4">
              <w:t xml:space="preserve"> the industry sector</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Quality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Quality parameters may include:</w:t>
            </w:r>
          </w:p>
          <w:p w:rsidR="00000000" w:rsidRPr="00DC21A4" w:rsidP="00DC21A4">
            <w:pPr>
              <w:pStyle w:val="ListBullet"/>
            </w:pPr>
            <w:r w:rsidRPr="00DC21A4">
              <w:t>finish</w:t>
            </w:r>
          </w:p>
          <w:p w:rsidR="00000000" w:rsidRPr="00DC21A4" w:rsidP="00DC21A4">
            <w:pPr>
              <w:pStyle w:val="ListBullet"/>
            </w:pPr>
            <w:r w:rsidRPr="00DC21A4">
              <w:t>size</w:t>
            </w:r>
          </w:p>
          <w:p w:rsidR="00000000" w:rsidRPr="00DC21A4" w:rsidP="00DC21A4">
            <w:pPr>
              <w:pStyle w:val="ListBullet"/>
            </w:pPr>
            <w:r w:rsidRPr="00DC21A4">
              <w:t>durability</w:t>
            </w:r>
          </w:p>
          <w:p w:rsidR="00000000" w:rsidRPr="00DC21A4" w:rsidP="00DC21A4">
            <w:pPr>
              <w:pStyle w:val="ListBullet"/>
            </w:pPr>
            <w:r w:rsidRPr="00DC21A4">
              <w:t>product or process variations</w:t>
            </w:r>
          </w:p>
          <w:p w:rsidR="00000000" w:rsidRPr="00DC21A4" w:rsidP="00DC21A4">
            <w:pPr>
              <w:pStyle w:val="ListBullet"/>
            </w:pPr>
            <w:r w:rsidRPr="00DC21A4">
              <w:t>materials</w:t>
            </w:r>
          </w:p>
          <w:p w:rsidR="00000000" w:rsidRPr="00DC21A4" w:rsidP="00DC21A4">
            <w:pPr>
              <w:pStyle w:val="ListBullet"/>
            </w:pPr>
            <w:r w:rsidRPr="00DC21A4">
              <w:t>alignment</w:t>
            </w:r>
          </w:p>
          <w:p w:rsidR="00000000" w:rsidRPr="00DC21A4" w:rsidP="00DC21A4">
            <w:pPr>
              <w:pStyle w:val="ListBullet"/>
            </w:pPr>
            <w:r w:rsidRPr="00DC21A4">
              <w:t>colour</w:t>
            </w:r>
          </w:p>
          <w:p w:rsidR="00000000" w:rsidRPr="00DC21A4" w:rsidP="00DC21A4">
            <w:pPr>
              <w:pStyle w:val="ListBullet"/>
            </w:pPr>
            <w:r w:rsidRPr="00DC21A4">
              <w:t>damage and imperfections</w:t>
            </w:r>
          </w:p>
          <w:p w:rsidR="00000000" w:rsidP="00DC21A4">
            <w:pPr>
              <w:pStyle w:val="ListBullet"/>
              <w:rPr>
                <w:lang w:val="en-NZ"/>
              </w:rPr>
            </w:pPr>
            <w:r w:rsidRPr="00DC21A4">
              <w:t>time</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Quality checks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Quality checks are against set parameters for the process or product. Examples include:</w:t>
            </w:r>
          </w:p>
          <w:p w:rsidR="00000000" w:rsidRPr="00DC21A4" w:rsidP="00DC21A4">
            <w:pPr>
              <w:pStyle w:val="ListBullet"/>
            </w:pPr>
            <w:r w:rsidRPr="00DC21A4">
              <w:t>visual inspection</w:t>
            </w:r>
          </w:p>
          <w:p w:rsidR="00000000" w:rsidRPr="00DC21A4" w:rsidP="00DC21A4">
            <w:pPr>
              <w:pStyle w:val="ListBullet"/>
            </w:pPr>
            <w:r w:rsidRPr="00DC21A4">
              <w:t>physical measurements</w:t>
            </w:r>
          </w:p>
          <w:p w:rsidR="00000000" w:rsidRPr="00DC21A4" w:rsidP="00DC21A4">
            <w:pPr>
              <w:pStyle w:val="ListBullet"/>
            </w:pPr>
            <w:r w:rsidRPr="00DC21A4">
              <w:t>chemical tests</w:t>
            </w:r>
          </w:p>
          <w:p w:rsidR="00000000" w:rsidRPr="00DC21A4" w:rsidP="00DC21A4">
            <w:pPr>
              <w:pStyle w:val="ListBullet"/>
            </w:pPr>
            <w:r w:rsidRPr="00DC21A4">
              <w:t>checks against patterns, templates and guides</w:t>
            </w:r>
          </w:p>
          <w:p w:rsidR="00000000" w:rsidP="00DC21A4">
            <w:pPr>
              <w:pStyle w:val="ListBullet"/>
              <w:rPr>
                <w:lang w:val="en-NZ"/>
              </w:rPr>
            </w:pPr>
            <w:r w:rsidRPr="00DC21A4">
              <w:t>processing time</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Materials may include:</w:t>
            </w:r>
          </w:p>
          <w:p w:rsidR="00000000" w:rsidRPr="00DC21A4" w:rsidP="00DC21A4">
            <w:pPr>
              <w:pStyle w:val="ListBullet"/>
            </w:pPr>
            <w:r w:rsidRPr="00DC21A4">
              <w:t xml:space="preserve">physical raw materials </w:t>
            </w:r>
          </w:p>
          <w:p w:rsidR="00000000" w:rsidRPr="00DC21A4" w:rsidP="00DC21A4">
            <w:pPr>
              <w:pStyle w:val="ListBullet"/>
            </w:pPr>
            <w:r w:rsidRPr="00DC21A4">
              <w:t>orders, forms and other documentation</w:t>
            </w:r>
          </w:p>
          <w:p w:rsidR="00000000" w:rsidP="00DC21A4">
            <w:pPr>
              <w:pStyle w:val="ListBullet"/>
              <w:rPr>
                <w:lang w:val="en-NZ"/>
              </w:rPr>
            </w:pPr>
            <w:r w:rsidRPr="00DC21A4">
              <w:t>services required for undertaking an operation (e.g. power, water, compressed air and fuel)</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rPr>
                <w:rStyle w:val="SpecialBold"/>
              </w:rPr>
              <w:t>Measure</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Measure includes:</w:t>
            </w:r>
          </w:p>
          <w:p w:rsidR="00000000" w:rsidP="00DC21A4">
            <w:pPr>
              <w:pStyle w:val="ListBullet"/>
              <w:rPr>
                <w:lang w:val="en-NZ"/>
              </w:rPr>
            </w:pPr>
            <w:r w:rsidRPr="00DC21A4">
              <w:t>those measurements which may be taken by the employee in the workplace/at</w:t>
            </w:r>
            <w:r w:rsidRPr="00DC21A4">
              <w:t xml:space="preserve"> their work station</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rPr>
                <w:rStyle w:val="SpecialBold"/>
              </w:rPr>
              <w:t>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Procedures may include:</w:t>
            </w:r>
          </w:p>
          <w:p w:rsidR="00000000" w:rsidRPr="00DC21A4" w:rsidP="00DC21A4">
            <w:pPr>
              <w:pStyle w:val="ListBullet"/>
            </w:pPr>
            <w:r w:rsidRPr="00DC21A4">
              <w:t>work instructions</w:t>
            </w:r>
          </w:p>
          <w:p w:rsidR="00000000" w:rsidRPr="00DC21A4" w:rsidP="00DC21A4">
            <w:pPr>
              <w:pStyle w:val="ListBullet"/>
            </w:pPr>
            <w:r w:rsidRPr="00DC21A4">
              <w:t>standard operating procedures</w:t>
            </w:r>
          </w:p>
          <w:p w:rsidR="00000000" w:rsidRPr="00DC21A4" w:rsidP="00DC21A4">
            <w:pPr>
              <w:pStyle w:val="ListBullet"/>
            </w:pPr>
            <w:r w:rsidRPr="00DC21A4">
              <w:t>formulas/recipes</w:t>
            </w:r>
          </w:p>
          <w:p w:rsidR="00000000" w:rsidRPr="00DC21A4" w:rsidP="00DC21A4">
            <w:pPr>
              <w:pStyle w:val="ListBullet"/>
            </w:pPr>
            <w:r w:rsidRPr="00DC21A4">
              <w:t>batch sheets</w:t>
            </w:r>
          </w:p>
          <w:p w:rsidR="00000000" w:rsidRPr="00DC21A4" w:rsidP="00DC21A4">
            <w:pPr>
              <w:pStyle w:val="ListBullet"/>
            </w:pPr>
            <w:r w:rsidRPr="00DC21A4">
              <w:t>temporary instructions and similar instructions provided for the operation of the plant</w:t>
            </w:r>
          </w:p>
          <w:p w:rsidR="00000000" w:rsidRPr="00DC21A4" w:rsidP="00DC21A4">
            <w:pPr>
              <w:pStyle w:val="ListBullet"/>
            </w:pPr>
            <w:r w:rsidRPr="00DC21A4">
              <w:t xml:space="preserve">good operating practice as may be defined by industry codes of practice (e.g. good manufacturing practice (GMP) and responsible care) </w:t>
            </w:r>
          </w:p>
          <w:p w:rsidR="00000000" w:rsidRPr="00DC21A4" w:rsidP="00DC21A4">
            <w:pPr>
              <w:pStyle w:val="ListBullet"/>
            </w:pPr>
            <w:r w:rsidRPr="00DC21A4">
              <w:t>government regulations</w:t>
            </w:r>
          </w:p>
          <w:p w:rsidR="00000000" w:rsidRPr="00DC21A4" w:rsidP="00DC21A4">
            <w:pPr>
              <w:pStyle w:val="BodyText"/>
            </w:pPr>
            <w:r w:rsidRPr="00DC21A4">
              <w:t>Procedures may be:</w:t>
            </w:r>
          </w:p>
          <w:p w:rsidR="00000000" w:rsidP="00DC21A4">
            <w:pPr>
              <w:pStyle w:val="ListBullet"/>
              <w:rPr>
                <w:lang w:val="en-NZ"/>
              </w:rPr>
            </w:pPr>
            <w:r w:rsidRPr="00DC21A4">
              <w:t>written, verbal, computer-based or in some other format</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Indicators of product</w:t>
            </w:r>
            <w:r w:rsidRPr="00DC21A4">
              <w:rPr>
                <w:rStyle w:val="SpecialBold"/>
              </w:rPr>
              <w:t>ion performance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Indicators of production performance may include:</w:t>
            </w:r>
          </w:p>
          <w:p w:rsidR="00000000" w:rsidRPr="00DC21A4" w:rsidP="00DC21A4">
            <w:pPr>
              <w:pStyle w:val="ListBullet"/>
            </w:pPr>
            <w:r w:rsidRPr="00DC21A4">
              <w:t>number of items/production rate</w:t>
            </w:r>
          </w:p>
          <w:p w:rsidR="00000000" w:rsidRPr="00DC21A4" w:rsidP="00DC21A4">
            <w:pPr>
              <w:pStyle w:val="ListBullet"/>
            </w:pPr>
            <w:r w:rsidRPr="00DC21A4">
              <w:t xml:space="preserve">delays and causes of delays (where known) </w:t>
            </w:r>
          </w:p>
          <w:p w:rsidR="00000000" w:rsidP="00DC21A4">
            <w:pPr>
              <w:pStyle w:val="ListBullet"/>
              <w:rPr>
                <w:lang w:val="en-NZ"/>
              </w:rPr>
            </w:pPr>
            <w:r w:rsidRPr="00DC21A4">
              <w:t>other information as specified in the procedures</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Data entry/recording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Data entry/recording may include:</w:t>
            </w:r>
          </w:p>
          <w:p w:rsidR="00000000" w:rsidRPr="00DC21A4" w:rsidP="00DC21A4">
            <w:pPr>
              <w:pStyle w:val="ListBullet"/>
            </w:pPr>
            <w:r w:rsidRPr="00DC21A4">
              <w:t>keyboard</w:t>
            </w:r>
          </w:p>
          <w:p w:rsidR="00000000" w:rsidRPr="00DC21A4" w:rsidP="00DC21A4">
            <w:pPr>
              <w:pStyle w:val="ListBullet"/>
            </w:pPr>
            <w:r w:rsidRPr="00DC21A4">
              <w:t>written (including ticks or signs)</w:t>
            </w:r>
          </w:p>
          <w:p w:rsidR="00000000" w:rsidP="00DC21A4">
            <w:pPr>
              <w:pStyle w:val="ListBullet"/>
              <w:rPr>
                <w:lang w:val="en-NZ"/>
              </w:rPr>
            </w:pPr>
            <w:r w:rsidRPr="00DC21A4">
              <w:t>verbal</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Sources of information/ documents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Sources of information/documents may include:</w:t>
            </w:r>
          </w:p>
          <w:p w:rsidR="00000000" w:rsidRPr="00DC21A4" w:rsidP="00DC21A4">
            <w:pPr>
              <w:pStyle w:val="ListBullet"/>
            </w:pPr>
            <w:r w:rsidRPr="00DC21A4">
              <w:t>quality and Australian standards and procedures</w:t>
            </w:r>
          </w:p>
          <w:p w:rsidR="00000000" w:rsidRPr="00DC21A4" w:rsidP="00DC21A4">
            <w:pPr>
              <w:pStyle w:val="ListBullet"/>
            </w:pPr>
            <w:r w:rsidRPr="00DC21A4">
              <w:t>work instructions, patterns, designs and recipes</w:t>
            </w:r>
          </w:p>
          <w:p w:rsidR="00000000" w:rsidRPr="00DC21A4" w:rsidP="00DC21A4">
            <w:pPr>
              <w:pStyle w:val="ListBullet"/>
            </w:pPr>
            <w:r w:rsidRPr="00DC21A4">
              <w:t>organisation work procedures</w:t>
            </w:r>
          </w:p>
          <w:p w:rsidR="00000000" w:rsidRPr="00DC21A4" w:rsidP="00DC21A4">
            <w:pPr>
              <w:pStyle w:val="ListBullet"/>
            </w:pPr>
            <w:r w:rsidRPr="00DC21A4">
              <w:t>manufacturer instructions for materials and equipment</w:t>
            </w:r>
          </w:p>
          <w:p w:rsidR="00000000" w:rsidRPr="00DC21A4" w:rsidP="00DC21A4">
            <w:pPr>
              <w:pStyle w:val="ListBullet"/>
            </w:pPr>
            <w:r w:rsidRPr="00DC21A4">
              <w:t>organisational or external personnel</w:t>
            </w:r>
          </w:p>
          <w:p w:rsidR="00000000" w:rsidP="00DC21A4">
            <w:pPr>
              <w:pStyle w:val="ListBullet"/>
              <w:rPr>
                <w:lang w:val="en-NZ"/>
              </w:rPr>
            </w:pPr>
            <w:r w:rsidRPr="00DC21A4">
              <w:t>customer requirements</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Investigate and report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Investigate and report includes:</w:t>
            </w:r>
          </w:p>
          <w:p w:rsidR="00000000" w:rsidRPr="00DC21A4" w:rsidP="00DC21A4">
            <w:pPr>
              <w:pStyle w:val="ListBullet"/>
            </w:pPr>
            <w:r w:rsidRPr="00DC21A4">
              <w:t>following set procedures defined for such investigations</w:t>
            </w:r>
          </w:p>
          <w:p w:rsidR="00000000" w:rsidRPr="00DC21A4" w:rsidP="00DC21A4">
            <w:pPr>
              <w:pStyle w:val="BodyText"/>
            </w:pPr>
            <w:r w:rsidRPr="00DC21A4">
              <w:t>Set procedures may include:</w:t>
            </w:r>
          </w:p>
          <w:p w:rsidR="00000000" w:rsidRPr="00DC21A4" w:rsidP="00DC21A4">
            <w:pPr>
              <w:pStyle w:val="ListBullet"/>
            </w:pPr>
            <w:r w:rsidRPr="00DC21A4">
              <w:t>verbal instructions</w:t>
            </w:r>
          </w:p>
          <w:p w:rsidR="00000000" w:rsidRPr="00DC21A4" w:rsidP="00DC21A4">
            <w:pPr>
              <w:pStyle w:val="ListBullet"/>
            </w:pPr>
            <w:r w:rsidRPr="00DC21A4">
              <w:t xml:space="preserve">documented procedures </w:t>
            </w:r>
          </w:p>
          <w:p w:rsidR="00000000" w:rsidP="00DC21A4">
            <w:pPr>
              <w:pStyle w:val="ListBullet"/>
              <w:rPr>
                <w:lang w:val="en-NZ"/>
              </w:rPr>
            </w:pPr>
            <w:r w:rsidRPr="00DC21A4">
              <w:t>other quality procedures as implemented within an organisation or work environment</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Workplace context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Workplace context includes:</w:t>
            </w:r>
          </w:p>
          <w:p w:rsidR="00000000" w:rsidRPr="00DC21A4" w:rsidP="00DC21A4">
            <w:pPr>
              <w:pStyle w:val="ListBullet"/>
            </w:pPr>
            <w:r w:rsidRPr="00DC21A4">
              <w:t>work organisation procedures and practices relating to the manufacture and quality outcomes for products</w:t>
            </w:r>
          </w:p>
          <w:p w:rsidR="00000000" w:rsidRPr="00DC21A4" w:rsidP="00DC21A4">
            <w:pPr>
              <w:pStyle w:val="ListBullet"/>
            </w:pPr>
            <w:r w:rsidRPr="00DC21A4">
              <w:t>conditions of service, legislation and industrial agreements, including:</w:t>
            </w:r>
          </w:p>
          <w:p w:rsidR="00000000" w:rsidRPr="00DC21A4" w:rsidP="00DC21A4">
            <w:pPr>
              <w:pStyle w:val="ListBullet2"/>
            </w:pPr>
            <w:r w:rsidRPr="00DC21A4">
              <w:t>workplace agreements and awards</w:t>
            </w:r>
          </w:p>
          <w:p w:rsidR="00000000" w:rsidRPr="00DC21A4" w:rsidP="00DC21A4">
            <w:pPr>
              <w:pStyle w:val="ListBullet2"/>
            </w:pPr>
            <w:r w:rsidRPr="00DC21A4">
              <w:t>federal or state/territory legislation</w:t>
            </w:r>
          </w:p>
          <w:p w:rsidR="00000000" w:rsidP="00DC21A4">
            <w:pPr>
              <w:pStyle w:val="ListBullet2"/>
              <w:rPr>
                <w:lang w:val="en-NZ"/>
              </w:rPr>
            </w:pPr>
            <w:r w:rsidRPr="00DC21A4">
              <w:t>standa</w:t>
            </w:r>
            <w:r w:rsidRPr="00DC21A4">
              <w:t>rd work practice</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Reporting/communication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Reporting/communication may include:</w:t>
            </w:r>
          </w:p>
          <w:p w:rsidR="00000000" w:rsidRPr="00DC21A4" w:rsidP="00DC21A4">
            <w:pPr>
              <w:pStyle w:val="ListBullet"/>
            </w:pPr>
            <w:r w:rsidRPr="00DC21A4">
              <w:t>verbal and written communication in accordance with organisational policies and procedures</w:t>
            </w:r>
          </w:p>
          <w:p w:rsidR="00000000" w:rsidP="00DC21A4">
            <w:pPr>
              <w:pStyle w:val="ListBullet"/>
              <w:rPr>
                <w:lang w:val="en-NZ"/>
              </w:rPr>
            </w:pPr>
            <w:r w:rsidRPr="00DC21A4">
              <w:t>oral, written or visual communication and may include simple data</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Being responsible for the maintenance of own work quality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Being responsible for the maintenance of own work quality may include:</w:t>
            </w:r>
          </w:p>
          <w:p w:rsidR="00000000" w:rsidRPr="00DC21A4" w:rsidP="00DC21A4">
            <w:pPr>
              <w:pStyle w:val="ListBullet"/>
            </w:pPr>
            <w:r w:rsidRPr="00DC21A4">
              <w:t>contributing to the quality improvement of team or section output, where necessary, in accordance with workplace procedures</w:t>
            </w:r>
          </w:p>
          <w:p w:rsidR="00000000" w:rsidP="00DC21A4">
            <w:pPr>
              <w:pStyle w:val="ListBullet"/>
              <w:rPr>
                <w:lang w:val="en-NZ"/>
              </w:rPr>
            </w:pPr>
            <w:r w:rsidRPr="00DC21A4">
              <w:t>fo</w:t>
            </w:r>
            <w:r w:rsidRPr="00DC21A4">
              <w:t>llowing safety, environmental, housekeeping and quality procedures as specified by materials/machine/equipment manufacturers, regulatory authorities and the organisation</w:t>
            </w:r>
          </w:p>
        </w:tc>
      </w:tr>
      <w:tr w:rsidTr="00DC21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A4">
            <w:pPr>
              <w:pStyle w:val="BodyText"/>
              <w:rPr>
                <w:lang w:val="en-NZ"/>
              </w:rPr>
            </w:pPr>
            <w:r w:rsidRPr="00DC21A4">
              <w:rPr>
                <w:rStyle w:val="SpecialBold"/>
              </w:rPr>
              <w:t>Applicable regulations and 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A4" w:rsidP="00DC21A4">
            <w:pPr>
              <w:pStyle w:val="BodyText"/>
            </w:pPr>
            <w:r w:rsidRPr="00DC21A4">
              <w:t>Applicable regulations and legislation may inc</w:t>
            </w:r>
            <w:r w:rsidRPr="00DC21A4">
              <w:t>lude:</w:t>
            </w:r>
          </w:p>
          <w:p w:rsidR="00000000" w:rsidRPr="00DC21A4" w:rsidP="00DC21A4">
            <w:pPr>
              <w:pStyle w:val="ListBullet"/>
            </w:pPr>
            <w:r w:rsidRPr="00DC21A4">
              <w:t>OHS legislation relevant to workplace activities</w:t>
            </w:r>
          </w:p>
          <w:p w:rsidR="00000000" w:rsidRPr="00DC21A4" w:rsidP="00DC21A4">
            <w:pPr>
              <w:pStyle w:val="ListBullet"/>
            </w:pPr>
            <w:r w:rsidRPr="00DC21A4">
              <w:t>workers compensation legislation</w:t>
            </w:r>
          </w:p>
        </w:tc>
      </w:tr>
    </w:tbl>
    <w:p w:rsidR="007A05F1" w:rsidP="00DC21A4">
      <w:pPr>
        <w:pStyle w:val="BodyText"/>
      </w:pPr>
    </w:p>
    <w:p w:rsidR="007A05F1" w:rsidP="00DC21A4">
      <w:pPr>
        <w:pStyle w:val="BodyText"/>
      </w:pPr>
    </w:p>
    <w:p w:rsidR="00000000" w:rsidRPr="00DC21A4" w:rsidP="00DC21A4">
      <w:pPr>
        <w:pStyle w:val="Heading1"/>
      </w:pPr>
      <w:bookmarkStart w:id="12" w:name="O_466553"/>
      <w:bookmarkEnd w:id="12"/>
      <w:r w:rsidRPr="00DC21A4">
        <w:t>Unit Sector(s)</w:t>
      </w:r>
    </w:p>
    <w:tbl>
      <w:tblPr>
        <w:tblW w:w="9354" w:type="dxa"/>
        <w:tblLayout w:type="fixed"/>
        <w:tblCellMar>
          <w:left w:w="62" w:type="dxa"/>
          <w:right w:w="62" w:type="dxa"/>
        </w:tblCellMar>
        <w:tblLook w:val="0000"/>
      </w:tblPr>
      <w:tblGrid>
        <w:gridCol w:w="2592"/>
        <w:gridCol w:w="6762"/>
      </w:tblGrid>
      <w:tr w:rsidTr="00DC21A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C21A4">
            <w:pPr>
              <w:pStyle w:val="BodyText"/>
              <w:rPr>
                <w:lang w:val="en-NZ"/>
              </w:rPr>
            </w:pPr>
            <w:r w:rsidRPr="00DC21A4">
              <w:t>Unit sector</w:t>
            </w:r>
          </w:p>
        </w:tc>
        <w:tc>
          <w:tcPr>
            <w:tcW w:w="6762" w:type="dxa"/>
            <w:tcBorders>
              <w:top w:val="nil"/>
              <w:left w:val="nil"/>
              <w:bottom w:val="nil"/>
              <w:right w:val="nil"/>
            </w:tcBorders>
            <w:tcMar>
              <w:top w:w="0" w:type="dxa"/>
              <w:left w:w="62" w:type="dxa"/>
              <w:bottom w:w="0" w:type="dxa"/>
              <w:right w:w="62" w:type="dxa"/>
            </w:tcMar>
          </w:tcPr>
          <w:p w:rsidR="00000000" w:rsidRPr="00DC21A4" w:rsidP="00DC21A4">
            <w:pPr>
              <w:pStyle w:val="BodyText"/>
            </w:pPr>
            <w:r w:rsidRPr="00DC21A4">
              <w:t>Competitive systems and practices</w:t>
            </w:r>
          </w:p>
        </w:tc>
      </w:tr>
    </w:tbl>
    <w:p w:rsidR="00000000" w:rsidRPr="00DC21A4" w:rsidP="00DC21A4">
      <w:pPr>
        <w:pStyle w:val="BodyText"/>
      </w:pPr>
    </w:p>
    <w:p w:rsidR="00000000" w:rsidRPr="00DC21A4" w:rsidP="00DC21A4">
      <w:pPr>
        <w:pStyle w:val="AllowPageBreak"/>
      </w:pPr>
    </w:p>
    <w:p w:rsidR="00000000" w:rsidRPr="00DC21A4" w:rsidP="00DC21A4">
      <w:pPr>
        <w:pStyle w:val="Heading1"/>
      </w:pPr>
      <w:bookmarkStart w:id="13" w:name="O_466554"/>
      <w:bookmarkEnd w:id="13"/>
      <w:r w:rsidRPr="00DC21A4">
        <w:t>Custom Content Section</w:t>
      </w:r>
    </w:p>
    <w:p w:rsidR="00000000" w:rsidRPr="00DC21A4" w:rsidP="00DC21A4">
      <w:pPr>
        <w:pStyle w:val="BodyText"/>
      </w:pPr>
      <w:r w:rsidRPr="00DC21A4">
        <w:t>Not applicable.</w:t>
      </w:r>
    </w:p>
    <w:p w:rsidR="00000000" w:rsidRPr="00DC21A4" w:rsidP="00DC21A4"/>
    <w:sectPr w:rsidSect="00DC21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5F1" w:rsidP="007A0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F1" w:rsidP="00DC2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05F1" w:rsidP="00DC21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05F1" w:rsidP="00DC21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5F1" w:rsidP="007A05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F1" w:rsidP="00DC21A4">
    <w:pPr>
      <w:pStyle w:val="Header"/>
      <w:framePr w:wrap="around"/>
    </w:pPr>
    <w:r>
      <w:fldChar w:fldCharType="begin"/>
    </w:r>
    <w:r>
      <w:instrText xml:space="preserve"> TITLE   \* MERGEFORMAT </w:instrText>
    </w:r>
    <w:r>
      <w:fldChar w:fldCharType="separate"/>
    </w:r>
    <w:r>
      <w:t>MSS402051A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05F1" w:rsidP="00DC21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69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20B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43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1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21A4"/>
    <w:pPr>
      <w:spacing w:before="360" w:after="60"/>
      <w:outlineLvl w:val="0"/>
    </w:pPr>
    <w:rPr>
      <w:sz w:val="32"/>
    </w:rPr>
  </w:style>
  <w:style w:type="paragraph" w:styleId="Heading2">
    <w:name w:val="heading 2"/>
    <w:basedOn w:val="HeadingBase"/>
    <w:next w:val="BodyText"/>
    <w:link w:val="Heading2Char"/>
    <w:qFormat/>
    <w:rsid w:val="00DC21A4"/>
    <w:pPr>
      <w:keepLines/>
      <w:spacing w:before="240" w:after="120"/>
      <w:outlineLvl w:val="1"/>
    </w:pPr>
    <w:rPr>
      <w:sz w:val="28"/>
      <w:szCs w:val="40"/>
    </w:rPr>
  </w:style>
  <w:style w:type="paragraph" w:styleId="Heading3">
    <w:name w:val="heading 3"/>
    <w:basedOn w:val="HeadingBase"/>
    <w:next w:val="BodyText"/>
    <w:link w:val="Heading3Char"/>
    <w:qFormat/>
    <w:rsid w:val="00DC21A4"/>
    <w:pPr>
      <w:spacing w:before="180" w:after="120"/>
      <w:outlineLvl w:val="2"/>
    </w:pPr>
    <w:rPr>
      <w:spacing w:val="-10"/>
      <w:kern w:val="32"/>
    </w:rPr>
  </w:style>
  <w:style w:type="paragraph" w:styleId="Heading4">
    <w:name w:val="heading 4"/>
    <w:basedOn w:val="HeadingBase"/>
    <w:next w:val="BodyText"/>
    <w:link w:val="Heading4Char"/>
    <w:qFormat/>
    <w:rsid w:val="00DC21A4"/>
    <w:pPr>
      <w:spacing w:before="160" w:after="120"/>
      <w:outlineLvl w:val="3"/>
    </w:pPr>
    <w:rPr>
      <w:sz w:val="22"/>
    </w:rPr>
  </w:style>
  <w:style w:type="paragraph" w:styleId="Heading5">
    <w:name w:val="heading 5"/>
    <w:basedOn w:val="HeadingBase"/>
    <w:next w:val="Normal"/>
    <w:link w:val="Heading5Char"/>
    <w:qFormat/>
    <w:rsid w:val="00DC21A4"/>
    <w:pPr>
      <w:spacing w:before="80"/>
      <w:outlineLvl w:val="4"/>
    </w:pPr>
    <w:rPr>
      <w:color w:val="918585"/>
      <w:sz w:val="20"/>
    </w:rPr>
  </w:style>
  <w:style w:type="paragraph" w:styleId="Heading6">
    <w:name w:val="heading 6"/>
    <w:basedOn w:val="HeadingBase"/>
    <w:next w:val="Normal"/>
    <w:link w:val="Heading6Char"/>
    <w:qFormat/>
    <w:rsid w:val="00DC21A4"/>
    <w:pPr>
      <w:spacing w:before="60"/>
      <w:outlineLvl w:val="5"/>
    </w:pPr>
    <w:rPr>
      <w:color w:val="918585"/>
      <w:sz w:val="20"/>
    </w:rPr>
  </w:style>
  <w:style w:type="paragraph" w:styleId="Heading7">
    <w:name w:val="heading 7"/>
    <w:basedOn w:val="Normal"/>
    <w:next w:val="Normal"/>
    <w:link w:val="Heading7Char"/>
    <w:qFormat/>
    <w:rsid w:val="00DC21A4"/>
    <w:pPr>
      <w:ind w:left="720"/>
      <w:outlineLvl w:val="6"/>
    </w:pPr>
    <w:rPr>
      <w:i/>
    </w:rPr>
  </w:style>
  <w:style w:type="paragraph" w:styleId="Heading8">
    <w:name w:val="heading 8"/>
    <w:basedOn w:val="Normal"/>
    <w:next w:val="Normal"/>
    <w:link w:val="Heading8Char"/>
    <w:qFormat/>
    <w:rsid w:val="00DC21A4"/>
    <w:pPr>
      <w:ind w:left="720"/>
      <w:outlineLvl w:val="7"/>
    </w:pPr>
    <w:rPr>
      <w:i/>
    </w:rPr>
  </w:style>
  <w:style w:type="paragraph" w:styleId="Heading9">
    <w:name w:val="heading 9"/>
    <w:basedOn w:val="Normal"/>
    <w:next w:val="Normal"/>
    <w:link w:val="Heading9Char"/>
    <w:qFormat/>
    <w:rsid w:val="00DC21A4"/>
    <w:pPr>
      <w:ind w:left="720"/>
      <w:outlineLvl w:val="8"/>
    </w:pPr>
    <w:rPr>
      <w:i/>
    </w:rPr>
  </w:style>
  <w:style w:type="character" w:default="1" w:styleId="DefaultParagraphFont">
    <w:name w:val="Default Paragraph Font"/>
    <w:uiPriority w:val="1"/>
    <w:unhideWhenUsed/>
    <w:rsid w:val="00DC2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1A4"/>
  </w:style>
  <w:style w:type="character" w:customStyle="1" w:styleId="Heading1Char">
    <w:name w:val="Heading 1 Char"/>
    <w:link w:val="Heading1"/>
    <w:rsid w:val="00DC21A4"/>
    <w:rPr>
      <w:rFonts w:ascii="Times New Roman" w:eastAsia="Times New Roman" w:hAnsi="Times New Roman" w:cs="Times New Roman"/>
      <w:b/>
      <w:sz w:val="32"/>
      <w:szCs w:val="20"/>
      <w:lang w:eastAsia="en-US"/>
    </w:rPr>
  </w:style>
  <w:style w:type="paragraph" w:styleId="BodyText">
    <w:name w:val="Body Text"/>
    <w:basedOn w:val="Normal"/>
    <w:link w:val="BodyTextChar"/>
    <w:rsid w:val="00DC21A4"/>
    <w:pPr>
      <w:spacing w:before="120" w:after="120"/>
      <w:contextualSpacing/>
    </w:pPr>
    <w:rPr>
      <w:rFonts w:ascii="Times New Roman" w:hAnsi="Times New Roman"/>
      <w:sz w:val="24"/>
      <w:szCs w:val="22"/>
    </w:rPr>
  </w:style>
  <w:style w:type="character" w:customStyle="1" w:styleId="BodyTextChar">
    <w:name w:val="Body Text Char"/>
    <w:link w:val="BodyText"/>
    <w:rsid w:val="00DC21A4"/>
    <w:rPr>
      <w:rFonts w:ascii="Times New Roman" w:eastAsia="Times New Roman" w:hAnsi="Times New Roman" w:cs="Times New Roman"/>
      <w:sz w:val="24"/>
      <w:lang w:val="en-US" w:eastAsia="en-US"/>
    </w:rPr>
  </w:style>
  <w:style w:type="paragraph" w:styleId="Footer">
    <w:name w:val="footer"/>
    <w:basedOn w:val="Normal"/>
    <w:link w:val="FooterChar"/>
    <w:rsid w:val="00DC2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21A4"/>
    <w:rPr>
      <w:rFonts w:ascii="Times New Roman" w:eastAsia="Times New Roman" w:hAnsi="Times New Roman" w:cs="Times New Roman"/>
      <w:sz w:val="16"/>
      <w:lang w:val="en-US" w:eastAsia="en-US"/>
    </w:rPr>
  </w:style>
  <w:style w:type="paragraph" w:styleId="ListBullet">
    <w:name w:val="List Bullet"/>
    <w:basedOn w:val="List"/>
    <w:rsid w:val="00DC21A4"/>
    <w:pPr>
      <w:numPr>
        <w:numId w:val="13"/>
      </w:numPr>
      <w:tabs>
        <w:tab w:val="clear" w:pos="340"/>
      </w:tabs>
      <w:spacing w:before="40" w:after="40"/>
    </w:pPr>
  </w:style>
  <w:style w:type="character" w:customStyle="1" w:styleId="SpecialBold">
    <w:name w:val="Special Bold"/>
    <w:rsid w:val="00DC21A4"/>
    <w:rPr>
      <w:b/>
      <w:spacing w:val="0"/>
    </w:rPr>
  </w:style>
  <w:style w:type="paragraph" w:styleId="ListBullet2">
    <w:name w:val="List Bullet 2"/>
    <w:basedOn w:val="List2"/>
    <w:rsid w:val="00DC21A4"/>
    <w:pPr>
      <w:numPr>
        <w:numId w:val="14"/>
      </w:numPr>
      <w:tabs>
        <w:tab w:val="clear" w:pos="680"/>
      </w:tabs>
    </w:pPr>
  </w:style>
  <w:style w:type="paragraph" w:styleId="Header">
    <w:name w:val="header"/>
    <w:basedOn w:val="Normal"/>
    <w:link w:val="HeaderChar"/>
    <w:rsid w:val="00DC2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21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21A4"/>
    <w:pPr>
      <w:spacing w:before="240" w:after="120"/>
      <w:outlineLvl w:val="0"/>
    </w:pPr>
    <w:rPr>
      <w:rFonts w:ascii="Times New Roman" w:hAnsi="Times New Roman"/>
      <w:b/>
      <w:sz w:val="28"/>
    </w:rPr>
  </w:style>
  <w:style w:type="paragraph" w:customStyle="1" w:styleId="AllowPageBreak">
    <w:name w:val="AllowPageBreak"/>
    <w:rsid w:val="00DC21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C21A4"/>
    <w:rPr>
      <w:rFonts w:ascii="Times New Roman" w:eastAsia="Times New Roman" w:hAnsi="Times New Roman" w:cs="Times New Roman"/>
      <w:b/>
      <w:sz w:val="28"/>
      <w:szCs w:val="40"/>
      <w:lang w:eastAsia="en-US"/>
    </w:rPr>
  </w:style>
  <w:style w:type="character" w:customStyle="1" w:styleId="Heading3Char">
    <w:name w:val="Heading 3 Char"/>
    <w:link w:val="Heading3"/>
    <w:rsid w:val="00DC21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21A4"/>
    <w:rPr>
      <w:rFonts w:ascii="Times New Roman" w:eastAsia="Times New Roman" w:hAnsi="Times New Roman" w:cs="Times New Roman"/>
      <w:b/>
      <w:szCs w:val="20"/>
      <w:lang w:eastAsia="en-US"/>
    </w:rPr>
  </w:style>
  <w:style w:type="character" w:customStyle="1" w:styleId="Heading5Char">
    <w:name w:val="Heading 5 Char"/>
    <w:link w:val="Heading5"/>
    <w:rsid w:val="00DC21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2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1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21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21A4"/>
    <w:rPr>
      <w:rFonts w:ascii="Courier New" w:eastAsia="Times New Roman" w:hAnsi="Courier New" w:cs="Times New Roman"/>
      <w:i/>
      <w:szCs w:val="20"/>
      <w:lang w:val="en-US" w:eastAsia="en-US"/>
    </w:rPr>
  </w:style>
  <w:style w:type="paragraph" w:customStyle="1" w:styleId="HeadingBase">
    <w:name w:val="Heading Base"/>
    <w:rsid w:val="00DC2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1A4"/>
    <w:pPr>
      <w:tabs>
        <w:tab w:val="right" w:leader="dot" w:pos="9072"/>
      </w:tabs>
      <w:ind w:left="567"/>
    </w:pPr>
    <w:rPr>
      <w:szCs w:val="22"/>
    </w:rPr>
  </w:style>
  <w:style w:type="paragraph" w:customStyle="1" w:styleId="TOCBase">
    <w:name w:val="TOC Base"/>
    <w:rsid w:val="00DC2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1A4"/>
    <w:pPr>
      <w:tabs>
        <w:tab w:val="right" w:leader="dot" w:pos="9072"/>
      </w:tabs>
      <w:spacing w:before="40" w:after="40"/>
      <w:ind w:left="284"/>
    </w:pPr>
    <w:rPr>
      <w:rFonts w:ascii="Times New Roman" w:hAnsi="Times New Roman"/>
    </w:rPr>
  </w:style>
  <w:style w:type="paragraph" w:styleId="TOC1">
    <w:name w:val="toc 1"/>
    <w:basedOn w:val="TOCBase"/>
    <w:next w:val="Normal"/>
    <w:rsid w:val="00DC21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1A4"/>
    <w:pPr>
      <w:spacing w:before="5040"/>
      <w:jc w:val="center"/>
    </w:pPr>
    <w:rPr>
      <w:sz w:val="48"/>
      <w:szCs w:val="72"/>
      <w:lang w:val="en-US"/>
    </w:rPr>
  </w:style>
  <w:style w:type="character" w:customStyle="1" w:styleId="TitleChar">
    <w:name w:val="Title Char"/>
    <w:link w:val="Title"/>
    <w:rsid w:val="00DC2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1A4"/>
    <w:pPr>
      <w:tabs>
        <w:tab w:val="left" w:pos="3600"/>
        <w:tab w:val="left" w:pos="3958"/>
      </w:tabs>
    </w:pPr>
  </w:style>
  <w:style w:type="paragraph" w:styleId="List">
    <w:name w:val="List"/>
    <w:basedOn w:val="BodyText"/>
    <w:next w:val="BodyText"/>
    <w:rsid w:val="00DC21A4"/>
    <w:pPr>
      <w:tabs>
        <w:tab w:val="left" w:pos="340"/>
      </w:tabs>
      <w:spacing w:before="60" w:after="60"/>
      <w:ind w:left="340" w:hanging="340"/>
    </w:pPr>
  </w:style>
  <w:style w:type="paragraph" w:customStyle="1" w:styleId="Note">
    <w:name w:val="Note"/>
    <w:basedOn w:val="BodyText"/>
    <w:rsid w:val="00DC2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1A4"/>
    <w:pPr>
      <w:framePr w:wrap="auto" w:hAnchor="text" w:y="6049"/>
    </w:pPr>
    <w:rPr>
      <w:color w:val="000000"/>
      <w:sz w:val="40"/>
    </w:rPr>
  </w:style>
  <w:style w:type="paragraph" w:customStyle="1" w:styleId="TOCTitle">
    <w:name w:val="TOCTitle"/>
    <w:basedOn w:val="Heading1"/>
    <w:rsid w:val="00DC21A4"/>
    <w:pPr>
      <w:spacing w:after="240"/>
      <w:jc w:val="center"/>
      <w:outlineLvl w:val="9"/>
    </w:pPr>
    <w:rPr>
      <w:caps/>
    </w:rPr>
  </w:style>
  <w:style w:type="paragraph" w:customStyle="1" w:styleId="Version">
    <w:name w:val="Version"/>
    <w:rsid w:val="00DC2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1A4"/>
    <w:pPr>
      <w:keepNext w:val="0"/>
      <w:tabs>
        <w:tab w:val="right" w:pos="4176"/>
      </w:tabs>
      <w:ind w:left="198" w:hanging="198"/>
    </w:pPr>
    <w:rPr>
      <w:rFonts w:ascii="Garamond" w:hAnsi="Garamond"/>
    </w:rPr>
  </w:style>
  <w:style w:type="paragraph" w:styleId="IndexHeading">
    <w:name w:val="index heading"/>
    <w:basedOn w:val="Normal"/>
    <w:next w:val="Index1"/>
    <w:semiHidden/>
    <w:rsid w:val="00DC21A4"/>
    <w:pPr>
      <w:spacing w:before="120" w:after="120"/>
    </w:pPr>
    <w:rPr>
      <w:rFonts w:ascii="Arial" w:hAnsi="Arial"/>
      <w:b/>
      <w:color w:val="918585"/>
      <w:sz w:val="24"/>
    </w:rPr>
  </w:style>
  <w:style w:type="paragraph" w:customStyle="1" w:styleId="Chapter">
    <w:name w:val="Chapter"/>
    <w:basedOn w:val="Normal"/>
    <w:rsid w:val="00DC21A4"/>
    <w:pPr>
      <w:spacing w:before="240"/>
    </w:pPr>
    <w:rPr>
      <w:rFonts w:ascii="Times New Roman" w:hAnsi="Times New Roman"/>
      <w:smallCaps/>
      <w:spacing w:val="80"/>
      <w:sz w:val="28"/>
    </w:rPr>
  </w:style>
  <w:style w:type="paragraph" w:customStyle="1" w:styleId="InChapter">
    <w:name w:val="InChapter"/>
    <w:basedOn w:val="Heading3"/>
    <w:rsid w:val="00DC21A4"/>
    <w:pPr>
      <w:spacing w:after="240"/>
      <w:outlineLvl w:val="9"/>
    </w:pPr>
    <w:rPr>
      <w:noProof/>
    </w:rPr>
  </w:style>
  <w:style w:type="paragraph" w:styleId="Index2">
    <w:name w:val="index 2"/>
    <w:basedOn w:val="Normal"/>
    <w:next w:val="Normal"/>
    <w:semiHidden/>
    <w:rsid w:val="00DC21A4"/>
    <w:pPr>
      <w:tabs>
        <w:tab w:val="right" w:pos="4176"/>
      </w:tabs>
      <w:ind w:left="568" w:hanging="284"/>
    </w:pPr>
    <w:rPr>
      <w:rFonts w:ascii="Garamond" w:hAnsi="Garamond"/>
    </w:rPr>
  </w:style>
  <w:style w:type="paragraph" w:customStyle="1" w:styleId="Byline">
    <w:name w:val="Byline"/>
    <w:rsid w:val="00DC2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1A4"/>
    <w:pPr>
      <w:tabs>
        <w:tab w:val="clear" w:pos="3600"/>
        <w:tab w:val="clear" w:pos="3958"/>
      </w:tabs>
      <w:jc w:val="right"/>
    </w:pPr>
  </w:style>
  <w:style w:type="character" w:styleId="Emphasis">
    <w:name w:val="Emphasis"/>
    <w:qFormat/>
    <w:rsid w:val="00DC21A4"/>
    <w:rPr>
      <w:i/>
    </w:rPr>
  </w:style>
  <w:style w:type="paragraph" w:styleId="Caption">
    <w:name w:val="caption"/>
    <w:basedOn w:val="BodyText"/>
    <w:next w:val="Normal"/>
    <w:qFormat/>
    <w:rsid w:val="00DC21A4"/>
    <w:pPr>
      <w:framePr w:w="2268" w:hSpace="181" w:vSpace="181" w:wrap="around" w:vAnchor="text" w:hAnchor="page" w:x="1135" w:y="285" w:anchorLock="1"/>
    </w:pPr>
    <w:rPr>
      <w:i/>
    </w:rPr>
  </w:style>
  <w:style w:type="paragraph" w:customStyle="1" w:styleId="MiniTOCTitle">
    <w:name w:val="MiniTOCTitle"/>
    <w:basedOn w:val="Heading4"/>
    <w:rsid w:val="00DC21A4"/>
    <w:pPr>
      <w:spacing w:before="240"/>
      <w:outlineLvl w:val="9"/>
    </w:pPr>
    <w:rPr>
      <w:noProof/>
      <w:sz w:val="24"/>
    </w:rPr>
  </w:style>
  <w:style w:type="paragraph" w:customStyle="1" w:styleId="MiniTOCItem">
    <w:name w:val="MiniTOCItem"/>
    <w:basedOn w:val="ListBullet"/>
    <w:rsid w:val="00DC21A4"/>
    <w:pPr>
      <w:numPr>
        <w:numId w:val="0"/>
      </w:numPr>
      <w:tabs>
        <w:tab w:val="right" w:leader="dot" w:pos="6521"/>
      </w:tabs>
      <w:spacing w:before="0" w:after="0"/>
    </w:pPr>
  </w:style>
  <w:style w:type="paragraph" w:customStyle="1" w:styleId="TOFTitle">
    <w:name w:val="TOFTitle"/>
    <w:basedOn w:val="TOCTitle"/>
    <w:rsid w:val="00DC21A4"/>
  </w:style>
  <w:style w:type="paragraph" w:styleId="TableofFigures">
    <w:name w:val="table of figures"/>
    <w:basedOn w:val="Normal"/>
    <w:next w:val="Normal"/>
    <w:semiHidden/>
    <w:rsid w:val="00DC21A4"/>
    <w:pPr>
      <w:tabs>
        <w:tab w:val="right" w:leader="dot" w:pos="9072"/>
      </w:tabs>
      <w:ind w:left="970" w:hanging="403"/>
    </w:pPr>
    <w:rPr>
      <w:rFonts w:ascii="Times New Roman" w:hAnsi="Times New Roman"/>
      <w:b/>
    </w:rPr>
  </w:style>
  <w:style w:type="paragraph" w:styleId="ListNumber">
    <w:name w:val="List Number"/>
    <w:basedOn w:val="List"/>
    <w:rsid w:val="00DC21A4"/>
    <w:pPr>
      <w:numPr>
        <w:numId w:val="11"/>
      </w:numPr>
    </w:pPr>
  </w:style>
  <w:style w:type="character" w:customStyle="1" w:styleId="WingdingSymbols">
    <w:name w:val="Wingding Symbols"/>
    <w:rsid w:val="00DC21A4"/>
    <w:rPr>
      <w:rFonts w:ascii="Wingdings" w:hAnsi="Wingdings"/>
    </w:rPr>
  </w:style>
  <w:style w:type="paragraph" w:customStyle="1" w:styleId="TableHeading">
    <w:name w:val="Table Heading"/>
    <w:basedOn w:val="HeadingBase"/>
    <w:rsid w:val="00DC21A4"/>
    <w:pPr>
      <w:keepLines/>
      <w:pBdr>
        <w:bottom w:val="single" w:sz="6" w:space="1" w:color="918585"/>
      </w:pBdr>
      <w:spacing w:before="240"/>
    </w:pPr>
  </w:style>
  <w:style w:type="character" w:customStyle="1" w:styleId="HotSpot">
    <w:name w:val="HotSpot"/>
    <w:rsid w:val="00DC21A4"/>
    <w:rPr>
      <w:color w:val="0033CC"/>
      <w:u w:val="none"/>
    </w:rPr>
  </w:style>
  <w:style w:type="paragraph" w:customStyle="1" w:styleId="BodyTextRight">
    <w:name w:val="Body Text Right"/>
    <w:basedOn w:val="BodyText"/>
    <w:rsid w:val="00DC21A4"/>
    <w:pPr>
      <w:spacing w:before="0" w:after="0"/>
      <w:jc w:val="right"/>
    </w:pPr>
  </w:style>
  <w:style w:type="paragraph" w:styleId="Index3">
    <w:name w:val="index 3"/>
    <w:basedOn w:val="ListNumber2"/>
    <w:next w:val="Normal"/>
    <w:semiHidden/>
    <w:rsid w:val="00DC21A4"/>
    <w:pPr>
      <w:numPr>
        <w:numId w:val="0"/>
      </w:numPr>
      <w:tabs>
        <w:tab w:val="right" w:leader="dot" w:pos="4176"/>
      </w:tabs>
    </w:pPr>
  </w:style>
  <w:style w:type="paragraph" w:styleId="ListNumber2">
    <w:name w:val="List Number 2"/>
    <w:basedOn w:val="List2"/>
    <w:rsid w:val="00DC21A4"/>
    <w:pPr>
      <w:numPr>
        <w:numId w:val="10"/>
      </w:numPr>
      <w:tabs>
        <w:tab w:val="clear" w:pos="1060"/>
      </w:tabs>
    </w:pPr>
  </w:style>
  <w:style w:type="paragraph" w:customStyle="1" w:styleId="MarginNote">
    <w:name w:val="Margin Note"/>
    <w:basedOn w:val="BodyText"/>
    <w:rsid w:val="00DC2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21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21A4"/>
    <w:rPr>
      <w:sz w:val="32"/>
    </w:rPr>
  </w:style>
  <w:style w:type="paragraph" w:customStyle="1" w:styleId="HeadingProcedure">
    <w:name w:val="Heading Procedure"/>
    <w:basedOn w:val="HeadingBase"/>
    <w:next w:val="Normal"/>
    <w:rsid w:val="00DC21A4"/>
    <w:pPr>
      <w:tabs>
        <w:tab w:val="left" w:pos="0"/>
      </w:tabs>
      <w:spacing w:before="120" w:after="60"/>
    </w:pPr>
    <w:rPr>
      <w:i/>
      <w:color w:val="918585"/>
      <w:sz w:val="22"/>
    </w:rPr>
  </w:style>
  <w:style w:type="paragraph" w:customStyle="1" w:styleId="TableBodyText">
    <w:name w:val="Table Body Text"/>
    <w:basedOn w:val="BodyText"/>
    <w:rsid w:val="00DC21A4"/>
    <w:pPr>
      <w:spacing w:before="60" w:after="60"/>
    </w:pPr>
  </w:style>
  <w:style w:type="paragraph" w:styleId="ListContinue">
    <w:name w:val="List Continue"/>
    <w:basedOn w:val="List"/>
    <w:rsid w:val="00DC21A4"/>
    <w:pPr>
      <w:ind w:firstLine="0"/>
    </w:pPr>
  </w:style>
  <w:style w:type="paragraph" w:customStyle="1" w:styleId="ListNote">
    <w:name w:val="List Note"/>
    <w:basedOn w:val="List"/>
    <w:rsid w:val="00DC21A4"/>
    <w:pPr>
      <w:pBdr>
        <w:top w:val="single" w:sz="6" w:space="2" w:color="918585"/>
        <w:bottom w:val="single" w:sz="6" w:space="2" w:color="918585"/>
      </w:pBdr>
      <w:tabs>
        <w:tab w:val="left" w:pos="1021"/>
      </w:tabs>
      <w:ind w:firstLine="0"/>
    </w:pPr>
  </w:style>
  <w:style w:type="paragraph" w:customStyle="1" w:styleId="Warning">
    <w:name w:val="Warning"/>
    <w:basedOn w:val="BodyText"/>
    <w:rsid w:val="00DC21A4"/>
    <w:pPr>
      <w:shd w:val="clear" w:color="auto" w:fill="D9D9D9"/>
      <w:tabs>
        <w:tab w:val="left" w:pos="992"/>
      </w:tabs>
      <w:ind w:left="119" w:right="119"/>
    </w:pPr>
    <w:rPr>
      <w:sz w:val="20"/>
    </w:rPr>
  </w:style>
  <w:style w:type="paragraph" w:customStyle="1" w:styleId="MarginIcons">
    <w:name w:val="Margin Icons"/>
    <w:basedOn w:val="BodyText"/>
    <w:rsid w:val="00DC21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21A4"/>
    <w:rPr>
      <w:rFonts w:ascii="Courier New" w:hAnsi="Courier New"/>
    </w:rPr>
  </w:style>
  <w:style w:type="paragraph" w:customStyle="1" w:styleId="NoteBullet">
    <w:name w:val="Note Bullet"/>
    <w:basedOn w:val="Note"/>
    <w:rsid w:val="00DC21A4"/>
    <w:pPr>
      <w:tabs>
        <w:tab w:val="clear" w:pos="680"/>
      </w:tabs>
      <w:spacing w:before="60" w:after="60"/>
    </w:pPr>
  </w:style>
  <w:style w:type="paragraph" w:customStyle="1" w:styleId="SubHeading2">
    <w:name w:val="SubHeading2"/>
    <w:basedOn w:val="HeadingBase"/>
    <w:rsid w:val="00DC21A4"/>
    <w:pPr>
      <w:spacing w:before="240" w:after="60"/>
    </w:pPr>
    <w:rPr>
      <w:sz w:val="20"/>
    </w:rPr>
  </w:style>
  <w:style w:type="paragraph" w:customStyle="1" w:styleId="SubHeading1">
    <w:name w:val="SubHeading1"/>
    <w:basedOn w:val="HeadingBase"/>
    <w:rsid w:val="00DC21A4"/>
    <w:pPr>
      <w:spacing w:before="240" w:after="60"/>
    </w:pPr>
    <w:rPr>
      <w:color w:val="918585"/>
      <w:sz w:val="22"/>
    </w:rPr>
  </w:style>
  <w:style w:type="paragraph" w:customStyle="1" w:styleId="SideHeading">
    <w:name w:val="Side Heading"/>
    <w:basedOn w:val="HeadingBase"/>
    <w:rsid w:val="00DC2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1A4"/>
    <w:pPr>
      <w:numPr>
        <w:numId w:val="12"/>
      </w:numPr>
    </w:pPr>
  </w:style>
  <w:style w:type="paragraph" w:styleId="PlainText">
    <w:name w:val="Plain Text"/>
    <w:basedOn w:val="Normal"/>
    <w:link w:val="PlainTextChar"/>
    <w:rsid w:val="00DC21A4"/>
    <w:rPr>
      <w:sz w:val="20"/>
    </w:rPr>
  </w:style>
  <w:style w:type="character" w:customStyle="1" w:styleId="PlainTextChar">
    <w:name w:val="Plain Text Char"/>
    <w:basedOn w:val="DefaultParagraphFont"/>
    <w:link w:val="PlainText"/>
    <w:rsid w:val="00DC21A4"/>
    <w:rPr>
      <w:rFonts w:ascii="Courier New" w:eastAsia="Times New Roman" w:hAnsi="Courier New" w:cs="Times New Roman"/>
      <w:sz w:val="20"/>
      <w:szCs w:val="20"/>
      <w:lang w:val="en-US" w:eastAsia="en-US"/>
    </w:rPr>
  </w:style>
  <w:style w:type="character" w:customStyle="1" w:styleId="MenuOption">
    <w:name w:val="Menu Option"/>
    <w:rsid w:val="00DC21A4"/>
    <w:rPr>
      <w:b/>
      <w:smallCaps/>
    </w:rPr>
  </w:style>
  <w:style w:type="paragraph" w:customStyle="1" w:styleId="TableListNumber">
    <w:name w:val="Table List Number"/>
    <w:basedOn w:val="ListNumber"/>
    <w:rsid w:val="00DC21A4"/>
    <w:pPr>
      <w:numPr>
        <w:numId w:val="0"/>
      </w:numPr>
    </w:pPr>
  </w:style>
  <w:style w:type="paragraph" w:styleId="TOC4">
    <w:name w:val="toc 4"/>
    <w:basedOn w:val="TOCBase"/>
    <w:next w:val="Normal"/>
    <w:semiHidden/>
    <w:rsid w:val="00DC21A4"/>
    <w:pPr>
      <w:tabs>
        <w:tab w:val="right" w:leader="dot" w:pos="9071"/>
      </w:tabs>
      <w:ind w:left="1701"/>
    </w:pPr>
  </w:style>
  <w:style w:type="paragraph" w:customStyle="1" w:styleId="ListAlpha">
    <w:name w:val="List Alpha"/>
    <w:basedOn w:val="List"/>
    <w:rsid w:val="00DC21A4"/>
    <w:pPr>
      <w:numPr>
        <w:numId w:val="9"/>
      </w:numPr>
    </w:pPr>
  </w:style>
  <w:style w:type="paragraph" w:customStyle="1" w:styleId="ListAlpha2">
    <w:name w:val="List Alpha 2"/>
    <w:basedOn w:val="List2"/>
    <w:rsid w:val="00DC21A4"/>
    <w:pPr>
      <w:numPr>
        <w:numId w:val="8"/>
      </w:numPr>
    </w:pPr>
  </w:style>
  <w:style w:type="paragraph" w:styleId="List2">
    <w:name w:val="List 2"/>
    <w:basedOn w:val="BodyText"/>
    <w:rsid w:val="00DC21A4"/>
    <w:pPr>
      <w:tabs>
        <w:tab w:val="left" w:pos="680"/>
      </w:tabs>
      <w:spacing w:before="60" w:after="60"/>
      <w:ind w:left="680" w:hanging="340"/>
    </w:pPr>
  </w:style>
  <w:style w:type="paragraph" w:styleId="List3">
    <w:name w:val="List 3"/>
    <w:basedOn w:val="BodyText"/>
    <w:rsid w:val="00DC21A4"/>
    <w:pPr>
      <w:tabs>
        <w:tab w:val="left" w:pos="1021"/>
      </w:tabs>
      <w:spacing w:before="60" w:after="60"/>
      <w:ind w:left="1020" w:hanging="340"/>
    </w:pPr>
  </w:style>
  <w:style w:type="paragraph" w:styleId="List4">
    <w:name w:val="List 4"/>
    <w:basedOn w:val="BodyText"/>
    <w:rsid w:val="00DC21A4"/>
    <w:pPr>
      <w:tabs>
        <w:tab w:val="left" w:pos="1361"/>
      </w:tabs>
      <w:spacing w:before="60" w:after="60"/>
      <w:ind w:left="1361" w:hanging="340"/>
    </w:pPr>
  </w:style>
  <w:style w:type="paragraph" w:styleId="List5">
    <w:name w:val="List 5"/>
    <w:basedOn w:val="BodyText"/>
    <w:rsid w:val="00DC21A4"/>
    <w:pPr>
      <w:tabs>
        <w:tab w:val="left" w:pos="1701"/>
      </w:tabs>
      <w:spacing w:before="60" w:after="60"/>
      <w:ind w:left="1701" w:hanging="340"/>
    </w:pPr>
  </w:style>
  <w:style w:type="paragraph" w:styleId="ListBullet3">
    <w:name w:val="List Bullet 3"/>
    <w:basedOn w:val="List3"/>
    <w:rsid w:val="00DC21A4"/>
    <w:pPr>
      <w:numPr>
        <w:numId w:val="15"/>
      </w:numPr>
      <w:tabs>
        <w:tab w:val="clear" w:pos="1021"/>
      </w:tabs>
      <w:ind w:left="1037" w:hanging="357"/>
    </w:pPr>
  </w:style>
  <w:style w:type="paragraph" w:styleId="ListBullet4">
    <w:name w:val="List Bullet 4"/>
    <w:basedOn w:val="List4"/>
    <w:rsid w:val="00DC21A4"/>
    <w:pPr>
      <w:numPr>
        <w:numId w:val="3"/>
      </w:numPr>
    </w:pPr>
  </w:style>
  <w:style w:type="paragraph" w:styleId="ListBullet5">
    <w:name w:val="List Bullet 5"/>
    <w:basedOn w:val="List5"/>
    <w:rsid w:val="00DC21A4"/>
    <w:pPr>
      <w:numPr>
        <w:numId w:val="4"/>
      </w:numPr>
    </w:pPr>
  </w:style>
  <w:style w:type="paragraph" w:styleId="ListContinue2">
    <w:name w:val="List Continue 2"/>
    <w:basedOn w:val="List2"/>
    <w:rsid w:val="00DC21A4"/>
    <w:pPr>
      <w:ind w:firstLine="0"/>
    </w:pPr>
  </w:style>
  <w:style w:type="paragraph" w:styleId="ListContinue3">
    <w:name w:val="List Continue 3"/>
    <w:basedOn w:val="List3"/>
    <w:rsid w:val="00DC21A4"/>
    <w:pPr>
      <w:ind w:left="1021" w:firstLine="0"/>
    </w:pPr>
  </w:style>
  <w:style w:type="paragraph" w:styleId="ListContinue4">
    <w:name w:val="List Continue 4"/>
    <w:basedOn w:val="List4"/>
    <w:rsid w:val="00DC21A4"/>
    <w:pPr>
      <w:ind w:firstLine="0"/>
    </w:pPr>
  </w:style>
  <w:style w:type="paragraph" w:styleId="ListContinue5">
    <w:name w:val="List Continue 5"/>
    <w:basedOn w:val="List5"/>
    <w:rsid w:val="00DC21A4"/>
    <w:pPr>
      <w:ind w:firstLine="0"/>
    </w:pPr>
  </w:style>
  <w:style w:type="paragraph" w:styleId="ListNumber3">
    <w:name w:val="List Number 3"/>
    <w:basedOn w:val="List3"/>
    <w:rsid w:val="00DC21A4"/>
    <w:pPr>
      <w:numPr>
        <w:numId w:val="5"/>
      </w:numPr>
    </w:pPr>
  </w:style>
  <w:style w:type="paragraph" w:styleId="ListNumber4">
    <w:name w:val="List Number 4"/>
    <w:basedOn w:val="List4"/>
    <w:rsid w:val="00DC21A4"/>
    <w:pPr>
      <w:numPr>
        <w:numId w:val="6"/>
      </w:numPr>
    </w:pPr>
  </w:style>
  <w:style w:type="paragraph" w:styleId="ListNumber5">
    <w:name w:val="List Number 5"/>
    <w:basedOn w:val="List5"/>
    <w:rsid w:val="00DC21A4"/>
    <w:pPr>
      <w:numPr>
        <w:numId w:val="7"/>
      </w:numPr>
    </w:pPr>
  </w:style>
  <w:style w:type="paragraph" w:styleId="BlockText">
    <w:name w:val="Block Text"/>
    <w:basedOn w:val="Normal"/>
    <w:rsid w:val="00DC21A4"/>
    <w:pPr>
      <w:spacing w:after="120"/>
      <w:ind w:left="1440" w:right="1440"/>
    </w:pPr>
  </w:style>
  <w:style w:type="character" w:customStyle="1" w:styleId="Subscript">
    <w:name w:val="Subscript"/>
    <w:rsid w:val="00DC21A4"/>
    <w:rPr>
      <w:sz w:val="16"/>
      <w:vertAlign w:val="subscript"/>
    </w:rPr>
  </w:style>
  <w:style w:type="character" w:customStyle="1" w:styleId="Superscript">
    <w:name w:val="Superscript"/>
    <w:rsid w:val="00DC21A4"/>
    <w:rPr>
      <w:sz w:val="16"/>
      <w:vertAlign w:val="superscript"/>
    </w:rPr>
  </w:style>
  <w:style w:type="character" w:customStyle="1" w:styleId="Symbols">
    <w:name w:val="Symbols"/>
    <w:rsid w:val="00DC21A4"/>
    <w:rPr>
      <w:rFonts w:ascii="Symbol" w:hAnsi="Symbol"/>
    </w:rPr>
  </w:style>
  <w:style w:type="character" w:customStyle="1" w:styleId="MenuOptions">
    <w:name w:val="Menu Options"/>
    <w:rsid w:val="00DC21A4"/>
    <w:rPr>
      <w:rFonts w:ascii="Arial Narrow" w:hAnsi="Arial Narrow"/>
      <w:smallCaps/>
    </w:rPr>
  </w:style>
  <w:style w:type="character" w:customStyle="1" w:styleId="Buttons">
    <w:name w:val="Buttons"/>
    <w:rsid w:val="00DC21A4"/>
    <w:rPr>
      <w:b/>
    </w:rPr>
  </w:style>
  <w:style w:type="character" w:customStyle="1" w:styleId="Underlined">
    <w:name w:val="Underlined"/>
    <w:rsid w:val="00DC21A4"/>
    <w:rPr>
      <w:u w:val="single"/>
    </w:rPr>
  </w:style>
  <w:style w:type="paragraph" w:customStyle="1" w:styleId="TableBodyTextRight">
    <w:name w:val="Table Body Text Right"/>
    <w:basedOn w:val="TableBodyText"/>
    <w:rsid w:val="00DC21A4"/>
    <w:pPr>
      <w:widowControl w:val="0"/>
      <w:autoSpaceDE w:val="0"/>
      <w:autoSpaceDN w:val="0"/>
      <w:adjustRightInd w:val="0"/>
      <w:jc w:val="right"/>
    </w:pPr>
    <w:rPr>
      <w:rFonts w:cs="Arial"/>
      <w:szCs w:val="18"/>
    </w:rPr>
  </w:style>
  <w:style w:type="paragraph" w:customStyle="1" w:styleId="CopyrightText">
    <w:name w:val="Copyright Text"/>
    <w:basedOn w:val="BodyText"/>
    <w:rsid w:val="00DC21A4"/>
    <w:rPr>
      <w:sz w:val="18"/>
    </w:rPr>
  </w:style>
  <w:style w:type="paragraph" w:customStyle="1" w:styleId="BodySmallRight">
    <w:name w:val="Body Small Right"/>
    <w:basedOn w:val="BodyTextRight"/>
    <w:rsid w:val="00DC21A4"/>
    <w:rPr>
      <w:sz w:val="18"/>
      <w:szCs w:val="18"/>
    </w:rPr>
  </w:style>
  <w:style w:type="paragraph" w:customStyle="1" w:styleId="MarginEdition">
    <w:name w:val="Margin Edition"/>
    <w:basedOn w:val="MarginNote"/>
    <w:rsid w:val="00DC21A4"/>
    <w:pPr>
      <w:spacing w:before="0" w:after="0"/>
    </w:pPr>
    <w:rPr>
      <w:rFonts w:ascii="Times New Roman" w:hAnsi="Times New Roman"/>
      <w:color w:val="999999"/>
    </w:rPr>
  </w:style>
  <w:style w:type="paragraph" w:customStyle="1" w:styleId="Spacer">
    <w:name w:val="Spacer"/>
    <w:basedOn w:val="Normal"/>
    <w:rsid w:val="00DC21A4"/>
    <w:rPr>
      <w:sz w:val="2"/>
      <w:szCs w:val="2"/>
    </w:rPr>
  </w:style>
  <w:style w:type="character" w:customStyle="1" w:styleId="Small">
    <w:name w:val="Small"/>
    <w:rsid w:val="00DC21A4"/>
    <w:rPr>
      <w:sz w:val="16"/>
    </w:rPr>
  </w:style>
  <w:style w:type="paragraph" w:customStyle="1" w:styleId="WideTable">
    <w:name w:val="Wide Table"/>
    <w:basedOn w:val="Normal"/>
    <w:rsid w:val="00DC21A4"/>
    <w:pPr>
      <w:ind w:left="-1418"/>
    </w:pPr>
    <w:rPr>
      <w:sz w:val="2"/>
      <w:szCs w:val="2"/>
    </w:rPr>
  </w:style>
  <w:style w:type="character" w:styleId="PageNumber">
    <w:name w:val="page number"/>
    <w:rsid w:val="00DC21A4"/>
  </w:style>
  <w:style w:type="paragraph" w:styleId="Quote">
    <w:name w:val="Quote"/>
    <w:basedOn w:val="Heading1"/>
    <w:link w:val="QuoteChar"/>
    <w:qFormat/>
    <w:rsid w:val="00DC21A4"/>
    <w:rPr>
      <w:b w:val="0"/>
      <w:sz w:val="72"/>
      <w:szCs w:val="72"/>
      <w:lang w:val="en-NZ"/>
    </w:rPr>
  </w:style>
  <w:style w:type="character" w:customStyle="1" w:styleId="QuoteChar">
    <w:name w:val="Quote Char"/>
    <w:link w:val="Quote"/>
    <w:rsid w:val="00DC2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1A4"/>
    <w:pPr>
      <w:pageBreakBefore/>
    </w:pPr>
  </w:style>
  <w:style w:type="paragraph" w:customStyle="1" w:styleId="Border">
    <w:name w:val="Border"/>
    <w:basedOn w:val="Normal"/>
    <w:qFormat/>
    <w:rsid w:val="00DC21A4"/>
    <w:pPr>
      <w:pBdr>
        <w:top w:val="single" w:sz="18" w:space="1" w:color="auto"/>
      </w:pBdr>
    </w:pPr>
    <w:rPr>
      <w:rFonts w:ascii="Times New Roman" w:hAnsi="Times New Roman"/>
      <w:color w:val="FFFFFF"/>
      <w:sz w:val="2"/>
    </w:rPr>
  </w:style>
  <w:style w:type="character" w:styleId="IntenseEmphasis">
    <w:name w:val="Intense Emphasis"/>
    <w:uiPriority w:val="21"/>
    <w:qFormat/>
    <w:rsid w:val="00DC21A4"/>
    <w:rPr>
      <w:b/>
      <w:bCs/>
      <w:i/>
      <w:iCs/>
      <w:color w:val="auto"/>
    </w:rPr>
  </w:style>
  <w:style w:type="paragraph" w:styleId="IntenseQuote">
    <w:name w:val="Intense Quote"/>
    <w:basedOn w:val="Normal"/>
    <w:next w:val="Normal"/>
    <w:link w:val="IntenseQuoteChar"/>
    <w:uiPriority w:val="30"/>
    <w:qFormat/>
    <w:rsid w:val="00DC21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21A4"/>
    <w:rPr>
      <w:rFonts w:ascii="Courier New" w:eastAsia="Times New Roman" w:hAnsi="Courier New" w:cs="Times New Roman"/>
      <w:b/>
      <w:bCs/>
      <w:i/>
      <w:iCs/>
      <w:szCs w:val="20"/>
      <w:lang w:val="en-US" w:eastAsia="en-US"/>
    </w:rPr>
  </w:style>
  <w:style w:type="character" w:styleId="SubtleReference">
    <w:name w:val="Subtle Reference"/>
    <w:uiPriority w:val="31"/>
    <w:qFormat/>
    <w:rsid w:val="00DC21A4"/>
    <w:rPr>
      <w:smallCaps/>
      <w:color w:val="auto"/>
      <w:u w:val="single"/>
    </w:rPr>
  </w:style>
  <w:style w:type="character" w:styleId="IntenseReference">
    <w:name w:val="Intense Reference"/>
    <w:uiPriority w:val="32"/>
    <w:qFormat/>
    <w:rsid w:val="00DC21A4"/>
    <w:rPr>
      <w:b/>
      <w:bCs/>
      <w:smallCaps/>
      <w:color w:val="auto"/>
      <w:spacing w:val="5"/>
      <w:u w:val="single"/>
    </w:rPr>
  </w:style>
  <w:style w:type="paragraph" w:customStyle="1" w:styleId="2ColumnHeading">
    <w:name w:val="2Column Heading"/>
    <w:basedOn w:val="BodyText"/>
    <w:qFormat/>
    <w:rsid w:val="00DC21A4"/>
    <w:pPr>
      <w:spacing w:after="60"/>
      <w:ind w:left="-2268"/>
    </w:pPr>
    <w:rPr>
      <w:b/>
    </w:rPr>
  </w:style>
  <w:style w:type="paragraph" w:customStyle="1" w:styleId="Heading1TOC">
    <w:name w:val="Heading1 TOC"/>
    <w:basedOn w:val="Normal"/>
    <w:qFormat/>
    <w:rsid w:val="00DC21A4"/>
    <w:pPr>
      <w:spacing w:before="240" w:after="120"/>
    </w:pPr>
    <w:rPr>
      <w:rFonts w:ascii="Times New Roman" w:hAnsi="Times New Roman"/>
      <w:b/>
      <w:sz w:val="32"/>
    </w:rPr>
  </w:style>
  <w:style w:type="paragraph" w:customStyle="1" w:styleId="Heading2TOC">
    <w:name w:val="Heading2 TOC"/>
    <w:basedOn w:val="Normal"/>
    <w:qFormat/>
    <w:rsid w:val="00DC21A4"/>
    <w:pPr>
      <w:spacing w:before="240" w:after="60"/>
    </w:pPr>
    <w:rPr>
      <w:rFonts w:ascii="Times New Roman" w:hAnsi="Times New Roman"/>
      <w:b/>
      <w:sz w:val="28"/>
    </w:rPr>
  </w:style>
  <w:style w:type="character" w:customStyle="1" w:styleId="Underline">
    <w:name w:val="Underline"/>
    <w:qFormat/>
    <w:rsid w:val="00DC21A4"/>
    <w:rPr>
      <w:u w:val="single"/>
    </w:rPr>
  </w:style>
  <w:style w:type="character" w:customStyle="1" w:styleId="BoldandItalics">
    <w:name w:val="Bold and Italics"/>
    <w:qFormat/>
    <w:rsid w:val="00DC21A4"/>
    <w:rPr>
      <w:b/>
      <w:i/>
      <w:u w:val="none"/>
    </w:rPr>
  </w:style>
  <w:style w:type="paragraph" w:styleId="BalloonText">
    <w:name w:val="Balloon Text"/>
    <w:basedOn w:val="Normal"/>
    <w:link w:val="BalloonTextChar"/>
    <w:rsid w:val="00DC21A4"/>
    <w:rPr>
      <w:rFonts w:ascii="Tahoma" w:hAnsi="Tahoma" w:cs="Tahoma"/>
      <w:sz w:val="16"/>
      <w:szCs w:val="16"/>
    </w:rPr>
  </w:style>
  <w:style w:type="character" w:customStyle="1" w:styleId="BalloonTextChar">
    <w:name w:val="Balloon Text Char"/>
    <w:link w:val="BalloonText"/>
    <w:rsid w:val="00DC21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21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21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10357</Characters>
  <Application>Microsoft Office Word</Application>
  <DocSecurity>0</DocSecurity>
  <Lines>379</Lines>
  <Paragraphs>220</Paragraphs>
  <ScaleCrop>false</ScaleCrop>
  <Company>Author-it Software Corporation Ltd.</Company>
  <LinksUpToDate>false</LinksUpToDate>
  <CharactersWithSpaces>11828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MSS402051A Apply quality standards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2012-05-26T18:45:00Z</dcterms:created>
  <dcterms:modified xsi:type="dcterms:W3CDTF">2012-05-26T18:45:00Z</dcterms:modified>
</cp:coreProperties>
</file>