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02A" w:rsidP="0089002A">
      <w:pPr>
        <w:pStyle w:val="Title"/>
      </w:pPr>
      <w:r>
        <w:fldChar w:fldCharType="begin"/>
      </w:r>
      <w:r>
        <w:instrText xml:space="preserve"> TITLE   \* MERGEFORMAT </w:instrText>
      </w:r>
      <w:r>
        <w:fldChar w:fldCharType="separate"/>
      </w:r>
      <w:r>
        <w:t>MSS402050A Monitor process capability</w:t>
      </w:r>
      <w:r>
        <w:fldChar w:fldCharType="end"/>
      </w:r>
    </w:p>
    <w:p w:rsidR="0089002A" w:rsidP="0089002A">
      <w:pPr>
        <w:pStyle w:val="Version"/>
        <w:sectPr w:rsidSect="00E322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284" w:rsidP="00E32284">
      <w:pPr>
        <w:pStyle w:val="SuperHeading"/>
      </w:pPr>
      <w:r w:rsidRPr="00E32284">
        <w:t>MSS402050A Monitor process capability</w:t>
      </w:r>
    </w:p>
    <w:p w:rsidR="00000000" w:rsidRPr="00E32284" w:rsidP="00E32284">
      <w:pPr>
        <w:pStyle w:val="Heading1"/>
      </w:pPr>
      <w:bookmarkStart w:id="1" w:name="O_466527"/>
      <w:bookmarkEnd w:id="1"/>
      <w:r w:rsidRPr="00E32284">
        <w:t>Modification History</w:t>
      </w:r>
    </w:p>
    <w:p w:rsidR="00000000" w:rsidRPr="00E32284" w:rsidP="00E32284">
      <w:pPr>
        <w:pStyle w:val="BodyText"/>
      </w:pPr>
      <w:r w:rsidRPr="00E32284">
        <w:t>New unit, MSACMT250A Monitor process capability - Equivalent</w:t>
      </w:r>
    </w:p>
    <w:p w:rsidR="00000000" w:rsidRPr="00E32284" w:rsidP="00E32284">
      <w:pPr>
        <w:pStyle w:val="AllowPageBreak"/>
      </w:pPr>
    </w:p>
    <w:p w:rsidR="00000000" w:rsidRPr="00E32284" w:rsidP="00E32284">
      <w:pPr>
        <w:pStyle w:val="Heading1"/>
      </w:pPr>
      <w:bookmarkStart w:id="2" w:name="O_466528"/>
      <w:bookmarkEnd w:id="2"/>
      <w:r w:rsidRPr="00E32284">
        <w:t>Unit Descriptor</w:t>
      </w:r>
    </w:p>
    <w:p w:rsidR="00000000" w:rsidRPr="00E32284" w:rsidP="00E32284">
      <w:pPr>
        <w:pStyle w:val="BodyText"/>
      </w:pPr>
      <w:r w:rsidRPr="00E32284">
        <w:t>This unit of competency covers the skills and knowledge required for ga</w:t>
      </w:r>
      <w:r w:rsidRPr="00E32284">
        <w:t xml:space="preserve">thering of data and the interpretation of simple information to determine the compliance of the process and the taking of action as defined by the procedures where the information reveals the process is out of control parameters. </w:t>
      </w:r>
    </w:p>
    <w:p w:rsidR="00000000" w:rsidRPr="00E32284" w:rsidP="00E32284">
      <w:pPr>
        <w:pStyle w:val="AllowPageBreak"/>
      </w:pPr>
    </w:p>
    <w:p w:rsidR="00000000" w:rsidRPr="00E32284" w:rsidP="00E32284">
      <w:pPr>
        <w:pStyle w:val="Heading1"/>
      </w:pPr>
      <w:bookmarkStart w:id="3" w:name="O_466529"/>
      <w:bookmarkEnd w:id="3"/>
      <w:r w:rsidRPr="00E32284">
        <w:t>Applicat</w:t>
      </w:r>
      <w:r w:rsidRPr="00E32284">
        <w:t>ion of the Unit</w:t>
      </w:r>
    </w:p>
    <w:p w:rsidR="00000000" w:rsidRPr="00E32284" w:rsidP="00E32284">
      <w:pPr>
        <w:pStyle w:val="BodyText"/>
      </w:pPr>
      <w:r w:rsidRPr="00E32284">
        <w:t xml:space="preserve">This unit applies to an individual in an organisation adopting specific competitive systems and practices, usually either six sigma or statistical process control/three sigma, as a means of determining and improving the capability of their </w:t>
      </w:r>
      <w:r w:rsidRPr="00E32284">
        <w:t>process to customer requirements. The individual is involved in collecting specified data and performing specified manipulations to the data (typically by plotting on a chart or by entering into a nominated computer program). The information is typically p</w:t>
      </w:r>
      <w:r w:rsidRPr="00E32284">
        <w:t xml:space="preserve">resented to team members in terms of graphs/charts which they are expected to interpret at a basic level and then take action in accordance with procedures to restore the process to being under control parameters. </w:t>
      </w:r>
    </w:p>
    <w:p w:rsidR="00000000" w:rsidRPr="00E32284" w:rsidP="00E32284">
      <w:pPr>
        <w:pStyle w:val="BodyText"/>
      </w:pPr>
      <w:r w:rsidRPr="00E32284">
        <w:t>This unit requires the application of ski</w:t>
      </w:r>
      <w:r w:rsidRPr="00E32284">
        <w:t xml:space="preserve">lls associated with entering and monitoring operational data and information and requires initiative, enterprise and problem solving in identifying production variations and making improvement recommendations. </w:t>
      </w:r>
    </w:p>
    <w:p w:rsidR="00000000" w:rsidRPr="00E32284" w:rsidP="00E32284">
      <w:pPr>
        <w:pStyle w:val="AllowPageBreak"/>
      </w:pPr>
    </w:p>
    <w:p w:rsidR="00000000" w:rsidRPr="00E32284" w:rsidP="00E32284">
      <w:pPr>
        <w:pStyle w:val="Heading1"/>
      </w:pPr>
      <w:bookmarkStart w:id="4" w:name="O_466530"/>
      <w:bookmarkEnd w:id="4"/>
      <w:r w:rsidRPr="00E32284">
        <w:t>Licensing/Regulatory Informa</w:t>
      </w:r>
      <w:r w:rsidRPr="00E32284">
        <w:t>tion</w:t>
      </w:r>
    </w:p>
    <w:p w:rsidR="00000000" w:rsidRPr="00E32284" w:rsidP="00E32284">
      <w:pPr>
        <w:pStyle w:val="BodyText"/>
      </w:pPr>
      <w:r w:rsidRPr="00E32284">
        <w:t>Not applicable.</w:t>
      </w:r>
    </w:p>
    <w:p w:rsidR="00000000" w:rsidRPr="00E32284" w:rsidP="00E32284">
      <w:pPr>
        <w:pStyle w:val="AllowPageBreak"/>
      </w:pPr>
    </w:p>
    <w:p w:rsidR="00000000" w:rsidRPr="00E32284" w:rsidP="00E32284">
      <w:pPr>
        <w:pStyle w:val="Heading1"/>
      </w:pPr>
      <w:bookmarkStart w:id="5" w:name="O_466531"/>
      <w:bookmarkEnd w:id="5"/>
      <w:r w:rsidRPr="00E32284">
        <w:t>Pre-Requisites</w:t>
      </w:r>
    </w:p>
    <w:p w:rsidR="00000000" w:rsidRPr="00E32284" w:rsidP="00E32284">
      <w:pPr>
        <w:pStyle w:val="BodyText"/>
      </w:pPr>
      <w:r w:rsidRPr="00E32284">
        <w:t>Not applicable.</w:t>
      </w:r>
    </w:p>
    <w:p w:rsidR="00000000" w:rsidRPr="00E32284" w:rsidP="00E32284">
      <w:pPr>
        <w:pStyle w:val="AllowPageBreak"/>
      </w:pPr>
    </w:p>
    <w:p w:rsidR="00000000" w:rsidRPr="00E32284" w:rsidP="00E32284">
      <w:pPr>
        <w:pStyle w:val="Heading1"/>
      </w:pPr>
      <w:bookmarkStart w:id="6" w:name="O_466532"/>
      <w:bookmarkEnd w:id="6"/>
      <w:r w:rsidRPr="00E32284">
        <w:t>Employability Skills Information</w:t>
      </w:r>
    </w:p>
    <w:p w:rsidR="00000000" w:rsidRPr="00E32284" w:rsidP="00E32284">
      <w:pPr>
        <w:pStyle w:val="BodyText"/>
      </w:pPr>
      <w:r w:rsidRPr="00E32284">
        <w:t>This unit contains employability skills.</w:t>
      </w:r>
    </w:p>
    <w:p w:rsidR="00000000" w:rsidRPr="00E32284" w:rsidP="00E32284">
      <w:pPr>
        <w:pStyle w:val="AllowPageBreak"/>
      </w:pPr>
    </w:p>
    <w:p w:rsidR="00000000" w:rsidRPr="00E32284" w:rsidP="00E32284">
      <w:pPr>
        <w:pStyle w:val="Heading1"/>
      </w:pPr>
      <w:bookmarkStart w:id="7" w:name="O_466533"/>
      <w:bookmarkEnd w:id="7"/>
      <w:r w:rsidRPr="00E32284">
        <w:t>Elements and Performance Criteria Pre-Content</w:t>
      </w:r>
    </w:p>
    <w:p w:rsidR="00000000" w:rsidRPr="00E32284" w:rsidP="00E32284">
      <w:pPr>
        <w:pStyle w:val="BodyText"/>
      </w:pPr>
    </w:p>
    <w:tbl>
      <w:tblPr>
        <w:tblW w:w="0" w:type="auto"/>
        <w:tblLayout w:type="fixed"/>
        <w:tblCellMar>
          <w:left w:w="62" w:type="dxa"/>
          <w:right w:w="62" w:type="dxa"/>
        </w:tblCellMar>
        <w:tblLook w:val="0000"/>
      </w:tblPr>
      <w:tblGrid>
        <w:gridCol w:w="678"/>
        <w:gridCol w:w="1962"/>
        <w:gridCol w:w="770"/>
        <w:gridCol w:w="5610"/>
      </w:tblGrid>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1</w:t>
            </w:r>
          </w:p>
        </w:tc>
        <w:tc>
          <w:tcPr>
            <w:tcW w:w="1962" w:type="dxa"/>
            <w:vMerge w:val="restart"/>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Collect and process data</w:t>
            </w: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1.1</w:t>
            </w:r>
          </w:p>
        </w:tc>
        <w:tc>
          <w:tcPr>
            <w:tcW w:w="561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Take specified measurements/readings, as required</w:t>
            </w:r>
          </w:p>
        </w:tc>
      </w:tr>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1.2</w:t>
            </w:r>
          </w:p>
        </w:tc>
        <w:tc>
          <w:tcPr>
            <w:tcW w:w="561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Enter data in log, computer or other record</w:t>
            </w:r>
          </w:p>
        </w:tc>
      </w:tr>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1.3</w:t>
            </w:r>
          </w:p>
        </w:tc>
        <w:tc>
          <w:tcPr>
            <w:tcW w:w="5610" w:type="dxa"/>
            <w:tcBorders>
              <w:top w:val="nil"/>
              <w:left w:val="nil"/>
              <w:bottom w:val="nil"/>
              <w:right w:val="nil"/>
            </w:tcBorders>
            <w:tcMar>
              <w:top w:w="0" w:type="dxa"/>
              <w:left w:w="62" w:type="dxa"/>
              <w:bottom w:w="0" w:type="dxa"/>
              <w:right w:w="62" w:type="dxa"/>
            </w:tcMar>
          </w:tcPr>
          <w:p w:rsidR="00000000" w:rsidRPr="00E32284" w:rsidP="00E32284">
            <w:pPr>
              <w:pStyle w:val="BodyText"/>
            </w:pPr>
            <w:r w:rsidRPr="00E32284">
              <w:t>Manipulate and/or chart data as required by procedures</w:t>
            </w:r>
          </w:p>
        </w:tc>
      </w:tr>
    </w:tbl>
    <w:p w:rsidR="00000000" w:rsidRPr="00E32284" w:rsidP="00E32284">
      <w:pPr>
        <w:pStyle w:val="BodyText"/>
      </w:pPr>
    </w:p>
    <w:tbl>
      <w:tblPr>
        <w:tblW w:w="0" w:type="auto"/>
        <w:tblLayout w:type="fixed"/>
        <w:tblCellMar>
          <w:left w:w="62" w:type="dxa"/>
          <w:right w:w="62" w:type="dxa"/>
        </w:tblCellMar>
        <w:tblLook w:val="0000"/>
      </w:tblPr>
      <w:tblGrid>
        <w:gridCol w:w="678"/>
        <w:gridCol w:w="1962"/>
        <w:gridCol w:w="770"/>
        <w:gridCol w:w="5610"/>
      </w:tblGrid>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2</w:t>
            </w:r>
          </w:p>
        </w:tc>
        <w:tc>
          <w:tcPr>
            <w:tcW w:w="1962" w:type="dxa"/>
            <w:vMerge w:val="restart"/>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Identify variations that are not random and take action</w:t>
            </w: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2.1</w:t>
            </w:r>
          </w:p>
        </w:tc>
        <w:tc>
          <w:tcPr>
            <w:tcW w:w="561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Examine chart and/or reliability information</w:t>
            </w:r>
          </w:p>
        </w:tc>
      </w:tr>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2.2</w:t>
            </w:r>
          </w:p>
        </w:tc>
        <w:tc>
          <w:tcPr>
            <w:tcW w:w="561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 xml:space="preserve">Distinguish between random variations and those with an identifiable cause </w:t>
            </w:r>
          </w:p>
        </w:tc>
      </w:tr>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2.3</w:t>
            </w:r>
          </w:p>
        </w:tc>
        <w:tc>
          <w:tcPr>
            <w:tcW w:w="5610" w:type="dxa"/>
            <w:tcBorders>
              <w:top w:val="nil"/>
              <w:left w:val="nil"/>
              <w:bottom w:val="nil"/>
              <w:right w:val="nil"/>
            </w:tcBorders>
            <w:tcMar>
              <w:top w:w="0" w:type="dxa"/>
              <w:left w:w="62" w:type="dxa"/>
              <w:bottom w:w="0" w:type="dxa"/>
              <w:right w:w="62" w:type="dxa"/>
            </w:tcMar>
          </w:tcPr>
          <w:p w:rsidR="00000000" w:rsidRPr="00E32284" w:rsidP="00E32284">
            <w:pPr>
              <w:pStyle w:val="BodyText"/>
            </w:pPr>
            <w:r w:rsidRPr="00E32284">
              <w:t xml:space="preserve">Take action specified in procedures when a variation with an identifiable cause occurs </w:t>
            </w:r>
          </w:p>
        </w:tc>
      </w:tr>
    </w:tbl>
    <w:p w:rsidR="00000000" w:rsidRPr="00E32284" w:rsidP="00E32284">
      <w:pPr>
        <w:pStyle w:val="BodyText"/>
      </w:pPr>
    </w:p>
    <w:tbl>
      <w:tblPr>
        <w:tblW w:w="0" w:type="auto"/>
        <w:tblLayout w:type="fixed"/>
        <w:tblCellMar>
          <w:left w:w="62" w:type="dxa"/>
          <w:right w:w="62" w:type="dxa"/>
        </w:tblCellMar>
        <w:tblLook w:val="0000"/>
      </w:tblPr>
      <w:tblGrid>
        <w:gridCol w:w="678"/>
        <w:gridCol w:w="1962"/>
        <w:gridCol w:w="770"/>
        <w:gridCol w:w="5610"/>
      </w:tblGrid>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3</w:t>
            </w:r>
          </w:p>
        </w:tc>
        <w:tc>
          <w:tcPr>
            <w:tcW w:w="1962" w:type="dxa"/>
            <w:vMerge w:val="restart"/>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Assist in process improvement</w:t>
            </w: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3.1</w:t>
            </w:r>
          </w:p>
        </w:tc>
        <w:tc>
          <w:tcPr>
            <w:tcW w:w="561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Collect data for process capability improvement trials</w:t>
            </w:r>
          </w:p>
        </w:tc>
      </w:tr>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3.2</w:t>
            </w:r>
          </w:p>
        </w:tc>
        <w:tc>
          <w:tcPr>
            <w:tcW w:w="561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Make recommendations for improvement</w:t>
            </w:r>
          </w:p>
        </w:tc>
      </w:tr>
      <w:tr w:rsidTr="00E322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3.3</w:t>
            </w:r>
          </w:p>
        </w:tc>
        <w:tc>
          <w:tcPr>
            <w:tcW w:w="5610" w:type="dxa"/>
            <w:tcBorders>
              <w:top w:val="nil"/>
              <w:left w:val="nil"/>
              <w:bottom w:val="nil"/>
              <w:right w:val="nil"/>
            </w:tcBorders>
            <w:tcMar>
              <w:top w:w="0" w:type="dxa"/>
              <w:left w:w="62" w:type="dxa"/>
              <w:bottom w:w="0" w:type="dxa"/>
              <w:right w:w="62" w:type="dxa"/>
            </w:tcMar>
          </w:tcPr>
          <w:p w:rsidR="00000000" w:rsidRPr="00E32284" w:rsidP="00E32284">
            <w:pPr>
              <w:pStyle w:val="BodyText"/>
            </w:pPr>
            <w:r w:rsidRPr="00E32284">
              <w:t>Implement revised capability monitoring procedures</w:t>
            </w:r>
          </w:p>
        </w:tc>
      </w:tr>
    </w:tbl>
    <w:p w:rsidR="0089002A" w:rsidP="00E32284">
      <w:pPr>
        <w:pStyle w:val="BodyText"/>
      </w:pPr>
    </w:p>
    <w:p w:rsidR="0089002A" w:rsidP="00E32284">
      <w:pPr>
        <w:pStyle w:val="BodyText"/>
      </w:pPr>
    </w:p>
    <w:p w:rsidR="00000000" w:rsidRPr="00E32284" w:rsidP="00E32284">
      <w:pPr>
        <w:pStyle w:val="Heading1"/>
      </w:pPr>
      <w:bookmarkStart w:id="8" w:name="O_466534"/>
      <w:bookmarkEnd w:id="8"/>
      <w:r w:rsidRPr="00E32284">
        <w:t>Elements and Performance Criteria</w:t>
      </w:r>
    </w:p>
    <w:tbl>
      <w:tblPr>
        <w:tblW w:w="0" w:type="auto"/>
        <w:tblLayout w:type="fixed"/>
        <w:tblCellMar>
          <w:left w:w="62" w:type="dxa"/>
          <w:right w:w="62" w:type="dxa"/>
        </w:tblCellMar>
        <w:tblLook w:val="0000"/>
      </w:tblPr>
      <w:tblGrid>
        <w:gridCol w:w="2640"/>
        <w:gridCol w:w="6380"/>
      </w:tblGrid>
      <w:tr w:rsidTr="00E3228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32284" w:rsidP="00E32284">
            <w:pPr>
              <w:pStyle w:val="BodyText"/>
            </w:pPr>
            <w:r w:rsidRPr="00E32284">
              <w:t>Performance criteria describe the performance needed to demonstrate achievement of the element. Where bold italicised text is used, further information is detailed in the required skills and</w:t>
            </w:r>
            <w:r w:rsidRPr="00E32284">
              <w:t xml:space="preserve"> knowledge section and the range statement. Assessment of performance is to be consistent with the evidence guide.</w:t>
            </w:r>
          </w:p>
        </w:tc>
      </w:tr>
    </w:tbl>
    <w:p w:rsidR="00000000" w:rsidRPr="00E32284" w:rsidP="00E32284">
      <w:pPr>
        <w:pStyle w:val="BodyText"/>
      </w:pPr>
    </w:p>
    <w:p w:rsidR="00000000" w:rsidRPr="00E32284" w:rsidP="00E32284">
      <w:pPr>
        <w:pStyle w:val="AllowPageBreak"/>
      </w:pPr>
    </w:p>
    <w:p w:rsidR="00000000" w:rsidRPr="00E32284" w:rsidP="00E32284">
      <w:pPr>
        <w:pStyle w:val="Heading1"/>
      </w:pPr>
      <w:bookmarkStart w:id="9" w:name="O_466535"/>
      <w:bookmarkEnd w:id="9"/>
      <w:r w:rsidRPr="00E32284">
        <w:t>Required Skills and Knowledge</w:t>
      </w:r>
    </w:p>
    <w:tbl>
      <w:tblPr>
        <w:tblW w:w="9462" w:type="dxa"/>
        <w:tblLayout w:type="fixed"/>
        <w:tblCellMar>
          <w:left w:w="62" w:type="dxa"/>
          <w:right w:w="62" w:type="dxa"/>
        </w:tblCellMar>
        <w:tblLook w:val="0000"/>
      </w:tblPr>
      <w:tblGrid>
        <w:gridCol w:w="9462"/>
      </w:tblGrid>
      <w:tr w:rsidTr="00E322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This section describes the skills and knowledge required for this unit.</w:t>
            </w:r>
          </w:p>
        </w:tc>
      </w:tr>
      <w:tr w:rsidTr="00E322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rPr>
                <w:rStyle w:val="SpecialBold"/>
              </w:rPr>
              <w:t>Required skills</w:t>
            </w:r>
          </w:p>
        </w:tc>
      </w:tr>
      <w:tr w:rsidTr="00E322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32284" w:rsidP="00E32284">
            <w:pPr>
              <w:pStyle w:val="BodyText"/>
            </w:pPr>
            <w:r w:rsidRPr="00E32284">
              <w:t>Required skills include:</w:t>
            </w:r>
          </w:p>
          <w:p w:rsidR="00000000" w:rsidRPr="00E32284" w:rsidP="00E32284">
            <w:pPr>
              <w:pStyle w:val="ListBullet"/>
            </w:pPr>
            <w:r w:rsidRPr="00E32284">
              <w:t>reading and interpreting electronic and hard copy operating instructions and documents, including where used:</w:t>
            </w:r>
          </w:p>
          <w:p w:rsidR="00000000" w:rsidRPr="00E32284" w:rsidP="00E32284">
            <w:pPr>
              <w:pStyle w:val="ListBullet2"/>
            </w:pPr>
            <w:r w:rsidRPr="00E32284">
              <w:t>work instructions</w:t>
            </w:r>
          </w:p>
          <w:p w:rsidR="00000000" w:rsidRPr="00E32284" w:rsidP="00E32284">
            <w:pPr>
              <w:pStyle w:val="ListBullet2"/>
            </w:pPr>
            <w:r w:rsidRPr="00E32284">
              <w:t>standard operating procedures</w:t>
            </w:r>
          </w:p>
          <w:p w:rsidR="00000000" w:rsidRPr="00E32284" w:rsidP="00E32284">
            <w:pPr>
              <w:pStyle w:val="ListBullet2"/>
            </w:pPr>
            <w:r w:rsidRPr="00E32284">
              <w:t>formulas/recipes</w:t>
            </w:r>
          </w:p>
          <w:p w:rsidR="00000000" w:rsidRPr="00E32284" w:rsidP="00E32284">
            <w:pPr>
              <w:pStyle w:val="ListBullet2"/>
            </w:pPr>
            <w:r w:rsidRPr="00E32284">
              <w:t>production and batch sheets</w:t>
            </w:r>
          </w:p>
          <w:p w:rsidR="00000000" w:rsidRPr="00E32284" w:rsidP="00E32284">
            <w:pPr>
              <w:pStyle w:val="ListBullet2"/>
            </w:pPr>
            <w:r w:rsidRPr="00E32284">
              <w:t>temporary instructions</w:t>
            </w:r>
          </w:p>
          <w:p w:rsidR="00000000" w:rsidRPr="00E32284" w:rsidP="00E32284">
            <w:pPr>
              <w:pStyle w:val="ListBullet2"/>
            </w:pPr>
            <w:r w:rsidRPr="00E32284">
              <w:t xml:space="preserve">other provided operating instructions </w:t>
            </w:r>
          </w:p>
          <w:p w:rsidR="00000000" w:rsidRPr="00E32284" w:rsidP="00E32284">
            <w:pPr>
              <w:pStyle w:val="ListBullet"/>
            </w:pPr>
            <w:r w:rsidRPr="00E32284">
              <w:t>monitoring performance data against specifications and control parameters</w:t>
            </w:r>
          </w:p>
          <w:p w:rsidR="00000000" w:rsidRPr="00E32284" w:rsidP="00E32284">
            <w:pPr>
              <w:pStyle w:val="ListBullet"/>
            </w:pPr>
            <w:r w:rsidRPr="00E32284">
              <w:t xml:space="preserve">examining equipment procedures, products and processes for possible causes of variations </w:t>
            </w:r>
          </w:p>
          <w:p w:rsidR="00000000" w:rsidP="00E32284">
            <w:pPr>
              <w:pStyle w:val="ListBullet"/>
              <w:rPr>
                <w:lang w:val="en-NZ"/>
              </w:rPr>
            </w:pPr>
            <w:r w:rsidRPr="00E32284">
              <w:t>identifying when corrective action is required by re</w:t>
            </w:r>
            <w:r w:rsidRPr="00E32284">
              <w:t>ference to procedures</w:t>
            </w:r>
          </w:p>
        </w:tc>
      </w:tr>
      <w:tr w:rsidTr="00E322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p>
        </w:tc>
      </w:tr>
      <w:tr w:rsidTr="00E322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rPr>
                <w:rStyle w:val="SpecialBold"/>
              </w:rPr>
              <w:t>Required knowledge</w:t>
            </w:r>
          </w:p>
        </w:tc>
      </w:tr>
      <w:tr w:rsidTr="00E322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32284" w:rsidP="00E32284">
            <w:pPr>
              <w:pStyle w:val="BodyText"/>
            </w:pPr>
            <w:r w:rsidRPr="00E32284">
              <w:t>Required knowledge includes:</w:t>
            </w:r>
          </w:p>
          <w:p w:rsidR="00000000" w:rsidRPr="00E32284" w:rsidP="00E32284">
            <w:pPr>
              <w:pStyle w:val="ListBullet"/>
            </w:pPr>
            <w:r w:rsidRPr="00E32284">
              <w:t>data collection methods for operations in work area</w:t>
            </w:r>
          </w:p>
          <w:p w:rsidR="00000000" w:rsidRPr="00E32284" w:rsidP="00E32284">
            <w:pPr>
              <w:pStyle w:val="ListBullet"/>
            </w:pPr>
            <w:r w:rsidRPr="00E32284">
              <w:t>data processing techniques required</w:t>
            </w:r>
          </w:p>
          <w:p w:rsidR="00000000" w:rsidRPr="00E32284" w:rsidP="00E32284">
            <w:pPr>
              <w:pStyle w:val="ListBullet"/>
            </w:pPr>
            <w:r w:rsidRPr="00E32284">
              <w:t>basic variability and normal distribution</w:t>
            </w:r>
          </w:p>
          <w:p w:rsidR="00000000" w:rsidRPr="00E32284" w:rsidP="00E32284">
            <w:pPr>
              <w:pStyle w:val="ListBullet"/>
            </w:pPr>
            <w:r w:rsidRPr="00E32284">
              <w:t>recognition of identifia</w:t>
            </w:r>
            <w:r w:rsidRPr="00E32284">
              <w:t>ble causes in accordance with procedures</w:t>
            </w:r>
          </w:p>
          <w:p w:rsidR="00000000" w:rsidRPr="00E32284" w:rsidP="00E32284">
            <w:pPr>
              <w:pStyle w:val="ListBullet"/>
            </w:pPr>
            <w:r w:rsidRPr="00E32284">
              <w:t>causes of different types of identifiable causes as defined by procedures</w:t>
            </w:r>
          </w:p>
          <w:p w:rsidR="00000000" w:rsidRPr="00E32284" w:rsidP="00E32284">
            <w:pPr>
              <w:pStyle w:val="ListBullet"/>
            </w:pPr>
            <w:r w:rsidRPr="00E32284">
              <w:t>actions to be taken for the different causes</w:t>
            </w:r>
          </w:p>
        </w:tc>
      </w:tr>
    </w:tbl>
    <w:p w:rsidR="0089002A" w:rsidP="00E32284">
      <w:pPr>
        <w:pStyle w:val="BodyText"/>
      </w:pPr>
    </w:p>
    <w:p w:rsidR="0089002A" w:rsidP="00E32284">
      <w:pPr>
        <w:pStyle w:val="BodyText"/>
      </w:pPr>
    </w:p>
    <w:p w:rsidR="00000000" w:rsidRPr="00E32284" w:rsidP="00E32284">
      <w:pPr>
        <w:pStyle w:val="Heading1"/>
      </w:pPr>
      <w:bookmarkStart w:id="10" w:name="O_466536"/>
      <w:bookmarkEnd w:id="10"/>
      <w:r w:rsidRPr="00E32284">
        <w:t>Evidence Guide</w:t>
      </w:r>
    </w:p>
    <w:tbl>
      <w:tblPr>
        <w:tblW w:w="9462" w:type="dxa"/>
        <w:tblLayout w:type="fixed"/>
        <w:tblCellMar>
          <w:left w:w="62" w:type="dxa"/>
          <w:right w:w="62" w:type="dxa"/>
        </w:tblCellMar>
        <w:tblLook w:val="0000"/>
      </w:tblPr>
      <w:tblGrid>
        <w:gridCol w:w="3800"/>
        <w:gridCol w:w="5662"/>
      </w:tblGrid>
      <w:tr w:rsidTr="00E3228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32284">
            <w:pPr>
              <w:pStyle w:val="BodyText"/>
              <w:rPr>
                <w:lang w:val="en-NZ"/>
              </w:rPr>
            </w:pPr>
            <w:r w:rsidRPr="00E32284">
              <w:t>The evidence guide provides advice on assessment and must be read in conjunction with the performance criteria, required skills and knowledge, range statement and the Assessment Guidelines for the Training Package.</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Critical aspects for assessment and evi</w:t>
            </w:r>
            <w:r w:rsidRPr="00E32284">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Evidence should be available of data collected and processed. There may also be evidence of assignable causes recognised and action taken. There should not be evidence of assignable causes being ignored</w:t>
            </w:r>
            <w:r w:rsidRPr="00E32284">
              <w:t xml:space="preserve">. </w:t>
            </w:r>
          </w:p>
          <w:p w:rsidR="00000000" w:rsidRPr="00E32284" w:rsidP="00E32284">
            <w:pPr>
              <w:pStyle w:val="BodyText"/>
            </w:pPr>
            <w:r w:rsidRPr="00E32284">
              <w:t xml:space="preserve">A person who demonstrates competency in this unit must be able to provide evidence of the ability to: </w:t>
            </w:r>
          </w:p>
          <w:p w:rsidR="00000000" w:rsidRPr="00E32284" w:rsidP="00E32284">
            <w:pPr>
              <w:pStyle w:val="ListBullet"/>
            </w:pPr>
            <w:r w:rsidRPr="00E32284">
              <w:t>identify the scope of operations, including required performance parameters in their work area</w:t>
            </w:r>
          </w:p>
          <w:p w:rsidR="00000000" w:rsidRPr="00E32284" w:rsidP="00E32284">
            <w:pPr>
              <w:pStyle w:val="ListBullet"/>
            </w:pPr>
            <w:r w:rsidRPr="00E32284">
              <w:t>collect, enter and process data, including normal perf</w:t>
            </w:r>
            <w:r w:rsidRPr="00E32284">
              <w:t>ormance and variations</w:t>
            </w:r>
          </w:p>
          <w:p w:rsidR="00000000" w:rsidRPr="00E32284" w:rsidP="00E32284">
            <w:pPr>
              <w:pStyle w:val="ListBullet"/>
            </w:pPr>
            <w:r w:rsidRPr="00E32284">
              <w:t>read and interpret data, including identifying variation to set parameters</w:t>
            </w:r>
          </w:p>
          <w:p w:rsidR="00000000" w:rsidRPr="00E32284" w:rsidP="00E32284">
            <w:pPr>
              <w:pStyle w:val="ListBullet"/>
            </w:pPr>
            <w:r w:rsidRPr="00E32284">
              <w:t>determine where assignable causes can be allocated to variations and take appropriate action</w:t>
            </w:r>
          </w:p>
          <w:p w:rsidR="00000000" w:rsidRPr="00E32284" w:rsidP="00E32284">
            <w:pPr>
              <w:pStyle w:val="ListBullet"/>
            </w:pPr>
            <w:r w:rsidRPr="00E32284">
              <w:t>participate in data collection, when required, for process capabi</w:t>
            </w:r>
            <w:r w:rsidRPr="00E32284">
              <w:t>lity trials</w:t>
            </w:r>
          </w:p>
          <w:p w:rsidR="00000000" w:rsidP="00E32284">
            <w:pPr>
              <w:pStyle w:val="ListBullet"/>
              <w:rPr>
                <w:lang w:val="en-NZ"/>
              </w:rPr>
            </w:pPr>
            <w:r w:rsidRPr="00E32284">
              <w:t>contribute suggestions for improvement.</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Assessment of performance must be undertaken in a workplace using or implementing one or more competitive systems and practices</w:t>
            </w:r>
          </w:p>
          <w:p w:rsidR="00000000" w:rsidRPr="00E32284" w:rsidP="00E32284">
            <w:pPr>
              <w:pStyle w:val="BodyText"/>
            </w:pPr>
            <w:r w:rsidRPr="00E32284">
              <w:t>Access may be required to:</w:t>
            </w:r>
          </w:p>
          <w:p w:rsidR="00000000" w:rsidRPr="00E32284" w:rsidP="00E32284">
            <w:pPr>
              <w:pStyle w:val="ListBullet"/>
            </w:pPr>
            <w:r w:rsidRPr="00E32284">
              <w:t>workplace procedures and plans relevant to work area</w:t>
            </w:r>
          </w:p>
          <w:p w:rsidR="00000000" w:rsidRPr="00E32284" w:rsidP="00E32284">
            <w:pPr>
              <w:pStyle w:val="ListBullet"/>
            </w:pPr>
            <w:r w:rsidRPr="00E32284">
              <w:t>specifications and documentation relating to planned, currently being implemented, or implemented changes to work processes and procedures relevant to the assessee</w:t>
            </w:r>
          </w:p>
          <w:p w:rsidR="00000000" w:rsidRPr="00E32284" w:rsidP="00E32284">
            <w:pPr>
              <w:pStyle w:val="ListBullet"/>
            </w:pPr>
            <w:r w:rsidRPr="00E32284">
              <w:t>documentation and information in rela</w:t>
            </w:r>
            <w:r w:rsidRPr="00E32284">
              <w:t>tion to production, waste, overheads and hazard control/management</w:t>
            </w:r>
          </w:p>
          <w:p w:rsidR="00000000" w:rsidRPr="00E32284" w:rsidP="00E32284">
            <w:pPr>
              <w:pStyle w:val="ListBullet"/>
            </w:pPr>
            <w:r w:rsidRPr="00E32284">
              <w:t>reports from supervisors/managers</w:t>
            </w:r>
          </w:p>
          <w:p w:rsidR="00000000" w:rsidP="00E32284">
            <w:pPr>
              <w:pStyle w:val="ListBullet"/>
              <w:rPr>
                <w:lang w:val="en-NZ"/>
              </w:rPr>
            </w:pPr>
            <w:r w:rsidRPr="00E32284">
              <w:t>case studies and scenarios to assess responses to contingencies.</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A holistic approach should be taken to the assessment.</w:t>
            </w:r>
          </w:p>
          <w:p w:rsidR="00000000" w:rsidRPr="00E32284" w:rsidP="00E32284">
            <w:pPr>
              <w:pStyle w:val="BodyText"/>
            </w:pPr>
            <w:r w:rsidRPr="00E32284">
              <w:t>Competence in</w:t>
            </w:r>
            <w:r w:rsidRPr="00E32284">
              <w:t xml:space="preserve"> this unit may be assessed by using a combination of the following to generate evidence:</w:t>
            </w:r>
          </w:p>
          <w:p w:rsidR="00000000" w:rsidRPr="00E32284" w:rsidP="00E32284">
            <w:pPr>
              <w:pStyle w:val="ListBullet"/>
            </w:pPr>
            <w:r w:rsidRPr="00E32284">
              <w:t>demonstration in the workplace</w:t>
            </w:r>
          </w:p>
          <w:p w:rsidR="00000000" w:rsidRPr="00E32284" w:rsidP="00E32284">
            <w:pPr>
              <w:pStyle w:val="ListBullet"/>
            </w:pPr>
            <w:r w:rsidRPr="00E32284">
              <w:t>workplace projects</w:t>
            </w:r>
          </w:p>
          <w:p w:rsidR="00000000" w:rsidRPr="00E32284" w:rsidP="00E32284">
            <w:pPr>
              <w:pStyle w:val="ListBullet"/>
            </w:pPr>
            <w:r w:rsidRPr="00E32284">
              <w:t>suitable simulation</w:t>
            </w:r>
          </w:p>
          <w:p w:rsidR="00000000" w:rsidRPr="00E32284" w:rsidP="00E32284">
            <w:pPr>
              <w:pStyle w:val="ListBullet"/>
            </w:pPr>
            <w:r w:rsidRPr="00E32284">
              <w:t>case studies/scenarios (particularly for assessment of contingencies, improvement scenarios, and so on)</w:t>
            </w:r>
          </w:p>
          <w:p w:rsidR="00000000" w:rsidRPr="00E32284" w:rsidP="00E32284">
            <w:pPr>
              <w:pStyle w:val="ListBullet"/>
            </w:pPr>
            <w:r w:rsidRPr="00E32284">
              <w:t xml:space="preserve">targeted questioning </w:t>
            </w:r>
          </w:p>
          <w:p w:rsidR="00000000" w:rsidRPr="00E32284" w:rsidP="00E32284">
            <w:pPr>
              <w:pStyle w:val="ListBullet"/>
            </w:pPr>
            <w:r w:rsidRPr="00E32284">
              <w:t>reports from supervisors, peers and colleagues (third-party reports)</w:t>
            </w:r>
          </w:p>
          <w:p w:rsidR="00000000" w:rsidRPr="00E32284" w:rsidP="00E32284">
            <w:pPr>
              <w:pStyle w:val="ListBullet"/>
            </w:pPr>
            <w:r w:rsidRPr="00E32284">
              <w:t>portfolio of evidence</w:t>
            </w:r>
          </w:p>
          <w:p w:rsidR="00000000" w:rsidRPr="00E32284" w:rsidP="00E32284">
            <w:pPr>
              <w:pStyle w:val="BodyText"/>
            </w:pPr>
            <w:r w:rsidRPr="00E32284">
              <w:t>In all cases it is expected that practi</w:t>
            </w:r>
            <w:r w:rsidRPr="00E32284">
              <w:t>cal assessment will be combined with targeted questioning to assess underpinning knowledge.</w:t>
            </w:r>
          </w:p>
          <w:p w:rsidR="00000000" w:rsidP="00E32284">
            <w:pPr>
              <w:pStyle w:val="BodyText"/>
              <w:rPr>
                <w:lang w:val="en-NZ"/>
              </w:rPr>
            </w:pPr>
            <w:r w:rsidRPr="00E32284">
              <w:t>Where applicable, reasonable adjustment must be made to work environments and training situations to accommodate ethnicity, age, gender, demographics and disability</w:t>
            </w:r>
            <w:r w:rsidRPr="00E32284">
              <w:t>.</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Assessment processes and techniques must be culturally appropriate and appropriate to the oracy, language and literacy capacity of the candidate and the work being performed.</w:t>
            </w:r>
          </w:p>
        </w:tc>
      </w:tr>
    </w:tbl>
    <w:p w:rsidR="0089002A" w:rsidP="00E32284">
      <w:pPr>
        <w:pStyle w:val="BodyText"/>
      </w:pPr>
    </w:p>
    <w:p w:rsidR="0089002A" w:rsidP="00E32284">
      <w:pPr>
        <w:pStyle w:val="BodyText"/>
      </w:pPr>
    </w:p>
    <w:p w:rsidR="00000000" w:rsidRPr="00E32284" w:rsidP="00E32284">
      <w:pPr>
        <w:pStyle w:val="Heading1"/>
      </w:pPr>
      <w:bookmarkStart w:id="11" w:name="O_466537"/>
      <w:bookmarkEnd w:id="11"/>
      <w:r w:rsidRPr="00E32284">
        <w:t>Range Statement</w:t>
      </w:r>
    </w:p>
    <w:tbl>
      <w:tblPr>
        <w:tblW w:w="9462" w:type="dxa"/>
        <w:tblLayout w:type="fixed"/>
        <w:tblCellMar>
          <w:left w:w="62" w:type="dxa"/>
          <w:right w:w="62" w:type="dxa"/>
        </w:tblCellMar>
        <w:tblLook w:val="0000"/>
      </w:tblPr>
      <w:tblGrid>
        <w:gridCol w:w="3800"/>
        <w:gridCol w:w="5662"/>
      </w:tblGrid>
      <w:tr w:rsidTr="00E3228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32284">
            <w:pPr>
              <w:pStyle w:val="BodyText"/>
              <w:rPr>
                <w:lang w:val="en-NZ"/>
              </w:rPr>
            </w:pPr>
            <w:r w:rsidRPr="00E32284">
              <w:t>The range statement relates to the unit of competency as a whole. It allows for different work environments and situations that may affect performance. Bold italicised wording, if used in the performance criteria, is detailed below. Essential operating con</w:t>
            </w:r>
            <w:r w:rsidRPr="00E32284">
              <w:t>ditions that may be present with training and assessment (depending on the work situation, needs of the candidate, accessibility of the item, and local industry and regional contexts) may also be included.</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Competitive s</w:t>
            </w:r>
            <w:r w:rsidRPr="00E32284">
              <w:t>ystems and practices may include, but are not limited to:</w:t>
            </w:r>
          </w:p>
          <w:p w:rsidR="00000000" w:rsidRPr="00E32284" w:rsidP="00E32284">
            <w:pPr>
              <w:pStyle w:val="ListBullet"/>
            </w:pPr>
            <w:r w:rsidRPr="00E32284">
              <w:t>lean operations</w:t>
            </w:r>
          </w:p>
          <w:p w:rsidR="00000000" w:rsidRPr="00E32284" w:rsidP="00E32284">
            <w:pPr>
              <w:pStyle w:val="ListBullet"/>
            </w:pPr>
            <w:r w:rsidRPr="00E32284">
              <w:t>agile operations</w:t>
            </w:r>
          </w:p>
          <w:p w:rsidR="00000000" w:rsidRPr="00E32284" w:rsidP="00E32284">
            <w:pPr>
              <w:pStyle w:val="ListBullet"/>
            </w:pPr>
            <w:r w:rsidRPr="00E32284">
              <w:t>preventative and predictive maintenance approaches</w:t>
            </w:r>
          </w:p>
          <w:p w:rsidR="00000000" w:rsidRPr="00E32284" w:rsidP="00E32284">
            <w:pPr>
              <w:pStyle w:val="ListBullet"/>
            </w:pPr>
            <w:r w:rsidRPr="00E32284">
              <w:t xml:space="preserve">monitoring and data gathering systems, such as Systems Control and Data Acquisition (SCADA) software, Enterprise </w:t>
            </w:r>
            <w:r w:rsidRPr="00E32284">
              <w:t xml:space="preserve">Resource Planning (ERP) systems, Materials Resource Planning (MRP) and proprietary systems. </w:t>
            </w:r>
          </w:p>
          <w:p w:rsidR="00000000" w:rsidRPr="00E32284" w:rsidP="00E32284">
            <w:pPr>
              <w:pStyle w:val="ListBullet"/>
            </w:pPr>
            <w:r w:rsidRPr="00E32284">
              <w:t>statistical process control systems, including six sigma and three sigma</w:t>
            </w:r>
          </w:p>
          <w:p w:rsidR="00000000" w:rsidRPr="00E32284" w:rsidP="00E32284">
            <w:pPr>
              <w:pStyle w:val="ListBullet"/>
            </w:pPr>
            <w:r w:rsidRPr="00E32284">
              <w:t>Just in Time (JIT), kanban and other pull-related operations control systems</w:t>
            </w:r>
          </w:p>
          <w:p w:rsidR="00000000" w:rsidRPr="00E32284" w:rsidP="00E32284">
            <w:pPr>
              <w:pStyle w:val="ListBullet"/>
            </w:pPr>
            <w:r w:rsidRPr="00E32284">
              <w:t>supply, value, and demand chain monitoring and analysis</w:t>
            </w:r>
          </w:p>
          <w:p w:rsidR="00000000" w:rsidRPr="00E32284" w:rsidP="00E32284">
            <w:pPr>
              <w:pStyle w:val="ListBullet"/>
            </w:pPr>
            <w:r w:rsidRPr="00E32284">
              <w:t xml:space="preserve">5S </w:t>
            </w:r>
          </w:p>
          <w:p w:rsidR="00000000" w:rsidRPr="00E32284" w:rsidP="00E32284">
            <w:pPr>
              <w:pStyle w:val="ListBullet"/>
            </w:pPr>
            <w:r w:rsidRPr="00E32284">
              <w:t>continuous improvement (kaizen)</w:t>
            </w:r>
          </w:p>
          <w:p w:rsidR="00000000" w:rsidRPr="00E32284" w:rsidP="00E32284">
            <w:pPr>
              <w:pStyle w:val="ListBullet"/>
            </w:pPr>
            <w:r w:rsidRPr="00E32284">
              <w:t>breakthrough improvement (kaizen blitz)</w:t>
            </w:r>
          </w:p>
          <w:p w:rsidR="00000000" w:rsidRPr="00E32284" w:rsidP="00E32284">
            <w:pPr>
              <w:pStyle w:val="ListBullet"/>
            </w:pPr>
            <w:r w:rsidRPr="00E32284">
              <w:t>cause/effect diagrams</w:t>
            </w:r>
          </w:p>
          <w:p w:rsidR="00000000" w:rsidRPr="00E32284" w:rsidP="00E32284">
            <w:pPr>
              <w:pStyle w:val="ListBullet"/>
            </w:pPr>
            <w:r w:rsidRPr="00E32284">
              <w:t>overall equipment effectiveness (OEE)</w:t>
            </w:r>
          </w:p>
          <w:p w:rsidR="00000000" w:rsidRPr="00E32284" w:rsidP="00E32284">
            <w:pPr>
              <w:pStyle w:val="ListBullet"/>
            </w:pPr>
            <w:r w:rsidRPr="00E32284">
              <w:t>takt time</w:t>
            </w:r>
          </w:p>
          <w:p w:rsidR="00000000" w:rsidRPr="00E32284" w:rsidP="00E32284">
            <w:pPr>
              <w:pStyle w:val="ListBullet"/>
            </w:pPr>
            <w:r w:rsidRPr="00E32284">
              <w:t>process mapping</w:t>
            </w:r>
          </w:p>
          <w:p w:rsidR="00000000" w:rsidRPr="00E32284" w:rsidP="00E32284">
            <w:pPr>
              <w:pStyle w:val="ListBullet"/>
            </w:pPr>
            <w:r w:rsidRPr="00E32284">
              <w:t xml:space="preserve">problem solving </w:t>
            </w:r>
          </w:p>
          <w:p w:rsidR="00000000" w:rsidRPr="00E32284" w:rsidP="00E32284">
            <w:pPr>
              <w:pStyle w:val="ListBullet"/>
            </w:pPr>
            <w:r w:rsidRPr="00E32284">
              <w:t>run charts</w:t>
            </w:r>
          </w:p>
          <w:p w:rsidR="00000000" w:rsidRPr="00E32284" w:rsidP="00E32284">
            <w:pPr>
              <w:pStyle w:val="ListBullet"/>
            </w:pPr>
            <w:r w:rsidRPr="00E32284">
              <w:t>standard p</w:t>
            </w:r>
            <w:r w:rsidRPr="00E32284">
              <w:t>rocedures</w:t>
            </w:r>
          </w:p>
          <w:p w:rsidR="00000000" w:rsidRPr="00E32284" w:rsidP="00E32284">
            <w:pPr>
              <w:pStyle w:val="ListBullet"/>
            </w:pPr>
            <w:r w:rsidRPr="00E32284">
              <w:t>current reality tree</w:t>
            </w:r>
          </w:p>
          <w:p w:rsidR="00000000" w:rsidRPr="00E32284" w:rsidP="00E32284">
            <w:pPr>
              <w:pStyle w:val="BodyText"/>
            </w:pPr>
            <w:r w:rsidRPr="00E32284">
              <w:t>Competitive systems and practices should be interpreted so as to take into account:</w:t>
            </w:r>
          </w:p>
          <w:p w:rsidR="00000000" w:rsidRPr="00E32284" w:rsidP="00E32284">
            <w:pPr>
              <w:pStyle w:val="ListBullet"/>
            </w:pPr>
            <w:r w:rsidRPr="00E32284">
              <w:t>the stage of implementation of competitive systems and practices</w:t>
            </w:r>
          </w:p>
          <w:p w:rsidR="00000000" w:rsidRPr="00E32284" w:rsidP="00E32284">
            <w:pPr>
              <w:pStyle w:val="ListBullet"/>
            </w:pPr>
            <w:r w:rsidRPr="00E32284">
              <w:t>the size of the enterprise</w:t>
            </w:r>
          </w:p>
          <w:p w:rsidR="00000000" w:rsidP="00E32284">
            <w:pPr>
              <w:pStyle w:val="ListBullet"/>
              <w:rPr>
                <w:lang w:val="en-NZ"/>
              </w:rPr>
            </w:pPr>
            <w:r w:rsidRPr="00E32284">
              <w:t>the work organisation, culture, regulatory envir</w:t>
            </w:r>
            <w:r w:rsidRPr="00E32284">
              <w:t>onment and the industry sector</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Six sigma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Six sigma is a process improvement methodology based on statistical process control with six sigma limits which equates to 3.4 defects per million opportunities for each product or service transaction</w:t>
            </w:r>
          </w:p>
          <w:p w:rsidR="00000000" w:rsidP="00E32284">
            <w:pPr>
              <w:pStyle w:val="BodyText"/>
              <w:rPr>
                <w:lang w:val="en-NZ"/>
              </w:rPr>
            </w:pPr>
            <w:r w:rsidRPr="00E32284">
              <w:t>Six sigma is also often used as a general term covering a competitive systems and practices approach. Six sigma training typically covers several units of competency in this Training Package</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Three sigma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Three sigma includes:</w:t>
            </w:r>
          </w:p>
          <w:p w:rsidR="00000000" w:rsidP="00E32284">
            <w:pPr>
              <w:pStyle w:val="ListBullet"/>
              <w:rPr>
                <w:lang w:val="en-NZ"/>
              </w:rPr>
            </w:pPr>
            <w:r w:rsidRPr="00E32284">
              <w:t>statistical process control w</w:t>
            </w:r>
            <w:r w:rsidRPr="00E32284">
              <w:t>ith three sigma limits which equates to 3 defects per thousand opportunities for each product or service transaction</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Procedures may include:</w:t>
            </w:r>
          </w:p>
          <w:p w:rsidR="00000000" w:rsidRPr="00E32284" w:rsidP="00E32284">
            <w:pPr>
              <w:pStyle w:val="ListBullet"/>
            </w:pPr>
            <w:r w:rsidRPr="00E32284">
              <w:t>work instructions</w:t>
            </w:r>
          </w:p>
          <w:p w:rsidR="00000000" w:rsidRPr="00E32284" w:rsidP="00E32284">
            <w:pPr>
              <w:pStyle w:val="ListBullet"/>
            </w:pPr>
            <w:r w:rsidRPr="00E32284">
              <w:t>standard operating procedures</w:t>
            </w:r>
          </w:p>
          <w:p w:rsidR="00000000" w:rsidRPr="00E32284" w:rsidP="00E32284">
            <w:pPr>
              <w:pStyle w:val="ListBullet"/>
            </w:pPr>
            <w:r w:rsidRPr="00E32284">
              <w:t>formulas/recipes</w:t>
            </w:r>
          </w:p>
          <w:p w:rsidR="00000000" w:rsidRPr="00E32284" w:rsidP="00E32284">
            <w:pPr>
              <w:pStyle w:val="ListBullet"/>
            </w:pPr>
            <w:r w:rsidRPr="00E32284">
              <w:t>batch sheets</w:t>
            </w:r>
          </w:p>
          <w:p w:rsidR="00000000" w:rsidRPr="00E32284" w:rsidP="00E32284">
            <w:pPr>
              <w:pStyle w:val="ListBullet"/>
            </w:pPr>
            <w:r w:rsidRPr="00E32284">
              <w:t>temporary instructions a</w:t>
            </w:r>
            <w:r w:rsidRPr="00E32284">
              <w:t>nd similar instructions provided for the smooth running of the plant</w:t>
            </w:r>
          </w:p>
          <w:p w:rsidR="00000000" w:rsidRPr="00E32284" w:rsidP="00E32284">
            <w:pPr>
              <w:pStyle w:val="ListBullet"/>
            </w:pPr>
            <w:r w:rsidRPr="00E32284">
              <w:t xml:space="preserve">good operating practice as may be defined by industry codes of practice (e.g. good manufacturing practice (GMP) and responsible care) </w:t>
            </w:r>
          </w:p>
          <w:p w:rsidR="00000000" w:rsidRPr="00E32284" w:rsidP="00E32284">
            <w:pPr>
              <w:pStyle w:val="ListBullet"/>
            </w:pPr>
            <w:r w:rsidRPr="00E32284">
              <w:t>government regulations</w:t>
            </w:r>
          </w:p>
          <w:p w:rsidR="00000000" w:rsidRPr="00E32284" w:rsidP="00E32284">
            <w:pPr>
              <w:pStyle w:val="BodyText"/>
            </w:pPr>
            <w:r w:rsidRPr="00E32284">
              <w:t>Procedures may be:</w:t>
            </w:r>
          </w:p>
          <w:p w:rsidR="00000000" w:rsidP="00E32284">
            <w:pPr>
              <w:pStyle w:val="ListBullet"/>
              <w:rPr>
                <w:lang w:val="en-NZ"/>
              </w:rPr>
            </w:pPr>
            <w:r w:rsidRPr="00E32284">
              <w:t>written, verbal, computer-based or in some other form</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Random variation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t>Random variation is the term used in statistical control to refer to those variations for which no cause can be found</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rPr>
                <w:rStyle w:val="SpecialBold"/>
              </w:rPr>
              <w:t>Identifiable cause</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Identifiable cause (also referred to as assig</w:t>
            </w:r>
            <w:r w:rsidRPr="00E32284">
              <w:t>nable cause or special cause) refers to:</w:t>
            </w:r>
          </w:p>
          <w:p w:rsidR="00000000" w:rsidP="00E32284">
            <w:pPr>
              <w:pStyle w:val="ListBullet"/>
              <w:rPr>
                <w:lang w:val="en-NZ"/>
              </w:rPr>
            </w:pPr>
            <w:r w:rsidRPr="00E32284">
              <w:t xml:space="preserve">those variations for which a cause can be found and so the cause of the variation eliminated </w:t>
            </w:r>
          </w:p>
        </w:tc>
      </w:tr>
      <w:tr w:rsidTr="00E322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284">
            <w:pPr>
              <w:pStyle w:val="BodyText"/>
              <w:rPr>
                <w:lang w:val="en-NZ"/>
              </w:rPr>
            </w:pPr>
            <w:r w:rsidRPr="00E32284">
              <w:rPr>
                <w:rStyle w:val="SpecialBold"/>
              </w:rPr>
              <w:t>Process capability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284" w:rsidP="00E32284">
            <w:pPr>
              <w:pStyle w:val="BodyText"/>
            </w:pPr>
            <w:r w:rsidRPr="00E32284">
              <w:t xml:space="preserve">Process capability means the capability of the process to deliver to customer defined requirements. </w:t>
            </w:r>
            <w:r w:rsidRPr="00E32284">
              <w:t>Process capability includes process stability against standardised practices and documentation to eliminate variation against customer requirements</w:t>
            </w:r>
          </w:p>
        </w:tc>
      </w:tr>
    </w:tbl>
    <w:p w:rsidR="0089002A" w:rsidP="00E32284">
      <w:pPr>
        <w:pStyle w:val="BodyText"/>
      </w:pPr>
    </w:p>
    <w:p w:rsidR="0089002A" w:rsidP="00E32284">
      <w:pPr>
        <w:pStyle w:val="BodyText"/>
      </w:pPr>
    </w:p>
    <w:p w:rsidR="00000000" w:rsidRPr="00E32284" w:rsidP="00E32284">
      <w:pPr>
        <w:pStyle w:val="Heading1"/>
      </w:pPr>
      <w:bookmarkStart w:id="12" w:name="O_466538"/>
      <w:bookmarkEnd w:id="12"/>
      <w:r w:rsidRPr="00E32284">
        <w:t>Unit Sector(s)</w:t>
      </w:r>
    </w:p>
    <w:tbl>
      <w:tblPr>
        <w:tblW w:w="9354" w:type="dxa"/>
        <w:tblLayout w:type="fixed"/>
        <w:tblCellMar>
          <w:left w:w="62" w:type="dxa"/>
          <w:right w:w="62" w:type="dxa"/>
        </w:tblCellMar>
        <w:tblLook w:val="0000"/>
      </w:tblPr>
      <w:tblGrid>
        <w:gridCol w:w="2592"/>
        <w:gridCol w:w="6762"/>
      </w:tblGrid>
      <w:tr w:rsidTr="00E3228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32284">
            <w:pPr>
              <w:pStyle w:val="BodyText"/>
              <w:rPr>
                <w:lang w:val="en-NZ"/>
              </w:rPr>
            </w:pPr>
            <w:r w:rsidRPr="00E32284">
              <w:t>Unit sector</w:t>
            </w:r>
          </w:p>
        </w:tc>
        <w:tc>
          <w:tcPr>
            <w:tcW w:w="6762" w:type="dxa"/>
            <w:tcBorders>
              <w:top w:val="nil"/>
              <w:left w:val="nil"/>
              <w:bottom w:val="nil"/>
              <w:right w:val="nil"/>
            </w:tcBorders>
            <w:tcMar>
              <w:top w:w="0" w:type="dxa"/>
              <w:left w:w="62" w:type="dxa"/>
              <w:bottom w:w="0" w:type="dxa"/>
              <w:right w:w="62" w:type="dxa"/>
            </w:tcMar>
          </w:tcPr>
          <w:p w:rsidR="00000000" w:rsidRPr="00E32284" w:rsidP="00E32284">
            <w:pPr>
              <w:pStyle w:val="BodyText"/>
            </w:pPr>
            <w:r w:rsidRPr="00E32284">
              <w:t>Competitive systems and practices</w:t>
            </w:r>
          </w:p>
        </w:tc>
      </w:tr>
    </w:tbl>
    <w:p w:rsidR="00000000" w:rsidRPr="00E32284" w:rsidP="00E32284">
      <w:pPr>
        <w:pStyle w:val="BodyText"/>
      </w:pPr>
    </w:p>
    <w:p w:rsidR="00000000" w:rsidRPr="00E32284" w:rsidP="00E32284">
      <w:pPr>
        <w:pStyle w:val="AllowPageBreak"/>
      </w:pPr>
    </w:p>
    <w:p w:rsidR="00000000" w:rsidRPr="00E32284" w:rsidP="00E32284">
      <w:pPr>
        <w:pStyle w:val="Heading1"/>
      </w:pPr>
      <w:bookmarkStart w:id="13" w:name="O_466539"/>
      <w:bookmarkEnd w:id="13"/>
      <w:r w:rsidRPr="00E32284">
        <w:t>Custom Content Section</w:t>
      </w:r>
    </w:p>
    <w:p w:rsidR="00000000" w:rsidRPr="00E32284" w:rsidP="00E32284">
      <w:pPr>
        <w:pStyle w:val="BodyText"/>
      </w:pPr>
      <w:r w:rsidRPr="00E32284">
        <w:t>Not applicable.</w:t>
      </w:r>
    </w:p>
    <w:p w:rsidR="00000000" w:rsidRPr="00E32284" w:rsidP="00E32284"/>
    <w:sectPr w:rsidSect="00E322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02A" w:rsidP="00890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2A" w:rsidP="00E322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002A" w:rsidP="00E322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002A" w:rsidP="00E322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02A" w:rsidP="008900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2A" w:rsidP="00E32284">
    <w:pPr>
      <w:pStyle w:val="Header"/>
      <w:framePr w:wrap="around"/>
    </w:pPr>
    <w:r>
      <w:fldChar w:fldCharType="begin"/>
    </w:r>
    <w:r>
      <w:instrText xml:space="preserve"> TITLE   \* MERGEFORMAT </w:instrText>
    </w:r>
    <w:r>
      <w:fldChar w:fldCharType="separate"/>
    </w:r>
    <w:r>
      <w:t>MSS402050A Monitor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002A" w:rsidP="00E322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8E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C1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086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2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284"/>
    <w:pPr>
      <w:spacing w:before="360" w:after="60"/>
      <w:outlineLvl w:val="0"/>
    </w:pPr>
    <w:rPr>
      <w:sz w:val="32"/>
    </w:rPr>
  </w:style>
  <w:style w:type="paragraph" w:styleId="Heading2">
    <w:name w:val="heading 2"/>
    <w:basedOn w:val="HeadingBase"/>
    <w:next w:val="BodyText"/>
    <w:link w:val="Heading2Char"/>
    <w:qFormat/>
    <w:rsid w:val="00E32284"/>
    <w:pPr>
      <w:keepLines/>
      <w:spacing w:before="240" w:after="120"/>
      <w:outlineLvl w:val="1"/>
    </w:pPr>
    <w:rPr>
      <w:sz w:val="28"/>
      <w:szCs w:val="40"/>
    </w:rPr>
  </w:style>
  <w:style w:type="paragraph" w:styleId="Heading3">
    <w:name w:val="heading 3"/>
    <w:basedOn w:val="HeadingBase"/>
    <w:next w:val="BodyText"/>
    <w:link w:val="Heading3Char"/>
    <w:qFormat/>
    <w:rsid w:val="00E32284"/>
    <w:pPr>
      <w:spacing w:before="180" w:after="120"/>
      <w:outlineLvl w:val="2"/>
    </w:pPr>
    <w:rPr>
      <w:spacing w:val="-10"/>
      <w:kern w:val="32"/>
    </w:rPr>
  </w:style>
  <w:style w:type="paragraph" w:styleId="Heading4">
    <w:name w:val="heading 4"/>
    <w:basedOn w:val="HeadingBase"/>
    <w:next w:val="BodyText"/>
    <w:link w:val="Heading4Char"/>
    <w:qFormat/>
    <w:rsid w:val="00E32284"/>
    <w:pPr>
      <w:spacing w:before="160" w:after="120"/>
      <w:outlineLvl w:val="3"/>
    </w:pPr>
    <w:rPr>
      <w:sz w:val="22"/>
    </w:rPr>
  </w:style>
  <w:style w:type="paragraph" w:styleId="Heading5">
    <w:name w:val="heading 5"/>
    <w:basedOn w:val="HeadingBase"/>
    <w:next w:val="Normal"/>
    <w:link w:val="Heading5Char"/>
    <w:qFormat/>
    <w:rsid w:val="00E32284"/>
    <w:pPr>
      <w:spacing w:before="80"/>
      <w:outlineLvl w:val="4"/>
    </w:pPr>
    <w:rPr>
      <w:color w:val="918585"/>
      <w:sz w:val="20"/>
    </w:rPr>
  </w:style>
  <w:style w:type="paragraph" w:styleId="Heading6">
    <w:name w:val="heading 6"/>
    <w:basedOn w:val="HeadingBase"/>
    <w:next w:val="Normal"/>
    <w:link w:val="Heading6Char"/>
    <w:qFormat/>
    <w:rsid w:val="00E32284"/>
    <w:pPr>
      <w:spacing w:before="60"/>
      <w:outlineLvl w:val="5"/>
    </w:pPr>
    <w:rPr>
      <w:color w:val="918585"/>
      <w:sz w:val="20"/>
    </w:rPr>
  </w:style>
  <w:style w:type="paragraph" w:styleId="Heading7">
    <w:name w:val="heading 7"/>
    <w:basedOn w:val="Normal"/>
    <w:next w:val="Normal"/>
    <w:link w:val="Heading7Char"/>
    <w:qFormat/>
    <w:rsid w:val="00E32284"/>
    <w:pPr>
      <w:ind w:left="720"/>
      <w:outlineLvl w:val="6"/>
    </w:pPr>
    <w:rPr>
      <w:i/>
    </w:rPr>
  </w:style>
  <w:style w:type="paragraph" w:styleId="Heading8">
    <w:name w:val="heading 8"/>
    <w:basedOn w:val="Normal"/>
    <w:next w:val="Normal"/>
    <w:link w:val="Heading8Char"/>
    <w:qFormat/>
    <w:rsid w:val="00E32284"/>
    <w:pPr>
      <w:ind w:left="720"/>
      <w:outlineLvl w:val="7"/>
    </w:pPr>
    <w:rPr>
      <w:i/>
    </w:rPr>
  </w:style>
  <w:style w:type="paragraph" w:styleId="Heading9">
    <w:name w:val="heading 9"/>
    <w:basedOn w:val="Normal"/>
    <w:next w:val="Normal"/>
    <w:link w:val="Heading9Char"/>
    <w:qFormat/>
    <w:rsid w:val="00E32284"/>
    <w:pPr>
      <w:ind w:left="720"/>
      <w:outlineLvl w:val="8"/>
    </w:pPr>
    <w:rPr>
      <w:i/>
    </w:rPr>
  </w:style>
  <w:style w:type="character" w:default="1" w:styleId="DefaultParagraphFont">
    <w:name w:val="Default Paragraph Font"/>
    <w:uiPriority w:val="1"/>
    <w:unhideWhenUsed/>
    <w:rsid w:val="00E32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284"/>
  </w:style>
  <w:style w:type="character" w:customStyle="1" w:styleId="Heading1Char">
    <w:name w:val="Heading 1 Char"/>
    <w:link w:val="Heading1"/>
    <w:rsid w:val="00E32284"/>
    <w:rPr>
      <w:rFonts w:ascii="Times New Roman" w:eastAsia="Times New Roman" w:hAnsi="Times New Roman" w:cs="Times New Roman"/>
      <w:b/>
      <w:sz w:val="32"/>
      <w:szCs w:val="20"/>
      <w:lang w:eastAsia="en-US"/>
    </w:rPr>
  </w:style>
  <w:style w:type="paragraph" w:styleId="BodyText">
    <w:name w:val="Body Text"/>
    <w:basedOn w:val="Normal"/>
    <w:link w:val="BodyTextChar"/>
    <w:rsid w:val="00E32284"/>
    <w:pPr>
      <w:spacing w:before="120" w:after="120"/>
      <w:contextualSpacing/>
    </w:pPr>
    <w:rPr>
      <w:rFonts w:ascii="Times New Roman" w:hAnsi="Times New Roman"/>
      <w:sz w:val="24"/>
      <w:szCs w:val="22"/>
    </w:rPr>
  </w:style>
  <w:style w:type="character" w:customStyle="1" w:styleId="BodyTextChar">
    <w:name w:val="Body Text Char"/>
    <w:link w:val="BodyText"/>
    <w:rsid w:val="00E32284"/>
    <w:rPr>
      <w:rFonts w:ascii="Times New Roman" w:eastAsia="Times New Roman" w:hAnsi="Times New Roman" w:cs="Times New Roman"/>
      <w:sz w:val="24"/>
      <w:lang w:val="en-US" w:eastAsia="en-US"/>
    </w:rPr>
  </w:style>
  <w:style w:type="paragraph" w:styleId="Footer">
    <w:name w:val="footer"/>
    <w:basedOn w:val="Normal"/>
    <w:link w:val="FooterChar"/>
    <w:rsid w:val="00E322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2284"/>
    <w:rPr>
      <w:rFonts w:ascii="Times New Roman" w:eastAsia="Times New Roman" w:hAnsi="Times New Roman" w:cs="Times New Roman"/>
      <w:sz w:val="16"/>
      <w:lang w:val="en-US" w:eastAsia="en-US"/>
    </w:rPr>
  </w:style>
  <w:style w:type="paragraph" w:styleId="ListBullet">
    <w:name w:val="List Bullet"/>
    <w:basedOn w:val="List"/>
    <w:rsid w:val="00E32284"/>
    <w:pPr>
      <w:numPr>
        <w:numId w:val="13"/>
      </w:numPr>
      <w:tabs>
        <w:tab w:val="clear" w:pos="340"/>
      </w:tabs>
      <w:spacing w:before="40" w:after="40"/>
    </w:pPr>
  </w:style>
  <w:style w:type="character" w:customStyle="1" w:styleId="SpecialBold">
    <w:name w:val="Special Bold"/>
    <w:rsid w:val="00E32284"/>
    <w:rPr>
      <w:b/>
      <w:spacing w:val="0"/>
    </w:rPr>
  </w:style>
  <w:style w:type="paragraph" w:styleId="ListBullet2">
    <w:name w:val="List Bullet 2"/>
    <w:basedOn w:val="List2"/>
    <w:rsid w:val="00E32284"/>
    <w:pPr>
      <w:numPr>
        <w:numId w:val="14"/>
      </w:numPr>
      <w:tabs>
        <w:tab w:val="clear" w:pos="680"/>
      </w:tabs>
    </w:pPr>
  </w:style>
  <w:style w:type="paragraph" w:styleId="Header">
    <w:name w:val="header"/>
    <w:basedOn w:val="Normal"/>
    <w:link w:val="HeaderChar"/>
    <w:rsid w:val="00E322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22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2284"/>
    <w:pPr>
      <w:spacing w:before="240" w:after="120"/>
      <w:outlineLvl w:val="0"/>
    </w:pPr>
    <w:rPr>
      <w:rFonts w:ascii="Times New Roman" w:hAnsi="Times New Roman"/>
      <w:b/>
      <w:sz w:val="28"/>
    </w:rPr>
  </w:style>
  <w:style w:type="paragraph" w:customStyle="1" w:styleId="AllowPageBreak">
    <w:name w:val="AllowPageBreak"/>
    <w:rsid w:val="00E322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32284"/>
    <w:rPr>
      <w:rFonts w:ascii="Times New Roman" w:eastAsia="Times New Roman" w:hAnsi="Times New Roman" w:cs="Times New Roman"/>
      <w:b/>
      <w:sz w:val="28"/>
      <w:szCs w:val="40"/>
      <w:lang w:eastAsia="en-US"/>
    </w:rPr>
  </w:style>
  <w:style w:type="character" w:customStyle="1" w:styleId="Heading3Char">
    <w:name w:val="Heading 3 Char"/>
    <w:link w:val="Heading3"/>
    <w:rsid w:val="00E322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2284"/>
    <w:rPr>
      <w:rFonts w:ascii="Times New Roman" w:eastAsia="Times New Roman" w:hAnsi="Times New Roman" w:cs="Times New Roman"/>
      <w:b/>
      <w:szCs w:val="20"/>
      <w:lang w:eastAsia="en-US"/>
    </w:rPr>
  </w:style>
  <w:style w:type="character" w:customStyle="1" w:styleId="Heading5Char">
    <w:name w:val="Heading 5 Char"/>
    <w:link w:val="Heading5"/>
    <w:rsid w:val="00E322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22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2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2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284"/>
    <w:rPr>
      <w:rFonts w:ascii="Courier New" w:eastAsia="Times New Roman" w:hAnsi="Courier New" w:cs="Times New Roman"/>
      <w:i/>
      <w:szCs w:val="20"/>
      <w:lang w:val="en-US" w:eastAsia="en-US"/>
    </w:rPr>
  </w:style>
  <w:style w:type="paragraph" w:customStyle="1" w:styleId="HeadingBase">
    <w:name w:val="Heading Base"/>
    <w:rsid w:val="00E322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284"/>
    <w:pPr>
      <w:tabs>
        <w:tab w:val="right" w:leader="dot" w:pos="9072"/>
      </w:tabs>
      <w:ind w:left="567"/>
    </w:pPr>
    <w:rPr>
      <w:szCs w:val="22"/>
    </w:rPr>
  </w:style>
  <w:style w:type="paragraph" w:customStyle="1" w:styleId="TOCBase">
    <w:name w:val="TOC Base"/>
    <w:rsid w:val="00E322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284"/>
    <w:pPr>
      <w:tabs>
        <w:tab w:val="right" w:leader="dot" w:pos="9072"/>
      </w:tabs>
      <w:spacing w:before="40" w:after="40"/>
      <w:ind w:left="284"/>
    </w:pPr>
    <w:rPr>
      <w:rFonts w:ascii="Times New Roman" w:hAnsi="Times New Roman"/>
    </w:rPr>
  </w:style>
  <w:style w:type="paragraph" w:styleId="TOC1">
    <w:name w:val="toc 1"/>
    <w:basedOn w:val="TOCBase"/>
    <w:next w:val="Normal"/>
    <w:rsid w:val="00E322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284"/>
    <w:pPr>
      <w:spacing w:before="5040"/>
      <w:jc w:val="center"/>
    </w:pPr>
    <w:rPr>
      <w:sz w:val="48"/>
      <w:szCs w:val="72"/>
      <w:lang w:val="en-US"/>
    </w:rPr>
  </w:style>
  <w:style w:type="character" w:customStyle="1" w:styleId="TitleChar">
    <w:name w:val="Title Char"/>
    <w:link w:val="Title"/>
    <w:rsid w:val="00E322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284"/>
    <w:pPr>
      <w:tabs>
        <w:tab w:val="left" w:pos="3600"/>
        <w:tab w:val="left" w:pos="3958"/>
      </w:tabs>
    </w:pPr>
  </w:style>
  <w:style w:type="paragraph" w:styleId="List">
    <w:name w:val="List"/>
    <w:basedOn w:val="BodyText"/>
    <w:next w:val="BodyText"/>
    <w:rsid w:val="00E32284"/>
    <w:pPr>
      <w:tabs>
        <w:tab w:val="left" w:pos="340"/>
      </w:tabs>
      <w:spacing w:before="60" w:after="60"/>
      <w:ind w:left="340" w:hanging="340"/>
    </w:pPr>
  </w:style>
  <w:style w:type="paragraph" w:customStyle="1" w:styleId="Note">
    <w:name w:val="Note"/>
    <w:basedOn w:val="BodyText"/>
    <w:rsid w:val="00E322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284"/>
    <w:pPr>
      <w:framePr w:wrap="auto" w:hAnchor="text" w:y="6049"/>
    </w:pPr>
    <w:rPr>
      <w:color w:val="000000"/>
      <w:sz w:val="40"/>
    </w:rPr>
  </w:style>
  <w:style w:type="paragraph" w:customStyle="1" w:styleId="TOCTitle">
    <w:name w:val="TOCTitle"/>
    <w:basedOn w:val="Heading1"/>
    <w:rsid w:val="00E32284"/>
    <w:pPr>
      <w:spacing w:after="240"/>
      <w:jc w:val="center"/>
      <w:outlineLvl w:val="9"/>
    </w:pPr>
    <w:rPr>
      <w:caps/>
    </w:rPr>
  </w:style>
  <w:style w:type="paragraph" w:customStyle="1" w:styleId="Version">
    <w:name w:val="Version"/>
    <w:rsid w:val="00E322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284"/>
    <w:pPr>
      <w:keepNext w:val="0"/>
      <w:tabs>
        <w:tab w:val="right" w:pos="4176"/>
      </w:tabs>
      <w:ind w:left="198" w:hanging="198"/>
    </w:pPr>
    <w:rPr>
      <w:rFonts w:ascii="Garamond" w:hAnsi="Garamond"/>
    </w:rPr>
  </w:style>
  <w:style w:type="paragraph" w:styleId="IndexHeading">
    <w:name w:val="index heading"/>
    <w:basedOn w:val="Normal"/>
    <w:next w:val="Index1"/>
    <w:semiHidden/>
    <w:rsid w:val="00E32284"/>
    <w:pPr>
      <w:spacing w:before="120" w:after="120"/>
    </w:pPr>
    <w:rPr>
      <w:rFonts w:ascii="Arial" w:hAnsi="Arial"/>
      <w:b/>
      <w:color w:val="918585"/>
      <w:sz w:val="24"/>
    </w:rPr>
  </w:style>
  <w:style w:type="paragraph" w:customStyle="1" w:styleId="Chapter">
    <w:name w:val="Chapter"/>
    <w:basedOn w:val="Normal"/>
    <w:rsid w:val="00E32284"/>
    <w:pPr>
      <w:spacing w:before="240"/>
    </w:pPr>
    <w:rPr>
      <w:rFonts w:ascii="Times New Roman" w:hAnsi="Times New Roman"/>
      <w:smallCaps/>
      <w:spacing w:val="80"/>
      <w:sz w:val="28"/>
    </w:rPr>
  </w:style>
  <w:style w:type="paragraph" w:customStyle="1" w:styleId="InChapter">
    <w:name w:val="InChapter"/>
    <w:basedOn w:val="Heading3"/>
    <w:rsid w:val="00E32284"/>
    <w:pPr>
      <w:spacing w:after="240"/>
      <w:outlineLvl w:val="9"/>
    </w:pPr>
    <w:rPr>
      <w:noProof/>
    </w:rPr>
  </w:style>
  <w:style w:type="paragraph" w:styleId="Index2">
    <w:name w:val="index 2"/>
    <w:basedOn w:val="Normal"/>
    <w:next w:val="Normal"/>
    <w:semiHidden/>
    <w:rsid w:val="00E32284"/>
    <w:pPr>
      <w:tabs>
        <w:tab w:val="right" w:pos="4176"/>
      </w:tabs>
      <w:ind w:left="568" w:hanging="284"/>
    </w:pPr>
    <w:rPr>
      <w:rFonts w:ascii="Garamond" w:hAnsi="Garamond"/>
    </w:rPr>
  </w:style>
  <w:style w:type="paragraph" w:customStyle="1" w:styleId="Byline">
    <w:name w:val="Byline"/>
    <w:rsid w:val="00E322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284"/>
    <w:pPr>
      <w:tabs>
        <w:tab w:val="clear" w:pos="3600"/>
        <w:tab w:val="clear" w:pos="3958"/>
      </w:tabs>
      <w:jc w:val="right"/>
    </w:pPr>
  </w:style>
  <w:style w:type="character" w:styleId="Emphasis">
    <w:name w:val="Emphasis"/>
    <w:qFormat/>
    <w:rsid w:val="00E32284"/>
    <w:rPr>
      <w:i/>
    </w:rPr>
  </w:style>
  <w:style w:type="paragraph" w:styleId="Caption">
    <w:name w:val="caption"/>
    <w:basedOn w:val="BodyText"/>
    <w:next w:val="Normal"/>
    <w:qFormat/>
    <w:rsid w:val="00E32284"/>
    <w:pPr>
      <w:framePr w:w="2268" w:hSpace="181" w:vSpace="181" w:wrap="around" w:vAnchor="text" w:hAnchor="page" w:x="1135" w:y="285" w:anchorLock="1"/>
    </w:pPr>
    <w:rPr>
      <w:i/>
    </w:rPr>
  </w:style>
  <w:style w:type="paragraph" w:customStyle="1" w:styleId="MiniTOCTitle">
    <w:name w:val="MiniTOCTitle"/>
    <w:basedOn w:val="Heading4"/>
    <w:rsid w:val="00E32284"/>
    <w:pPr>
      <w:spacing w:before="240"/>
      <w:outlineLvl w:val="9"/>
    </w:pPr>
    <w:rPr>
      <w:noProof/>
      <w:sz w:val="24"/>
    </w:rPr>
  </w:style>
  <w:style w:type="paragraph" w:customStyle="1" w:styleId="MiniTOCItem">
    <w:name w:val="MiniTOCItem"/>
    <w:basedOn w:val="ListBullet"/>
    <w:rsid w:val="00E32284"/>
    <w:pPr>
      <w:numPr>
        <w:numId w:val="0"/>
      </w:numPr>
      <w:tabs>
        <w:tab w:val="right" w:leader="dot" w:pos="6521"/>
      </w:tabs>
      <w:spacing w:before="0" w:after="0"/>
    </w:pPr>
  </w:style>
  <w:style w:type="paragraph" w:customStyle="1" w:styleId="TOFTitle">
    <w:name w:val="TOFTitle"/>
    <w:basedOn w:val="TOCTitle"/>
    <w:rsid w:val="00E32284"/>
  </w:style>
  <w:style w:type="paragraph" w:styleId="TableofFigures">
    <w:name w:val="table of figures"/>
    <w:basedOn w:val="Normal"/>
    <w:next w:val="Normal"/>
    <w:semiHidden/>
    <w:rsid w:val="00E32284"/>
    <w:pPr>
      <w:tabs>
        <w:tab w:val="right" w:leader="dot" w:pos="9072"/>
      </w:tabs>
      <w:ind w:left="970" w:hanging="403"/>
    </w:pPr>
    <w:rPr>
      <w:rFonts w:ascii="Times New Roman" w:hAnsi="Times New Roman"/>
      <w:b/>
    </w:rPr>
  </w:style>
  <w:style w:type="paragraph" w:styleId="ListNumber">
    <w:name w:val="List Number"/>
    <w:basedOn w:val="List"/>
    <w:rsid w:val="00E32284"/>
    <w:pPr>
      <w:numPr>
        <w:numId w:val="11"/>
      </w:numPr>
    </w:pPr>
  </w:style>
  <w:style w:type="character" w:customStyle="1" w:styleId="WingdingSymbols">
    <w:name w:val="Wingding Symbols"/>
    <w:rsid w:val="00E32284"/>
    <w:rPr>
      <w:rFonts w:ascii="Wingdings" w:hAnsi="Wingdings"/>
    </w:rPr>
  </w:style>
  <w:style w:type="paragraph" w:customStyle="1" w:styleId="TableHeading">
    <w:name w:val="Table Heading"/>
    <w:basedOn w:val="HeadingBase"/>
    <w:rsid w:val="00E32284"/>
    <w:pPr>
      <w:keepLines/>
      <w:pBdr>
        <w:bottom w:val="single" w:sz="6" w:space="1" w:color="918585"/>
      </w:pBdr>
      <w:spacing w:before="240"/>
    </w:pPr>
  </w:style>
  <w:style w:type="character" w:customStyle="1" w:styleId="HotSpot">
    <w:name w:val="HotSpot"/>
    <w:rsid w:val="00E32284"/>
    <w:rPr>
      <w:color w:val="0033CC"/>
      <w:u w:val="none"/>
    </w:rPr>
  </w:style>
  <w:style w:type="paragraph" w:customStyle="1" w:styleId="BodyTextRight">
    <w:name w:val="Body Text Right"/>
    <w:basedOn w:val="BodyText"/>
    <w:rsid w:val="00E32284"/>
    <w:pPr>
      <w:spacing w:before="0" w:after="0"/>
      <w:jc w:val="right"/>
    </w:pPr>
  </w:style>
  <w:style w:type="paragraph" w:styleId="Index3">
    <w:name w:val="index 3"/>
    <w:basedOn w:val="ListNumber2"/>
    <w:next w:val="Normal"/>
    <w:semiHidden/>
    <w:rsid w:val="00E32284"/>
    <w:pPr>
      <w:numPr>
        <w:numId w:val="0"/>
      </w:numPr>
      <w:tabs>
        <w:tab w:val="right" w:leader="dot" w:pos="4176"/>
      </w:tabs>
    </w:pPr>
  </w:style>
  <w:style w:type="paragraph" w:styleId="ListNumber2">
    <w:name w:val="List Number 2"/>
    <w:basedOn w:val="List2"/>
    <w:rsid w:val="00E32284"/>
    <w:pPr>
      <w:numPr>
        <w:numId w:val="10"/>
      </w:numPr>
      <w:tabs>
        <w:tab w:val="clear" w:pos="1060"/>
      </w:tabs>
    </w:pPr>
  </w:style>
  <w:style w:type="paragraph" w:customStyle="1" w:styleId="MarginNote">
    <w:name w:val="Margin Note"/>
    <w:basedOn w:val="BodyText"/>
    <w:rsid w:val="00E322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2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22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284"/>
    <w:rPr>
      <w:sz w:val="32"/>
    </w:rPr>
  </w:style>
  <w:style w:type="paragraph" w:customStyle="1" w:styleId="HeadingProcedure">
    <w:name w:val="Heading Procedure"/>
    <w:basedOn w:val="HeadingBase"/>
    <w:next w:val="Normal"/>
    <w:rsid w:val="00E32284"/>
    <w:pPr>
      <w:tabs>
        <w:tab w:val="left" w:pos="0"/>
      </w:tabs>
      <w:spacing w:before="120" w:after="60"/>
    </w:pPr>
    <w:rPr>
      <w:i/>
      <w:color w:val="918585"/>
      <w:sz w:val="22"/>
    </w:rPr>
  </w:style>
  <w:style w:type="paragraph" w:customStyle="1" w:styleId="TableBodyText">
    <w:name w:val="Table Body Text"/>
    <w:basedOn w:val="BodyText"/>
    <w:rsid w:val="00E32284"/>
    <w:pPr>
      <w:spacing w:before="60" w:after="60"/>
    </w:pPr>
  </w:style>
  <w:style w:type="paragraph" w:styleId="ListContinue">
    <w:name w:val="List Continue"/>
    <w:basedOn w:val="List"/>
    <w:rsid w:val="00E32284"/>
    <w:pPr>
      <w:ind w:firstLine="0"/>
    </w:pPr>
  </w:style>
  <w:style w:type="paragraph" w:customStyle="1" w:styleId="ListNote">
    <w:name w:val="List Note"/>
    <w:basedOn w:val="List"/>
    <w:rsid w:val="00E32284"/>
    <w:pPr>
      <w:pBdr>
        <w:top w:val="single" w:sz="6" w:space="2" w:color="918585"/>
        <w:bottom w:val="single" w:sz="6" w:space="2" w:color="918585"/>
      </w:pBdr>
      <w:tabs>
        <w:tab w:val="left" w:pos="1021"/>
      </w:tabs>
      <w:ind w:firstLine="0"/>
    </w:pPr>
  </w:style>
  <w:style w:type="paragraph" w:customStyle="1" w:styleId="Warning">
    <w:name w:val="Warning"/>
    <w:basedOn w:val="BodyText"/>
    <w:rsid w:val="00E32284"/>
    <w:pPr>
      <w:shd w:val="clear" w:color="auto" w:fill="D9D9D9"/>
      <w:tabs>
        <w:tab w:val="left" w:pos="992"/>
      </w:tabs>
      <w:ind w:left="119" w:right="119"/>
    </w:pPr>
    <w:rPr>
      <w:sz w:val="20"/>
    </w:rPr>
  </w:style>
  <w:style w:type="paragraph" w:customStyle="1" w:styleId="MarginIcons">
    <w:name w:val="Margin Icons"/>
    <w:basedOn w:val="BodyText"/>
    <w:rsid w:val="00E322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2284"/>
    <w:rPr>
      <w:rFonts w:ascii="Courier New" w:hAnsi="Courier New"/>
    </w:rPr>
  </w:style>
  <w:style w:type="paragraph" w:customStyle="1" w:styleId="NoteBullet">
    <w:name w:val="Note Bullet"/>
    <w:basedOn w:val="Note"/>
    <w:rsid w:val="00E32284"/>
    <w:pPr>
      <w:tabs>
        <w:tab w:val="clear" w:pos="680"/>
      </w:tabs>
      <w:spacing w:before="60" w:after="60"/>
    </w:pPr>
  </w:style>
  <w:style w:type="paragraph" w:customStyle="1" w:styleId="SubHeading2">
    <w:name w:val="SubHeading2"/>
    <w:basedOn w:val="HeadingBase"/>
    <w:rsid w:val="00E32284"/>
    <w:pPr>
      <w:spacing w:before="240" w:after="60"/>
    </w:pPr>
    <w:rPr>
      <w:sz w:val="20"/>
    </w:rPr>
  </w:style>
  <w:style w:type="paragraph" w:customStyle="1" w:styleId="SubHeading1">
    <w:name w:val="SubHeading1"/>
    <w:basedOn w:val="HeadingBase"/>
    <w:rsid w:val="00E32284"/>
    <w:pPr>
      <w:spacing w:before="240" w:after="60"/>
    </w:pPr>
    <w:rPr>
      <w:color w:val="918585"/>
      <w:sz w:val="22"/>
    </w:rPr>
  </w:style>
  <w:style w:type="paragraph" w:customStyle="1" w:styleId="SideHeading">
    <w:name w:val="Side Heading"/>
    <w:basedOn w:val="HeadingBase"/>
    <w:rsid w:val="00E322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284"/>
    <w:pPr>
      <w:numPr>
        <w:numId w:val="12"/>
      </w:numPr>
    </w:pPr>
  </w:style>
  <w:style w:type="paragraph" w:styleId="PlainText">
    <w:name w:val="Plain Text"/>
    <w:basedOn w:val="Normal"/>
    <w:link w:val="PlainTextChar"/>
    <w:rsid w:val="00E32284"/>
    <w:rPr>
      <w:sz w:val="20"/>
    </w:rPr>
  </w:style>
  <w:style w:type="character" w:customStyle="1" w:styleId="PlainTextChar">
    <w:name w:val="Plain Text Char"/>
    <w:basedOn w:val="DefaultParagraphFont"/>
    <w:link w:val="PlainText"/>
    <w:rsid w:val="00E32284"/>
    <w:rPr>
      <w:rFonts w:ascii="Courier New" w:eastAsia="Times New Roman" w:hAnsi="Courier New" w:cs="Times New Roman"/>
      <w:sz w:val="20"/>
      <w:szCs w:val="20"/>
      <w:lang w:val="en-US" w:eastAsia="en-US"/>
    </w:rPr>
  </w:style>
  <w:style w:type="character" w:customStyle="1" w:styleId="MenuOption">
    <w:name w:val="Menu Option"/>
    <w:rsid w:val="00E32284"/>
    <w:rPr>
      <w:b/>
      <w:smallCaps/>
    </w:rPr>
  </w:style>
  <w:style w:type="paragraph" w:customStyle="1" w:styleId="TableListNumber">
    <w:name w:val="Table List Number"/>
    <w:basedOn w:val="ListNumber"/>
    <w:rsid w:val="00E32284"/>
    <w:pPr>
      <w:numPr>
        <w:numId w:val="0"/>
      </w:numPr>
    </w:pPr>
  </w:style>
  <w:style w:type="paragraph" w:styleId="TOC4">
    <w:name w:val="toc 4"/>
    <w:basedOn w:val="TOCBase"/>
    <w:next w:val="Normal"/>
    <w:semiHidden/>
    <w:rsid w:val="00E32284"/>
    <w:pPr>
      <w:tabs>
        <w:tab w:val="right" w:leader="dot" w:pos="9071"/>
      </w:tabs>
      <w:ind w:left="1701"/>
    </w:pPr>
  </w:style>
  <w:style w:type="paragraph" w:customStyle="1" w:styleId="ListAlpha">
    <w:name w:val="List Alpha"/>
    <w:basedOn w:val="List"/>
    <w:rsid w:val="00E32284"/>
    <w:pPr>
      <w:numPr>
        <w:numId w:val="9"/>
      </w:numPr>
    </w:pPr>
  </w:style>
  <w:style w:type="paragraph" w:customStyle="1" w:styleId="ListAlpha2">
    <w:name w:val="List Alpha 2"/>
    <w:basedOn w:val="List2"/>
    <w:rsid w:val="00E32284"/>
    <w:pPr>
      <w:numPr>
        <w:numId w:val="8"/>
      </w:numPr>
    </w:pPr>
  </w:style>
  <w:style w:type="paragraph" w:styleId="List2">
    <w:name w:val="List 2"/>
    <w:basedOn w:val="BodyText"/>
    <w:rsid w:val="00E32284"/>
    <w:pPr>
      <w:tabs>
        <w:tab w:val="left" w:pos="680"/>
      </w:tabs>
      <w:spacing w:before="60" w:after="60"/>
      <w:ind w:left="680" w:hanging="340"/>
    </w:pPr>
  </w:style>
  <w:style w:type="paragraph" w:styleId="List3">
    <w:name w:val="List 3"/>
    <w:basedOn w:val="BodyText"/>
    <w:rsid w:val="00E32284"/>
    <w:pPr>
      <w:tabs>
        <w:tab w:val="left" w:pos="1021"/>
      </w:tabs>
      <w:spacing w:before="60" w:after="60"/>
      <w:ind w:left="1020" w:hanging="340"/>
    </w:pPr>
  </w:style>
  <w:style w:type="paragraph" w:styleId="List4">
    <w:name w:val="List 4"/>
    <w:basedOn w:val="BodyText"/>
    <w:rsid w:val="00E32284"/>
    <w:pPr>
      <w:tabs>
        <w:tab w:val="left" w:pos="1361"/>
      </w:tabs>
      <w:spacing w:before="60" w:after="60"/>
      <w:ind w:left="1361" w:hanging="340"/>
    </w:pPr>
  </w:style>
  <w:style w:type="paragraph" w:styleId="List5">
    <w:name w:val="List 5"/>
    <w:basedOn w:val="BodyText"/>
    <w:rsid w:val="00E32284"/>
    <w:pPr>
      <w:tabs>
        <w:tab w:val="left" w:pos="1701"/>
      </w:tabs>
      <w:spacing w:before="60" w:after="60"/>
      <w:ind w:left="1701" w:hanging="340"/>
    </w:pPr>
  </w:style>
  <w:style w:type="paragraph" w:styleId="ListBullet3">
    <w:name w:val="List Bullet 3"/>
    <w:basedOn w:val="List3"/>
    <w:rsid w:val="00E32284"/>
    <w:pPr>
      <w:numPr>
        <w:numId w:val="15"/>
      </w:numPr>
      <w:tabs>
        <w:tab w:val="clear" w:pos="1021"/>
      </w:tabs>
      <w:ind w:left="1037" w:hanging="357"/>
    </w:pPr>
  </w:style>
  <w:style w:type="paragraph" w:styleId="ListBullet4">
    <w:name w:val="List Bullet 4"/>
    <w:basedOn w:val="List4"/>
    <w:rsid w:val="00E32284"/>
    <w:pPr>
      <w:numPr>
        <w:numId w:val="3"/>
      </w:numPr>
    </w:pPr>
  </w:style>
  <w:style w:type="paragraph" w:styleId="ListBullet5">
    <w:name w:val="List Bullet 5"/>
    <w:basedOn w:val="List5"/>
    <w:rsid w:val="00E32284"/>
    <w:pPr>
      <w:numPr>
        <w:numId w:val="4"/>
      </w:numPr>
    </w:pPr>
  </w:style>
  <w:style w:type="paragraph" w:styleId="ListContinue2">
    <w:name w:val="List Continue 2"/>
    <w:basedOn w:val="List2"/>
    <w:rsid w:val="00E32284"/>
    <w:pPr>
      <w:ind w:firstLine="0"/>
    </w:pPr>
  </w:style>
  <w:style w:type="paragraph" w:styleId="ListContinue3">
    <w:name w:val="List Continue 3"/>
    <w:basedOn w:val="List3"/>
    <w:rsid w:val="00E32284"/>
    <w:pPr>
      <w:ind w:left="1021" w:firstLine="0"/>
    </w:pPr>
  </w:style>
  <w:style w:type="paragraph" w:styleId="ListContinue4">
    <w:name w:val="List Continue 4"/>
    <w:basedOn w:val="List4"/>
    <w:rsid w:val="00E32284"/>
    <w:pPr>
      <w:ind w:firstLine="0"/>
    </w:pPr>
  </w:style>
  <w:style w:type="paragraph" w:styleId="ListContinue5">
    <w:name w:val="List Continue 5"/>
    <w:basedOn w:val="List5"/>
    <w:rsid w:val="00E32284"/>
    <w:pPr>
      <w:ind w:firstLine="0"/>
    </w:pPr>
  </w:style>
  <w:style w:type="paragraph" w:styleId="ListNumber3">
    <w:name w:val="List Number 3"/>
    <w:basedOn w:val="List3"/>
    <w:rsid w:val="00E32284"/>
    <w:pPr>
      <w:numPr>
        <w:numId w:val="5"/>
      </w:numPr>
    </w:pPr>
  </w:style>
  <w:style w:type="paragraph" w:styleId="ListNumber4">
    <w:name w:val="List Number 4"/>
    <w:basedOn w:val="List4"/>
    <w:rsid w:val="00E32284"/>
    <w:pPr>
      <w:numPr>
        <w:numId w:val="6"/>
      </w:numPr>
    </w:pPr>
  </w:style>
  <w:style w:type="paragraph" w:styleId="ListNumber5">
    <w:name w:val="List Number 5"/>
    <w:basedOn w:val="List5"/>
    <w:rsid w:val="00E32284"/>
    <w:pPr>
      <w:numPr>
        <w:numId w:val="7"/>
      </w:numPr>
    </w:pPr>
  </w:style>
  <w:style w:type="paragraph" w:styleId="BlockText">
    <w:name w:val="Block Text"/>
    <w:basedOn w:val="Normal"/>
    <w:rsid w:val="00E32284"/>
    <w:pPr>
      <w:spacing w:after="120"/>
      <w:ind w:left="1440" w:right="1440"/>
    </w:pPr>
  </w:style>
  <w:style w:type="character" w:customStyle="1" w:styleId="Subscript">
    <w:name w:val="Subscript"/>
    <w:rsid w:val="00E32284"/>
    <w:rPr>
      <w:sz w:val="16"/>
      <w:vertAlign w:val="subscript"/>
    </w:rPr>
  </w:style>
  <w:style w:type="character" w:customStyle="1" w:styleId="Superscript">
    <w:name w:val="Superscript"/>
    <w:rsid w:val="00E32284"/>
    <w:rPr>
      <w:sz w:val="16"/>
      <w:vertAlign w:val="superscript"/>
    </w:rPr>
  </w:style>
  <w:style w:type="character" w:customStyle="1" w:styleId="Symbols">
    <w:name w:val="Symbols"/>
    <w:rsid w:val="00E32284"/>
    <w:rPr>
      <w:rFonts w:ascii="Symbol" w:hAnsi="Symbol"/>
    </w:rPr>
  </w:style>
  <w:style w:type="character" w:customStyle="1" w:styleId="MenuOptions">
    <w:name w:val="Menu Options"/>
    <w:rsid w:val="00E32284"/>
    <w:rPr>
      <w:rFonts w:ascii="Arial Narrow" w:hAnsi="Arial Narrow"/>
      <w:smallCaps/>
    </w:rPr>
  </w:style>
  <w:style w:type="character" w:customStyle="1" w:styleId="Buttons">
    <w:name w:val="Buttons"/>
    <w:rsid w:val="00E32284"/>
    <w:rPr>
      <w:b/>
    </w:rPr>
  </w:style>
  <w:style w:type="character" w:customStyle="1" w:styleId="Underlined">
    <w:name w:val="Underlined"/>
    <w:rsid w:val="00E32284"/>
    <w:rPr>
      <w:u w:val="single"/>
    </w:rPr>
  </w:style>
  <w:style w:type="paragraph" w:customStyle="1" w:styleId="TableBodyTextRight">
    <w:name w:val="Table Body Text Right"/>
    <w:basedOn w:val="TableBodyText"/>
    <w:rsid w:val="00E32284"/>
    <w:pPr>
      <w:widowControl w:val="0"/>
      <w:autoSpaceDE w:val="0"/>
      <w:autoSpaceDN w:val="0"/>
      <w:adjustRightInd w:val="0"/>
      <w:jc w:val="right"/>
    </w:pPr>
    <w:rPr>
      <w:rFonts w:cs="Arial"/>
      <w:szCs w:val="18"/>
    </w:rPr>
  </w:style>
  <w:style w:type="paragraph" w:customStyle="1" w:styleId="CopyrightText">
    <w:name w:val="Copyright Text"/>
    <w:basedOn w:val="BodyText"/>
    <w:rsid w:val="00E32284"/>
    <w:rPr>
      <w:sz w:val="18"/>
    </w:rPr>
  </w:style>
  <w:style w:type="paragraph" w:customStyle="1" w:styleId="BodySmallRight">
    <w:name w:val="Body Small Right"/>
    <w:basedOn w:val="BodyTextRight"/>
    <w:rsid w:val="00E32284"/>
    <w:rPr>
      <w:sz w:val="18"/>
      <w:szCs w:val="18"/>
    </w:rPr>
  </w:style>
  <w:style w:type="paragraph" w:customStyle="1" w:styleId="MarginEdition">
    <w:name w:val="Margin Edition"/>
    <w:basedOn w:val="MarginNote"/>
    <w:rsid w:val="00E32284"/>
    <w:pPr>
      <w:spacing w:before="0" w:after="0"/>
    </w:pPr>
    <w:rPr>
      <w:rFonts w:ascii="Times New Roman" w:hAnsi="Times New Roman"/>
      <w:color w:val="999999"/>
    </w:rPr>
  </w:style>
  <w:style w:type="paragraph" w:customStyle="1" w:styleId="Spacer">
    <w:name w:val="Spacer"/>
    <w:basedOn w:val="Normal"/>
    <w:rsid w:val="00E32284"/>
    <w:rPr>
      <w:sz w:val="2"/>
      <w:szCs w:val="2"/>
    </w:rPr>
  </w:style>
  <w:style w:type="character" w:customStyle="1" w:styleId="Small">
    <w:name w:val="Small"/>
    <w:rsid w:val="00E32284"/>
    <w:rPr>
      <w:sz w:val="16"/>
    </w:rPr>
  </w:style>
  <w:style w:type="paragraph" w:customStyle="1" w:styleId="WideTable">
    <w:name w:val="Wide Table"/>
    <w:basedOn w:val="Normal"/>
    <w:rsid w:val="00E32284"/>
    <w:pPr>
      <w:ind w:left="-1418"/>
    </w:pPr>
    <w:rPr>
      <w:sz w:val="2"/>
      <w:szCs w:val="2"/>
    </w:rPr>
  </w:style>
  <w:style w:type="character" w:styleId="PageNumber">
    <w:name w:val="page number"/>
    <w:rsid w:val="00E32284"/>
  </w:style>
  <w:style w:type="paragraph" w:styleId="Quote">
    <w:name w:val="Quote"/>
    <w:basedOn w:val="Heading1"/>
    <w:link w:val="QuoteChar"/>
    <w:qFormat/>
    <w:rsid w:val="00E32284"/>
    <w:rPr>
      <w:b w:val="0"/>
      <w:sz w:val="72"/>
      <w:szCs w:val="72"/>
      <w:lang w:val="en-NZ"/>
    </w:rPr>
  </w:style>
  <w:style w:type="character" w:customStyle="1" w:styleId="QuoteChar">
    <w:name w:val="Quote Char"/>
    <w:link w:val="Quote"/>
    <w:rsid w:val="00E322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284"/>
    <w:pPr>
      <w:pageBreakBefore/>
    </w:pPr>
  </w:style>
  <w:style w:type="paragraph" w:customStyle="1" w:styleId="Border">
    <w:name w:val="Border"/>
    <w:basedOn w:val="Normal"/>
    <w:qFormat/>
    <w:rsid w:val="00E32284"/>
    <w:pPr>
      <w:pBdr>
        <w:top w:val="single" w:sz="18" w:space="1" w:color="auto"/>
      </w:pBdr>
    </w:pPr>
    <w:rPr>
      <w:rFonts w:ascii="Times New Roman" w:hAnsi="Times New Roman"/>
      <w:color w:val="FFFFFF"/>
      <w:sz w:val="2"/>
    </w:rPr>
  </w:style>
  <w:style w:type="character" w:styleId="IntenseEmphasis">
    <w:name w:val="Intense Emphasis"/>
    <w:uiPriority w:val="21"/>
    <w:qFormat/>
    <w:rsid w:val="00E32284"/>
    <w:rPr>
      <w:b/>
      <w:bCs/>
      <w:i/>
      <w:iCs/>
      <w:color w:val="auto"/>
    </w:rPr>
  </w:style>
  <w:style w:type="paragraph" w:styleId="IntenseQuote">
    <w:name w:val="Intense Quote"/>
    <w:basedOn w:val="Normal"/>
    <w:next w:val="Normal"/>
    <w:link w:val="IntenseQuoteChar"/>
    <w:uiPriority w:val="30"/>
    <w:qFormat/>
    <w:rsid w:val="00E322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2284"/>
    <w:rPr>
      <w:rFonts w:ascii="Courier New" w:eastAsia="Times New Roman" w:hAnsi="Courier New" w:cs="Times New Roman"/>
      <w:b/>
      <w:bCs/>
      <w:i/>
      <w:iCs/>
      <w:szCs w:val="20"/>
      <w:lang w:val="en-US" w:eastAsia="en-US"/>
    </w:rPr>
  </w:style>
  <w:style w:type="character" w:styleId="SubtleReference">
    <w:name w:val="Subtle Reference"/>
    <w:uiPriority w:val="31"/>
    <w:qFormat/>
    <w:rsid w:val="00E32284"/>
    <w:rPr>
      <w:smallCaps/>
      <w:color w:val="auto"/>
      <w:u w:val="single"/>
    </w:rPr>
  </w:style>
  <w:style w:type="character" w:styleId="IntenseReference">
    <w:name w:val="Intense Reference"/>
    <w:uiPriority w:val="32"/>
    <w:qFormat/>
    <w:rsid w:val="00E32284"/>
    <w:rPr>
      <w:b/>
      <w:bCs/>
      <w:smallCaps/>
      <w:color w:val="auto"/>
      <w:spacing w:val="5"/>
      <w:u w:val="single"/>
    </w:rPr>
  </w:style>
  <w:style w:type="paragraph" w:customStyle="1" w:styleId="2ColumnHeading">
    <w:name w:val="2Column Heading"/>
    <w:basedOn w:val="BodyText"/>
    <w:qFormat/>
    <w:rsid w:val="00E32284"/>
    <w:pPr>
      <w:spacing w:after="60"/>
      <w:ind w:left="-2268"/>
    </w:pPr>
    <w:rPr>
      <w:b/>
    </w:rPr>
  </w:style>
  <w:style w:type="paragraph" w:customStyle="1" w:styleId="Heading1TOC">
    <w:name w:val="Heading1 TOC"/>
    <w:basedOn w:val="Normal"/>
    <w:qFormat/>
    <w:rsid w:val="00E32284"/>
    <w:pPr>
      <w:spacing w:before="240" w:after="120"/>
    </w:pPr>
    <w:rPr>
      <w:rFonts w:ascii="Times New Roman" w:hAnsi="Times New Roman"/>
      <w:b/>
      <w:sz w:val="32"/>
    </w:rPr>
  </w:style>
  <w:style w:type="paragraph" w:customStyle="1" w:styleId="Heading2TOC">
    <w:name w:val="Heading2 TOC"/>
    <w:basedOn w:val="Normal"/>
    <w:qFormat/>
    <w:rsid w:val="00E32284"/>
    <w:pPr>
      <w:spacing w:before="240" w:after="60"/>
    </w:pPr>
    <w:rPr>
      <w:rFonts w:ascii="Times New Roman" w:hAnsi="Times New Roman"/>
      <w:b/>
      <w:sz w:val="28"/>
    </w:rPr>
  </w:style>
  <w:style w:type="character" w:customStyle="1" w:styleId="Underline">
    <w:name w:val="Underline"/>
    <w:qFormat/>
    <w:rsid w:val="00E32284"/>
    <w:rPr>
      <w:u w:val="single"/>
    </w:rPr>
  </w:style>
  <w:style w:type="character" w:customStyle="1" w:styleId="BoldandItalics">
    <w:name w:val="Bold and Italics"/>
    <w:qFormat/>
    <w:rsid w:val="00E32284"/>
    <w:rPr>
      <w:b/>
      <w:i/>
      <w:u w:val="none"/>
    </w:rPr>
  </w:style>
  <w:style w:type="paragraph" w:styleId="BalloonText">
    <w:name w:val="Balloon Text"/>
    <w:basedOn w:val="Normal"/>
    <w:link w:val="BalloonTextChar"/>
    <w:rsid w:val="00E32284"/>
    <w:rPr>
      <w:rFonts w:ascii="Tahoma" w:hAnsi="Tahoma" w:cs="Tahoma"/>
      <w:sz w:val="16"/>
      <w:szCs w:val="16"/>
    </w:rPr>
  </w:style>
  <w:style w:type="character" w:customStyle="1" w:styleId="BalloonTextChar">
    <w:name w:val="Balloon Text Char"/>
    <w:link w:val="BalloonText"/>
    <w:rsid w:val="00E322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2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22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8418</Characters>
  <Application>Microsoft Office Word</Application>
  <DocSecurity>0</DocSecurity>
  <Lines>285</Lines>
  <Paragraphs>154</Paragraphs>
  <ScaleCrop>false</ScaleCrop>
  <Company>Author-it Software Corporation Ltd.</Company>
  <LinksUpToDate>false</LinksUpToDate>
  <CharactersWithSpaces>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MSS402050A Monitor process capability</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2012-05-26T18:45:00Z</dcterms:created>
  <dcterms:modified xsi:type="dcterms:W3CDTF">2012-05-26T18:45:00Z</dcterms:modified>
</cp:coreProperties>
</file>