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DD0" w:rsidP="007E2DD0">
      <w:pPr>
        <w:pStyle w:val="Title"/>
      </w:pPr>
      <w:r>
        <w:fldChar w:fldCharType="begin"/>
      </w:r>
      <w:r>
        <w:instrText xml:space="preserve"> TITLE   \* MERGEFORMAT </w:instrText>
      </w:r>
      <w:r>
        <w:fldChar w:fldCharType="separate"/>
      </w:r>
      <w:r>
        <w:t>MSS017002A Determine process loss through mass or energy balancing</w:t>
      </w:r>
      <w:r>
        <w:fldChar w:fldCharType="end"/>
      </w:r>
    </w:p>
    <w:p w:rsidR="007E2DD0" w:rsidP="007E2DD0">
      <w:pPr>
        <w:pStyle w:val="Version"/>
        <w:sectPr w:rsidSect="002B6D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6D0F" w:rsidP="002B6D0F">
      <w:pPr>
        <w:pStyle w:val="SuperHeading"/>
      </w:pPr>
      <w:r w:rsidRPr="002B6D0F">
        <w:t>MSS017002A Determine process loss through mass or energy balancing</w:t>
      </w:r>
    </w:p>
    <w:p w:rsidR="00000000" w:rsidRPr="002B6D0F" w:rsidP="002B6D0F">
      <w:pPr>
        <w:pStyle w:val="Heading1"/>
      </w:pPr>
      <w:bookmarkStart w:id="1" w:name="O_340121"/>
      <w:bookmarkEnd w:id="1"/>
      <w:r w:rsidRPr="002B6D0F">
        <w:t>Modification History</w:t>
      </w:r>
    </w:p>
    <w:p w:rsidR="00000000" w:rsidRPr="002B6D0F" w:rsidP="002B6D0F">
      <w:pPr>
        <w:pStyle w:val="BodyText"/>
      </w:pPr>
      <w:r w:rsidRPr="002B6D0F">
        <w:t>Not applicable.</w:t>
      </w:r>
    </w:p>
    <w:p w:rsidR="00000000" w:rsidRPr="002B6D0F" w:rsidP="002B6D0F">
      <w:pPr>
        <w:pStyle w:val="AllowPageBreak"/>
      </w:pPr>
    </w:p>
    <w:p w:rsidR="00000000" w:rsidRPr="002B6D0F" w:rsidP="002B6D0F">
      <w:pPr>
        <w:pStyle w:val="Heading1"/>
      </w:pPr>
      <w:bookmarkStart w:id="2" w:name="O_340122"/>
      <w:bookmarkEnd w:id="2"/>
      <w:r w:rsidRPr="002B6D0F">
        <w:t>Unit Descriptor</w:t>
      </w:r>
    </w:p>
    <w:p w:rsidR="00000000" w:rsidRPr="002B6D0F" w:rsidP="002B6D0F">
      <w:pPr>
        <w:pStyle w:val="BodyText"/>
      </w:pPr>
      <w:r w:rsidRPr="002B6D0F">
        <w:t>This unit of competency covers the analysis of a process to determine loss of resources by the appl</w:t>
      </w:r>
      <w:r w:rsidRPr="002B6D0F">
        <w:t>ication of the first law of thermodynamics (more commonly known as mass and energy balancing). It includes the selection of mass or energy balancing or both as appropriate to the type of processes being examined and may be applied to an entire process, par</w:t>
      </w:r>
      <w:r w:rsidRPr="002B6D0F">
        <w:t>t of a large process, or part/all of a value chain.</w:t>
      </w:r>
    </w:p>
    <w:p w:rsidR="00000000" w:rsidRPr="002B6D0F" w:rsidP="002B6D0F">
      <w:pPr>
        <w:pStyle w:val="AllowPageBreak"/>
      </w:pPr>
    </w:p>
    <w:p w:rsidR="00000000" w:rsidRPr="002B6D0F" w:rsidP="002B6D0F">
      <w:pPr>
        <w:pStyle w:val="Heading1"/>
      </w:pPr>
      <w:bookmarkStart w:id="3" w:name="O_340123"/>
      <w:bookmarkEnd w:id="3"/>
      <w:r w:rsidRPr="002B6D0F">
        <w:t>Application of the Unit</w:t>
      </w:r>
    </w:p>
    <w:p w:rsidR="00000000" w:rsidRPr="002B6D0F" w:rsidP="002B6D0F">
      <w:pPr>
        <w:pStyle w:val="BodyText"/>
      </w:pPr>
      <w:r w:rsidRPr="002B6D0F">
        <w:t>This unit is a Vocational Graduate Certificate unit and follows the AQF guidelines for such units in that it assumes an entry qualification, such as:</w:t>
      </w:r>
    </w:p>
    <w:p w:rsidR="00000000" w:rsidRPr="002B6D0F" w:rsidP="002B6D0F">
      <w:pPr>
        <w:pStyle w:val="ListBullet"/>
      </w:pPr>
      <w:r w:rsidRPr="002B6D0F">
        <w:t xml:space="preserve">an Advanced </w:t>
      </w:r>
      <w:r w:rsidRPr="002B6D0F">
        <w:t>Diploma or Diploma in sustainability or relevant technical field</w:t>
      </w:r>
    </w:p>
    <w:p w:rsidR="00000000" w:rsidRPr="002B6D0F" w:rsidP="002B6D0F">
      <w:pPr>
        <w:pStyle w:val="ListBullet"/>
      </w:pPr>
      <w:r w:rsidRPr="002B6D0F">
        <w:t>a Bachelor Degree in a relevant technical field</w:t>
      </w:r>
    </w:p>
    <w:p w:rsidR="00000000" w:rsidRPr="002B6D0F" w:rsidP="002B6D0F">
      <w:pPr>
        <w:pStyle w:val="ListBullet"/>
      </w:pPr>
      <w:r w:rsidRPr="002B6D0F">
        <w:t>other relevant higher education qualifications, often with relevant vocational practice</w:t>
      </w:r>
    </w:p>
    <w:p w:rsidR="00000000" w:rsidRPr="002B6D0F" w:rsidP="002B6D0F">
      <w:pPr>
        <w:pStyle w:val="ListBullet"/>
      </w:pPr>
      <w:r w:rsidRPr="002B6D0F">
        <w:t>relevant extensive vocational practice, without formal qualifications but which result in appropriate entry level skills.</w:t>
      </w:r>
    </w:p>
    <w:p w:rsidR="00000000" w:rsidRPr="002B6D0F" w:rsidP="002B6D0F">
      <w:pPr>
        <w:pStyle w:val="BodyText"/>
      </w:pPr>
      <w:r w:rsidRPr="002B6D0F">
        <w:t>This unit covers the analysis of a mass (material) and energy (usually heat or motive force) flows through a process to determine over</w:t>
      </w:r>
      <w:r w:rsidRPr="002B6D0F">
        <w:t>all mass and energy efficiency, losses which occur through the process and how much loss occurs in each part of the process. This is achieved by the application of the techniques of mass balancing, energy balancing and combined mass and energy balancing. T</w:t>
      </w:r>
      <w:r w:rsidRPr="002B6D0F">
        <w:t>he application of this unit is especially suitable where high volumes of materials or large amounts of energy are used in a production process. The unit may also apply to other large energy or materials use processes in the value chain, such as logistics a</w:t>
      </w:r>
      <w:r w:rsidRPr="002B6D0F">
        <w:t>nd transport.</w:t>
      </w:r>
    </w:p>
    <w:p w:rsidR="00000000" w:rsidRPr="002B6D0F" w:rsidP="002B6D0F">
      <w:pPr>
        <w:pStyle w:val="BodyText"/>
      </w:pPr>
      <w:r w:rsidRPr="002B6D0F">
        <w:t xml:space="preserve">This unit will lead to the identification of parts of the process which have the greatest resource loss/lowest resource use efficiency and so provides the basis for eliminating or reducing this loss and improving this efficiency. It does not </w:t>
      </w:r>
      <w:r w:rsidRPr="002B6D0F">
        <w:t>include the implementation of that response (see MSS017004A Lead sustainable strategy deployment).</w:t>
      </w:r>
    </w:p>
    <w:p w:rsidR="00000000" w:rsidRPr="002B6D0F" w:rsidP="002B6D0F">
      <w:pPr>
        <w:pStyle w:val="BodyText"/>
      </w:pPr>
      <w:r w:rsidRPr="002B6D0F">
        <w:t>This unit would typically be undertaken by a manager or senior technologist who has significant responsibility for sustainability in their work role.</w:t>
      </w:r>
    </w:p>
    <w:p w:rsidR="007E2DD0" w:rsidP="002B6D0F">
      <w:pPr>
        <w:pStyle w:val="BodyText"/>
      </w:pPr>
      <w:r w:rsidRPr="002B6D0F">
        <w:t xml:space="preserve">Skills </w:t>
      </w:r>
      <w:r w:rsidRPr="002B6D0F">
        <w:t xml:space="preserve">covered by this unit may be applied individually or in a team context. </w:t>
      </w:r>
    </w:p>
    <w:p w:rsidR="007E2DD0" w:rsidP="002B6D0F">
      <w:pPr>
        <w:pStyle w:val="BodyText"/>
      </w:pPr>
    </w:p>
    <w:p w:rsidR="00000000" w:rsidRPr="002B6D0F" w:rsidP="002B6D0F">
      <w:pPr>
        <w:pStyle w:val="Heading1"/>
      </w:pPr>
      <w:bookmarkStart w:id="4" w:name="O_340124"/>
      <w:bookmarkEnd w:id="4"/>
      <w:r w:rsidRPr="002B6D0F">
        <w:t>Licensing/Regulatory Information</w:t>
      </w:r>
    </w:p>
    <w:p w:rsidR="00000000" w:rsidRPr="002B6D0F" w:rsidP="002B6D0F">
      <w:pPr>
        <w:pStyle w:val="BodyText"/>
      </w:pPr>
      <w:r w:rsidRPr="002B6D0F">
        <w:t>Not applicable.</w:t>
      </w:r>
    </w:p>
    <w:p w:rsidR="00000000" w:rsidRPr="002B6D0F" w:rsidP="002B6D0F">
      <w:pPr>
        <w:pStyle w:val="AllowPageBreak"/>
      </w:pPr>
    </w:p>
    <w:p w:rsidR="00000000" w:rsidRPr="002B6D0F" w:rsidP="002B6D0F">
      <w:pPr>
        <w:pStyle w:val="Heading1"/>
      </w:pPr>
      <w:bookmarkStart w:id="5" w:name="O_340125"/>
      <w:bookmarkEnd w:id="5"/>
      <w:r w:rsidRPr="002B6D0F">
        <w:t>Pre-Requisites</w:t>
      </w:r>
    </w:p>
    <w:p w:rsidR="00000000" w:rsidRPr="002B6D0F" w:rsidP="002B6D0F">
      <w:pPr>
        <w:pStyle w:val="BodyText"/>
      </w:pPr>
      <w:r w:rsidRPr="002B6D0F">
        <w:t>Not applicable.</w:t>
      </w:r>
    </w:p>
    <w:p w:rsidR="00000000" w:rsidRPr="002B6D0F" w:rsidP="002B6D0F">
      <w:pPr>
        <w:pStyle w:val="AllowPageBreak"/>
      </w:pPr>
    </w:p>
    <w:p w:rsidR="00000000" w:rsidRPr="002B6D0F" w:rsidP="002B6D0F">
      <w:pPr>
        <w:pStyle w:val="Heading1"/>
      </w:pPr>
      <w:bookmarkStart w:id="6" w:name="O_340126"/>
      <w:bookmarkEnd w:id="6"/>
      <w:r w:rsidRPr="002B6D0F">
        <w:t>Employability Skills Information</w:t>
      </w:r>
    </w:p>
    <w:p w:rsidR="00000000" w:rsidRPr="002B6D0F" w:rsidP="002B6D0F">
      <w:pPr>
        <w:pStyle w:val="BodyText"/>
      </w:pPr>
      <w:r w:rsidRPr="002B6D0F">
        <w:t>Not applicable.</w:t>
      </w:r>
    </w:p>
    <w:p w:rsidR="00000000" w:rsidRPr="002B6D0F" w:rsidP="002B6D0F">
      <w:pPr>
        <w:pStyle w:val="AllowPageBreak"/>
      </w:pPr>
    </w:p>
    <w:p w:rsidR="00000000" w:rsidRPr="002B6D0F" w:rsidP="002B6D0F">
      <w:pPr>
        <w:pStyle w:val="Heading1"/>
      </w:pPr>
      <w:bookmarkStart w:id="7" w:name="O_340127"/>
      <w:bookmarkEnd w:id="7"/>
      <w:r w:rsidRPr="002B6D0F">
        <w:t>Elements and Performance Criteria Pre-Content</w:t>
      </w:r>
    </w:p>
    <w:p w:rsidR="00000000" w:rsidRPr="002B6D0F" w:rsidP="002B6D0F">
      <w:pPr>
        <w:pStyle w:val="BodyText"/>
      </w:pPr>
      <w:r w:rsidRPr="002B6D0F">
        <w:t>Not applicable.</w:t>
      </w:r>
    </w:p>
    <w:p w:rsidR="00000000" w:rsidRPr="002B6D0F" w:rsidP="002B6D0F">
      <w:pPr>
        <w:pStyle w:val="AllowPageBreak"/>
      </w:pPr>
    </w:p>
    <w:p w:rsidR="00000000" w:rsidRPr="002B6D0F" w:rsidP="002B6D0F">
      <w:pPr>
        <w:pStyle w:val="Heading1"/>
      </w:pPr>
      <w:bookmarkStart w:id="8" w:name="O_340128"/>
      <w:bookmarkEnd w:id="8"/>
      <w:r w:rsidRPr="002B6D0F">
        <w:t>Elements and Performance Criteria</w:t>
      </w:r>
    </w:p>
    <w:tbl>
      <w:tblPr>
        <w:tblW w:w="0" w:type="auto"/>
        <w:tblLayout w:type="fixed"/>
        <w:tblCellMar>
          <w:left w:w="62" w:type="dxa"/>
          <w:right w:w="62" w:type="dxa"/>
        </w:tblCellMar>
        <w:tblLook w:val="0000"/>
      </w:tblPr>
      <w:tblGrid>
        <w:gridCol w:w="678"/>
        <w:gridCol w:w="2021"/>
        <w:gridCol w:w="805"/>
        <w:gridCol w:w="4982"/>
      </w:tblGrid>
      <w:tr w:rsidTr="002B6D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1</w:t>
            </w:r>
          </w:p>
        </w:tc>
        <w:tc>
          <w:tcPr>
            <w:tcW w:w="2021" w:type="dxa"/>
            <w:vMerge w:val="restart"/>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Acquire required data</w:t>
            </w:r>
          </w:p>
        </w:tc>
        <w:tc>
          <w:tcPr>
            <w:tcW w:w="805"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1.1</w:t>
            </w:r>
          </w:p>
        </w:tc>
        <w:tc>
          <w:tcPr>
            <w:tcW w:w="4982"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Identify system to be analysed</w:t>
            </w:r>
          </w:p>
        </w:tc>
      </w:tr>
      <w:tr w:rsidTr="002B6D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1.2</w:t>
            </w:r>
          </w:p>
        </w:tc>
        <w:tc>
          <w:tcPr>
            <w:tcW w:w="4982"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Define appropriate boundaries for this system</w:t>
            </w:r>
          </w:p>
        </w:tc>
      </w:tr>
      <w:tr w:rsidTr="002B6D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1.3</w:t>
            </w:r>
          </w:p>
        </w:tc>
        <w:tc>
          <w:tcPr>
            <w:tcW w:w="4982"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Identify relevant data which is available for the system and its subsystems</w:t>
            </w:r>
          </w:p>
        </w:tc>
      </w:tr>
      <w:tr w:rsidTr="002B6D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1.4</w:t>
            </w:r>
          </w:p>
        </w:tc>
        <w:tc>
          <w:tcPr>
            <w:tcW w:w="4982"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Identify required data which is not currently available</w:t>
            </w:r>
          </w:p>
        </w:tc>
      </w:tr>
      <w:tr w:rsidTr="002B6D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1.5</w:t>
            </w:r>
          </w:p>
        </w:tc>
        <w:tc>
          <w:tcPr>
            <w:tcW w:w="4982"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Negotiate with relevant stakeholders to obtain data which is not currently available</w:t>
            </w:r>
          </w:p>
        </w:tc>
      </w:tr>
      <w:tr w:rsidTr="002B6D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1.6</w:t>
            </w:r>
          </w:p>
        </w:tc>
        <w:tc>
          <w:tcPr>
            <w:tcW w:w="4982"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Acquire necessary and appropriate data</w:t>
            </w:r>
          </w:p>
        </w:tc>
      </w:tr>
      <w:tr w:rsidTr="002B6D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p>
        </w:tc>
      </w:tr>
      <w:tr w:rsidTr="002B6D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2</w:t>
            </w:r>
          </w:p>
        </w:tc>
        <w:tc>
          <w:tcPr>
            <w:tcW w:w="2021" w:type="dxa"/>
            <w:vMerge w:val="restart"/>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Calculate resource efficiency/loss</w:t>
            </w:r>
          </w:p>
        </w:tc>
        <w:tc>
          <w:tcPr>
            <w:tcW w:w="805"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2.1</w:t>
            </w:r>
          </w:p>
        </w:tc>
        <w:tc>
          <w:tcPr>
            <w:tcW w:w="4982"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Undertake mass/energy balance over system</w:t>
            </w:r>
          </w:p>
        </w:tc>
      </w:tr>
      <w:tr w:rsidTr="002B6D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2.2</w:t>
            </w:r>
          </w:p>
        </w:tc>
        <w:tc>
          <w:tcPr>
            <w:tcW w:w="4982"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Identify subsystems making greatest contributions to loss by mass/energy balances over selected subsystems</w:t>
            </w:r>
          </w:p>
        </w:tc>
      </w:tr>
      <w:tr w:rsidTr="002B6D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2.3</w:t>
            </w:r>
          </w:p>
        </w:tc>
        <w:tc>
          <w:tcPr>
            <w:tcW w:w="4982"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Calculate sustainability impact of identified losses</w:t>
            </w:r>
          </w:p>
        </w:tc>
      </w:tr>
      <w:tr w:rsidTr="002B6D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2.4</w:t>
            </w:r>
          </w:p>
        </w:tc>
        <w:tc>
          <w:tcPr>
            <w:tcW w:w="4982"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Calculate mass/energy efficiencies of system and analysed sub-systems</w:t>
            </w:r>
          </w:p>
        </w:tc>
      </w:tr>
      <w:tr w:rsidTr="002B6D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p>
        </w:tc>
      </w:tr>
      <w:tr w:rsidTr="002B6D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3</w:t>
            </w:r>
          </w:p>
        </w:tc>
        <w:tc>
          <w:tcPr>
            <w:tcW w:w="2021" w:type="dxa"/>
            <w:vMerge w:val="restart"/>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Prepare recommendations</w:t>
            </w:r>
          </w:p>
        </w:tc>
        <w:tc>
          <w:tcPr>
            <w:tcW w:w="805"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3.1</w:t>
            </w:r>
          </w:p>
        </w:tc>
        <w:tc>
          <w:tcPr>
            <w:tcW w:w="4982"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Investigate sub-systems responsible for significant loss</w:t>
            </w:r>
          </w:p>
        </w:tc>
      </w:tr>
      <w:tr w:rsidTr="002B6D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3.2</w:t>
            </w:r>
          </w:p>
        </w:tc>
        <w:tc>
          <w:tcPr>
            <w:tcW w:w="4982"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Determine currently availa</w:t>
            </w:r>
            <w:r w:rsidRPr="002B6D0F">
              <w:t>ble responses</w:t>
            </w:r>
          </w:p>
        </w:tc>
      </w:tr>
      <w:tr w:rsidTr="002B6D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3.3</w:t>
            </w:r>
          </w:p>
        </w:tc>
        <w:tc>
          <w:tcPr>
            <w:tcW w:w="4982"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Determine required longer term responses</w:t>
            </w:r>
          </w:p>
        </w:tc>
      </w:tr>
      <w:tr w:rsidTr="002B6D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3.4</w:t>
            </w:r>
          </w:p>
        </w:tc>
        <w:tc>
          <w:tcPr>
            <w:tcW w:w="4982"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Draft recommended responses in appropriate form</w:t>
            </w:r>
          </w:p>
        </w:tc>
      </w:tr>
      <w:tr w:rsidTr="002B6D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p>
        </w:tc>
      </w:tr>
      <w:tr w:rsidTr="002B6D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4</w:t>
            </w:r>
          </w:p>
        </w:tc>
        <w:tc>
          <w:tcPr>
            <w:tcW w:w="2021" w:type="dxa"/>
            <w:vMerge w:val="restart"/>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Communicate with relevant stakeholders</w:t>
            </w:r>
          </w:p>
        </w:tc>
        <w:tc>
          <w:tcPr>
            <w:tcW w:w="805"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4.1</w:t>
            </w:r>
          </w:p>
        </w:tc>
        <w:tc>
          <w:tcPr>
            <w:tcW w:w="4982"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Identify relevant stakeholders</w:t>
            </w:r>
          </w:p>
        </w:tc>
      </w:tr>
      <w:tr w:rsidTr="002B6D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4.2</w:t>
            </w:r>
          </w:p>
        </w:tc>
        <w:tc>
          <w:tcPr>
            <w:tcW w:w="4982"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Determine stakeholder information needs and wants</w:t>
            </w:r>
          </w:p>
        </w:tc>
      </w:tr>
      <w:tr w:rsidTr="002B6D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4.3</w:t>
            </w:r>
          </w:p>
        </w:tc>
        <w:tc>
          <w:tcPr>
            <w:tcW w:w="4982"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Analyse data which may be appropriate to communicate with stakeholders</w:t>
            </w:r>
          </w:p>
        </w:tc>
      </w:tr>
      <w:tr w:rsidTr="002B6D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4.4</w:t>
            </w:r>
          </w:p>
        </w:tc>
        <w:tc>
          <w:tcPr>
            <w:tcW w:w="4982"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Prepare and disseminate information to stakeholders, as appropriate</w:t>
            </w:r>
          </w:p>
        </w:tc>
      </w:tr>
      <w:tr w:rsidTr="002B6D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4.5</w:t>
            </w:r>
          </w:p>
        </w:tc>
        <w:tc>
          <w:tcPr>
            <w:tcW w:w="4982"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Negotiate solutions with stakeholders, as required</w:t>
            </w:r>
          </w:p>
        </w:tc>
      </w:tr>
      <w:tr w:rsidTr="002B6D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p>
        </w:tc>
      </w:tr>
      <w:tr w:rsidTr="002B6D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5</w:t>
            </w:r>
          </w:p>
        </w:tc>
        <w:tc>
          <w:tcPr>
            <w:tcW w:w="2021" w:type="dxa"/>
            <w:vMerge w:val="restart"/>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Communicate required responses as appropriate</w:t>
            </w:r>
          </w:p>
        </w:tc>
        <w:tc>
          <w:tcPr>
            <w:tcW w:w="805"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5.1</w:t>
            </w:r>
          </w:p>
        </w:tc>
        <w:tc>
          <w:tcPr>
            <w:tcW w:w="4982"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Identify what communications are required and to whom</w:t>
            </w:r>
          </w:p>
        </w:tc>
      </w:tr>
      <w:tr w:rsidTr="002B6D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5.2</w:t>
            </w:r>
          </w:p>
        </w:tc>
        <w:tc>
          <w:tcPr>
            <w:tcW w:w="4982"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Prepare appropriate reports and recommendations</w:t>
            </w:r>
          </w:p>
        </w:tc>
      </w:tr>
      <w:tr w:rsidTr="002B6D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5.3</w:t>
            </w:r>
          </w:p>
        </w:tc>
        <w:tc>
          <w:tcPr>
            <w:tcW w:w="4982"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Pitch reports and recommendations as appropriate</w:t>
            </w:r>
          </w:p>
        </w:tc>
      </w:tr>
      <w:tr w:rsidTr="002B6D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5.4</w:t>
            </w:r>
          </w:p>
        </w:tc>
        <w:tc>
          <w:tcPr>
            <w:tcW w:w="4982"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Brief appropriate persons as required by determined responses</w:t>
            </w:r>
          </w:p>
        </w:tc>
      </w:tr>
      <w:tr w:rsidTr="002B6D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5.5</w:t>
            </w:r>
          </w:p>
        </w:tc>
        <w:tc>
          <w:tcPr>
            <w:tcW w:w="4982" w:type="dxa"/>
            <w:tcBorders>
              <w:top w:val="nil"/>
              <w:left w:val="nil"/>
              <w:bottom w:val="nil"/>
              <w:right w:val="nil"/>
            </w:tcBorders>
            <w:tcMar>
              <w:top w:w="0" w:type="dxa"/>
              <w:left w:w="62" w:type="dxa"/>
              <w:bottom w:w="0" w:type="dxa"/>
              <w:right w:w="62" w:type="dxa"/>
            </w:tcMar>
          </w:tcPr>
          <w:p w:rsidR="00000000" w:rsidP="002B6D0F">
            <w:pPr>
              <w:pStyle w:val="BodyText"/>
              <w:rPr>
                <w:lang w:val="en-NZ"/>
              </w:rPr>
            </w:pPr>
            <w:r w:rsidRPr="002B6D0F">
              <w:t>Finalise appropriate recording</w:t>
            </w:r>
          </w:p>
        </w:tc>
      </w:tr>
      <w:tr w:rsidTr="002B6D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RPr="002B6D0F" w:rsidP="002B6D0F">
            <w:pPr>
              <w:pStyle w:val="BodyText"/>
            </w:pPr>
          </w:p>
        </w:tc>
      </w:tr>
    </w:tbl>
    <w:p w:rsidR="007E2DD0" w:rsidP="002B6D0F">
      <w:pPr>
        <w:pStyle w:val="BodyText"/>
      </w:pPr>
    </w:p>
    <w:p w:rsidR="007E2DD0" w:rsidP="002B6D0F">
      <w:pPr>
        <w:pStyle w:val="BodyText"/>
      </w:pPr>
    </w:p>
    <w:p w:rsidR="00000000" w:rsidRPr="002B6D0F" w:rsidP="002B6D0F">
      <w:pPr>
        <w:pStyle w:val="Heading1"/>
      </w:pPr>
      <w:bookmarkStart w:id="9" w:name="O_340129"/>
      <w:bookmarkEnd w:id="9"/>
      <w:r w:rsidRPr="002B6D0F">
        <w:t>Required Skills and Knowledge</w:t>
      </w:r>
    </w:p>
    <w:tbl>
      <w:tblPr>
        <w:tblW w:w="9462" w:type="dxa"/>
        <w:tblLayout w:type="fixed"/>
        <w:tblCellMar>
          <w:left w:w="62" w:type="dxa"/>
          <w:right w:w="62" w:type="dxa"/>
        </w:tblCellMar>
        <w:tblLook w:val="0000"/>
      </w:tblPr>
      <w:tblGrid>
        <w:gridCol w:w="9462"/>
      </w:tblGrid>
      <w:tr w:rsidTr="002B6D0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0F">
            <w:pPr>
              <w:pStyle w:val="BodyText"/>
              <w:rPr>
                <w:lang w:val="en-NZ"/>
              </w:rPr>
            </w:pPr>
            <w:r w:rsidRPr="002B6D0F">
              <w:t>Required skills</w:t>
            </w:r>
          </w:p>
        </w:tc>
      </w:tr>
      <w:tr w:rsidTr="002B6D0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0F" w:rsidP="002B6D0F">
            <w:pPr>
              <w:pStyle w:val="BodyText"/>
            </w:pPr>
            <w:r w:rsidRPr="002B6D0F">
              <w:t>Required skills include:</w:t>
            </w:r>
          </w:p>
          <w:p w:rsidR="00000000" w:rsidRPr="002B6D0F" w:rsidP="002B6D0F">
            <w:pPr>
              <w:pStyle w:val="ListBullet"/>
            </w:pPr>
            <w:r w:rsidRPr="002B6D0F">
              <w:t>interpreting specifications, operating procedures, manuals, regulations and other complex documents</w:t>
            </w:r>
          </w:p>
          <w:p w:rsidR="00000000" w:rsidRPr="002B6D0F" w:rsidP="002B6D0F">
            <w:pPr>
              <w:pStyle w:val="ListBullet"/>
            </w:pPr>
            <w:r w:rsidRPr="002B6D0F">
              <w:t>consulting and negotiating with internal and external stakeholders</w:t>
            </w:r>
          </w:p>
          <w:p w:rsidR="00000000" w:rsidRPr="002B6D0F" w:rsidP="002B6D0F">
            <w:pPr>
              <w:pStyle w:val="ListBullet"/>
            </w:pPr>
            <w:r w:rsidRPr="002B6D0F">
              <w:t>analysing and problem solving, including determination of root cause</w:t>
            </w:r>
          </w:p>
          <w:p w:rsidR="00000000" w:rsidRPr="002B6D0F" w:rsidP="002B6D0F">
            <w:pPr>
              <w:pStyle w:val="ListBullet"/>
            </w:pPr>
            <w:r w:rsidRPr="002B6D0F">
              <w:t>data acquisition</w:t>
            </w:r>
          </w:p>
          <w:p w:rsidR="00000000" w:rsidRPr="002B6D0F" w:rsidP="002B6D0F">
            <w:pPr>
              <w:pStyle w:val="ListBullet"/>
            </w:pPr>
            <w:r w:rsidRPr="002B6D0F">
              <w:t>int</w:t>
            </w:r>
            <w:r w:rsidRPr="002B6D0F">
              <w:t xml:space="preserve">erpreting and manipulating data, including the solving of simultaneous equations, the use of tie elements and the conversion of one form of energy into another </w:t>
            </w:r>
          </w:p>
          <w:p w:rsidR="00000000" w:rsidRPr="002B6D0F" w:rsidP="002B6D0F">
            <w:pPr>
              <w:pStyle w:val="ListBullet"/>
            </w:pPr>
            <w:r w:rsidRPr="002B6D0F">
              <w:t>drafting formal reports</w:t>
            </w:r>
          </w:p>
          <w:p w:rsidR="00000000" w:rsidP="002B6D0F">
            <w:pPr>
              <w:pStyle w:val="BodyText"/>
              <w:rPr>
                <w:lang w:val="en-NZ"/>
              </w:rPr>
            </w:pPr>
          </w:p>
        </w:tc>
      </w:tr>
      <w:tr w:rsidTr="002B6D0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0F">
            <w:pPr>
              <w:pStyle w:val="BodyText"/>
              <w:rPr>
                <w:lang w:val="en-NZ"/>
              </w:rPr>
            </w:pPr>
            <w:r w:rsidRPr="002B6D0F">
              <w:t>Required knowledge</w:t>
            </w:r>
          </w:p>
        </w:tc>
      </w:tr>
      <w:tr w:rsidTr="002B6D0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0F" w:rsidP="002B6D0F">
            <w:pPr>
              <w:pStyle w:val="BodyText"/>
            </w:pPr>
            <w:r w:rsidRPr="002B6D0F">
              <w:t>Required knowledge includes:</w:t>
            </w:r>
          </w:p>
          <w:p w:rsidR="00000000" w:rsidRPr="002B6D0F" w:rsidP="002B6D0F">
            <w:pPr>
              <w:pStyle w:val="ListBullet"/>
            </w:pPr>
            <w:r w:rsidRPr="002B6D0F">
              <w:t>process and changes</w:t>
            </w:r>
            <w:r w:rsidRPr="002B6D0F">
              <w:t xml:space="preserve"> which occur at each step in selected value chain</w:t>
            </w:r>
          </w:p>
          <w:p w:rsidR="00000000" w:rsidRPr="002B6D0F" w:rsidP="002B6D0F">
            <w:pPr>
              <w:pStyle w:val="ListBullet"/>
            </w:pPr>
            <w:r w:rsidRPr="002B6D0F">
              <w:t>principles of sustainability</w:t>
            </w:r>
          </w:p>
          <w:p w:rsidR="00000000" w:rsidRPr="002B6D0F" w:rsidP="002B6D0F">
            <w:pPr>
              <w:pStyle w:val="ListBullet"/>
            </w:pPr>
            <w:r w:rsidRPr="002B6D0F">
              <w:t>root cause analysis</w:t>
            </w:r>
          </w:p>
          <w:p w:rsidR="00000000" w:rsidRPr="002B6D0F" w:rsidP="002B6D0F">
            <w:pPr>
              <w:pStyle w:val="ListBullet"/>
            </w:pPr>
            <w:r w:rsidRPr="002B6D0F">
              <w:t>relevant legislation, regulation and protocols, government incentives and other initiatives</w:t>
            </w:r>
          </w:p>
          <w:p w:rsidR="00000000" w:rsidRPr="002B6D0F" w:rsidP="002B6D0F">
            <w:pPr>
              <w:pStyle w:val="ListBullet"/>
            </w:pPr>
            <w:r w:rsidRPr="002B6D0F">
              <w:t>first law of thermodynamics</w:t>
            </w:r>
          </w:p>
          <w:p w:rsidR="00000000" w:rsidRPr="002B6D0F" w:rsidP="002B6D0F">
            <w:pPr>
              <w:pStyle w:val="ListBullet"/>
            </w:pPr>
            <w:r w:rsidRPr="002B6D0F">
              <w:t>defining boundaries for systems subject to mass/energy balancing</w:t>
            </w:r>
          </w:p>
          <w:p w:rsidR="00000000" w:rsidRPr="002B6D0F" w:rsidP="002B6D0F">
            <w:pPr>
              <w:pStyle w:val="ListBullet"/>
            </w:pPr>
            <w:r w:rsidRPr="002B6D0F">
              <w:t>required data, sources of data from process, and use of data proxies, where necessary</w:t>
            </w:r>
          </w:p>
          <w:p w:rsidR="00000000" w:rsidRPr="002B6D0F" w:rsidP="002B6D0F">
            <w:pPr>
              <w:pStyle w:val="ListBullet"/>
            </w:pPr>
            <w:r w:rsidRPr="002B6D0F">
              <w:t>mass balancing techniques</w:t>
            </w:r>
          </w:p>
          <w:p w:rsidR="00000000" w:rsidRPr="002B6D0F" w:rsidP="002B6D0F">
            <w:pPr>
              <w:pStyle w:val="ListBullet"/>
            </w:pPr>
            <w:r w:rsidRPr="002B6D0F">
              <w:t>energy balancing techniques, including the use of tables of thermodynamic prope</w:t>
            </w:r>
            <w:r w:rsidRPr="002B6D0F">
              <w:t>rties (steam tables), and the use of specific heat capacity and specific latent heat</w:t>
            </w:r>
          </w:p>
          <w:p w:rsidR="00000000" w:rsidRPr="002B6D0F" w:rsidP="002B6D0F">
            <w:pPr>
              <w:pStyle w:val="ListBullet"/>
            </w:pPr>
            <w:r w:rsidRPr="002B6D0F">
              <w:t>combined mass/energy balancing techniques, including the use of heats or reaction/dissolution</w:t>
            </w:r>
          </w:p>
          <w:p w:rsidR="00000000" w:rsidRPr="002B6D0F" w:rsidP="002B6D0F">
            <w:pPr>
              <w:pStyle w:val="ListBullet"/>
            </w:pPr>
            <w:r w:rsidRPr="002B6D0F">
              <w:t>methods of reducing resource losses for process and equipment</w:t>
            </w:r>
          </w:p>
          <w:p w:rsidR="00000000" w:rsidRPr="002B6D0F" w:rsidP="002B6D0F">
            <w:pPr>
              <w:pStyle w:val="BodyText"/>
            </w:pPr>
          </w:p>
        </w:tc>
      </w:tr>
    </w:tbl>
    <w:p w:rsidR="007E2DD0" w:rsidP="002B6D0F">
      <w:pPr>
        <w:pStyle w:val="BodyText"/>
      </w:pPr>
    </w:p>
    <w:p w:rsidR="007E2DD0" w:rsidP="002B6D0F">
      <w:pPr>
        <w:pStyle w:val="BodyText"/>
      </w:pPr>
    </w:p>
    <w:p w:rsidR="00000000" w:rsidRPr="002B6D0F" w:rsidP="002B6D0F">
      <w:pPr>
        <w:pStyle w:val="Heading1"/>
      </w:pPr>
      <w:bookmarkStart w:id="10" w:name="O_340130"/>
      <w:bookmarkEnd w:id="10"/>
      <w:r w:rsidRPr="002B6D0F">
        <w:t>Evidence Guide</w:t>
      </w:r>
    </w:p>
    <w:tbl>
      <w:tblPr>
        <w:tblW w:w="9462" w:type="dxa"/>
        <w:tblLayout w:type="fixed"/>
        <w:tblCellMar>
          <w:left w:w="62" w:type="dxa"/>
          <w:right w:w="62" w:type="dxa"/>
        </w:tblCellMar>
        <w:tblLook w:val="0000"/>
      </w:tblPr>
      <w:tblGrid>
        <w:gridCol w:w="3800"/>
        <w:gridCol w:w="5662"/>
      </w:tblGrid>
      <w:tr w:rsidTr="002B6D0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0F">
            <w:pPr>
              <w:pStyle w:val="BodyText"/>
              <w:rPr>
                <w:lang w:val="en-NZ"/>
              </w:rPr>
            </w:pPr>
            <w:r w:rsidRPr="002B6D0F">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0F">
            <w:pPr>
              <w:pStyle w:val="BodyText"/>
              <w:rPr>
                <w:lang w:val="en-NZ"/>
              </w:rPr>
            </w:pPr>
            <w:r w:rsidRPr="002B6D0F">
              <w:t>A person who demonstrates competency in this unit must be able to analyse processes or part or all of a value chain using mass and/or energy balancing as appropriate.</w:t>
            </w:r>
          </w:p>
        </w:tc>
      </w:tr>
      <w:tr w:rsidTr="002B6D0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0F">
            <w:pPr>
              <w:pStyle w:val="BodyText"/>
              <w:rPr>
                <w:lang w:val="en-NZ"/>
              </w:rPr>
            </w:pPr>
            <w:r w:rsidRPr="002B6D0F">
              <w:t>Critical aspects for assessment and eviden</w:t>
            </w:r>
            <w:r w:rsidRPr="002B6D0F">
              <w:t>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0F" w:rsidP="002B6D0F">
            <w:pPr>
              <w:pStyle w:val="BodyText"/>
            </w:pPr>
            <w:r w:rsidRPr="002B6D0F">
              <w:t>Assessors must be satisfied that the candidate can competently and consistently apply the skills covered in this unit of competency in new and different situations and contexts. Critical aspects of assessm</w:t>
            </w:r>
            <w:r w:rsidRPr="002B6D0F">
              <w:t>ent and evidence include:</w:t>
            </w:r>
          </w:p>
          <w:p w:rsidR="00000000" w:rsidRPr="002B6D0F" w:rsidP="002B6D0F">
            <w:pPr>
              <w:pStyle w:val="ListBullet"/>
            </w:pPr>
            <w:r w:rsidRPr="002B6D0F">
              <w:t>undertaking a mass and an energy balance (which may be on different systems) or a combined mass/energy balance</w:t>
            </w:r>
          </w:p>
          <w:p w:rsidR="00000000" w:rsidRPr="002B6D0F" w:rsidP="002B6D0F">
            <w:pPr>
              <w:pStyle w:val="ListBullet"/>
            </w:pPr>
            <w:r w:rsidRPr="002B6D0F">
              <w:t xml:space="preserve">identifying appropriate responses </w:t>
            </w:r>
          </w:p>
          <w:p w:rsidR="00000000" w:rsidP="002B6D0F">
            <w:pPr>
              <w:pStyle w:val="ListBullet"/>
              <w:rPr>
                <w:lang w:val="en-NZ"/>
              </w:rPr>
            </w:pPr>
            <w:r w:rsidRPr="002B6D0F">
              <w:t>communicating the above as appropriate</w:t>
            </w:r>
          </w:p>
        </w:tc>
      </w:tr>
      <w:tr w:rsidTr="002B6D0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0F">
            <w:pPr>
              <w:pStyle w:val="BodyText"/>
              <w:rPr>
                <w:lang w:val="en-NZ"/>
              </w:rPr>
            </w:pPr>
            <w:r w:rsidRPr="002B6D0F">
              <w:t>Context of and specific resources for asses</w:t>
            </w:r>
            <w:r w:rsidRPr="002B6D0F">
              <w:t>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0F" w:rsidP="002B6D0F">
            <w:pPr>
              <w:pStyle w:val="ListBullet"/>
            </w:pPr>
            <w:r w:rsidRPr="002B6D0F">
              <w:t>This unit of competency is to be assessed in the workplace or a simulated workplace environment.</w:t>
            </w:r>
          </w:p>
          <w:p w:rsidR="00000000" w:rsidRPr="002B6D0F" w:rsidP="002B6D0F">
            <w:pPr>
              <w:pStyle w:val="ListBullet"/>
            </w:pPr>
            <w:r w:rsidRPr="002B6D0F">
              <w:t>Assessment should emphasise a workplace context and procedures found in the candidate’s workplace.</w:t>
            </w:r>
          </w:p>
          <w:p w:rsidR="00000000" w:rsidRPr="002B6D0F" w:rsidP="002B6D0F">
            <w:pPr>
              <w:pStyle w:val="ListBullet"/>
            </w:pPr>
            <w:r w:rsidRPr="002B6D0F">
              <w:t>This unit of competency may be assessed with other re</w:t>
            </w:r>
            <w:r w:rsidRPr="002B6D0F">
              <w:t>levant units addressing sustainability at the enterprise level or other units requiring the exercise of the skills and knowledge covered by this unit.</w:t>
            </w:r>
          </w:p>
          <w:p w:rsidR="00000000" w:rsidP="002B6D0F">
            <w:pPr>
              <w:pStyle w:val="ListBullet"/>
              <w:rPr>
                <w:lang w:val="en-NZ"/>
              </w:rPr>
            </w:pPr>
            <w:r w:rsidRPr="002B6D0F">
              <w:t>The competencies covered by th</w:t>
            </w:r>
            <w:r w:rsidRPr="002B6D0F">
              <w:t>is unit would be demonstrated by an individual working alone or as part of a team.</w:t>
            </w:r>
          </w:p>
        </w:tc>
      </w:tr>
      <w:tr w:rsidTr="002B6D0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0F">
            <w:pPr>
              <w:pStyle w:val="BodyText"/>
              <w:rPr>
                <w:lang w:val="en-NZ"/>
              </w:rPr>
            </w:pPr>
            <w:r w:rsidRPr="002B6D0F">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0F" w:rsidP="002B6D0F">
            <w:pPr>
              <w:pStyle w:val="ListBullet"/>
            </w:pPr>
            <w:r w:rsidRPr="002B6D0F">
              <w:t>In all cases, practical assessment should be supported by questions to assess underpinning knowledge and those aspects of competency which are difficu</w:t>
            </w:r>
            <w:r w:rsidRPr="002B6D0F">
              <w:t xml:space="preserve">lt to assess directly. </w:t>
            </w:r>
          </w:p>
          <w:p w:rsidR="00000000" w:rsidRPr="002B6D0F" w:rsidP="002B6D0F">
            <w:pPr>
              <w:pStyle w:val="ListBullet"/>
            </w:pPr>
            <w:r w:rsidRPr="002B6D0F">
              <w:t xml:space="preserve">Where applicable, reasonable adjustment must be made to work environments and training situations to accommodate ethnicity, age, gender, demographics and disability. </w:t>
            </w:r>
          </w:p>
          <w:p w:rsidR="00000000" w:rsidP="002B6D0F">
            <w:pPr>
              <w:pStyle w:val="ListBullet"/>
              <w:rPr>
                <w:lang w:val="en-NZ"/>
              </w:rPr>
            </w:pPr>
            <w:r w:rsidRPr="002B6D0F">
              <w:t xml:space="preserve">The language, literacy and numeracy demands of assessment should </w:t>
            </w:r>
            <w:r w:rsidRPr="002B6D0F">
              <w:t>not be greater than those required to undertake the unit of competency in a work-like environment.</w:t>
            </w:r>
          </w:p>
        </w:tc>
      </w:tr>
      <w:tr w:rsidTr="002B6D0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0F">
            <w:pPr>
              <w:pStyle w:val="BodyText"/>
              <w:rPr>
                <w:lang w:val="en-NZ"/>
              </w:rPr>
            </w:pPr>
            <w:r w:rsidRPr="002B6D0F">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0F" w:rsidP="002B6D0F">
            <w:pPr>
              <w:pStyle w:val="BodyText"/>
            </w:pPr>
          </w:p>
        </w:tc>
      </w:tr>
    </w:tbl>
    <w:p w:rsidR="007E2DD0" w:rsidP="002B6D0F">
      <w:pPr>
        <w:pStyle w:val="BodyText"/>
      </w:pPr>
    </w:p>
    <w:p w:rsidR="007E2DD0" w:rsidP="002B6D0F">
      <w:pPr>
        <w:pStyle w:val="BodyText"/>
      </w:pPr>
    </w:p>
    <w:p w:rsidR="00000000" w:rsidRPr="002B6D0F" w:rsidP="002B6D0F">
      <w:pPr>
        <w:pStyle w:val="Heading1"/>
      </w:pPr>
      <w:bookmarkStart w:id="11" w:name="O_340131"/>
      <w:bookmarkEnd w:id="11"/>
      <w:r w:rsidRPr="002B6D0F">
        <w:t>Range Statement</w:t>
      </w:r>
    </w:p>
    <w:tbl>
      <w:tblPr>
        <w:tblW w:w="9462" w:type="dxa"/>
        <w:tblLayout w:type="fixed"/>
        <w:tblCellMar>
          <w:left w:w="62" w:type="dxa"/>
          <w:right w:w="62" w:type="dxa"/>
        </w:tblCellMar>
        <w:tblLook w:val="0000"/>
      </w:tblPr>
      <w:tblGrid>
        <w:gridCol w:w="3800"/>
        <w:gridCol w:w="5662"/>
      </w:tblGrid>
      <w:tr w:rsidTr="002B6D0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0F">
            <w:pPr>
              <w:pStyle w:val="BodyText"/>
              <w:rPr>
                <w:lang w:val="en-NZ"/>
              </w:rPr>
            </w:pPr>
            <w:r w:rsidRPr="002B6D0F">
              <w:rPr>
                <w:rStyle w:val="SpecialBold"/>
              </w:rPr>
              <w:t>Sustainability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0F" w:rsidP="002B6D0F">
            <w:pPr>
              <w:pStyle w:val="BodyText"/>
            </w:pPr>
            <w:r w:rsidRPr="002B6D0F">
              <w:t>Sustainability incorporates the three aspects of:</w:t>
            </w:r>
          </w:p>
          <w:p w:rsidR="00000000" w:rsidRPr="002B6D0F" w:rsidP="002B6D0F">
            <w:pPr>
              <w:pStyle w:val="ListBullet"/>
            </w:pPr>
            <w:r w:rsidRPr="002B6D0F">
              <w:t>survival of the ecology/physical environment (to manage the impact of the business to ensure the survival of the physical environment)</w:t>
            </w:r>
          </w:p>
          <w:p w:rsidR="00000000" w:rsidRPr="002B6D0F" w:rsidP="002B6D0F">
            <w:pPr>
              <w:pStyle w:val="ListBullet"/>
            </w:pPr>
            <w:r w:rsidRPr="002B6D0F">
              <w:t>economic viability (efficiency, cost and waste reduction and competitiveness to support survival of the business)</w:t>
            </w:r>
          </w:p>
          <w:p w:rsidR="00000000" w:rsidP="002B6D0F">
            <w:pPr>
              <w:pStyle w:val="ListBullet"/>
              <w:rPr>
                <w:lang w:val="en-NZ"/>
              </w:rPr>
            </w:pPr>
            <w:r w:rsidRPr="002B6D0F">
              <w:t xml:space="preserve">social </w:t>
            </w:r>
            <w:r w:rsidRPr="002B6D0F">
              <w:t>sustainability (to manage the impact of the business to ensure its continued survival within the community and the survival of the community)</w:t>
            </w:r>
          </w:p>
        </w:tc>
      </w:tr>
      <w:tr w:rsidTr="002B6D0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0F">
            <w:pPr>
              <w:pStyle w:val="BodyText"/>
              <w:rPr>
                <w:lang w:val="en-NZ"/>
              </w:rPr>
            </w:pPr>
            <w:r w:rsidRPr="002B6D0F">
              <w:rPr>
                <w:rStyle w:val="SpecialBold"/>
              </w:rPr>
              <w:t>System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0F">
            <w:pPr>
              <w:pStyle w:val="BodyText"/>
              <w:rPr>
                <w:lang w:val="en-NZ"/>
              </w:rPr>
            </w:pPr>
            <w:r w:rsidRPr="002B6D0F">
              <w:t xml:space="preserve">A system is that process, or part of a process, which has been selected for analysis. It includes all the </w:t>
            </w:r>
            <w:r w:rsidRPr="002B6D0F">
              <w:t>steps in the process which fall within the defined boundary. These steps have been referred to as ‘sub-systems above. The system may be any part of the value chain or the entire value chain</w:t>
            </w:r>
          </w:p>
        </w:tc>
      </w:tr>
      <w:tr w:rsidTr="002B6D0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0F">
            <w:pPr>
              <w:pStyle w:val="BodyText"/>
              <w:rPr>
                <w:lang w:val="en-NZ"/>
              </w:rPr>
            </w:pPr>
            <w:r w:rsidRPr="002B6D0F">
              <w:rPr>
                <w:rStyle w:val="SpecialBold"/>
              </w:rPr>
              <w:t>Sub-system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0F">
            <w:pPr>
              <w:pStyle w:val="BodyText"/>
              <w:rPr>
                <w:lang w:val="en-NZ"/>
              </w:rPr>
            </w:pPr>
            <w:r w:rsidRPr="002B6D0F">
              <w:t>A sub-system is part of the system which may be chosen</w:t>
            </w:r>
            <w:r w:rsidRPr="002B6D0F">
              <w:t xml:space="preserve"> for separate analysis or study</w:t>
            </w:r>
          </w:p>
        </w:tc>
      </w:tr>
      <w:tr w:rsidTr="002B6D0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0F">
            <w:pPr>
              <w:pStyle w:val="BodyText"/>
              <w:rPr>
                <w:lang w:val="en-NZ"/>
              </w:rPr>
            </w:pPr>
            <w:r w:rsidRPr="002B6D0F">
              <w:rPr>
                <w:rStyle w:val="SpecialBold"/>
              </w:rPr>
              <w:t>Portion of the value chain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0F" w:rsidP="002B6D0F">
            <w:pPr>
              <w:pStyle w:val="BodyText"/>
            </w:pPr>
            <w:r w:rsidRPr="002B6D0F">
              <w:t>Value chain is the sequence of activities that a firm undertakes to create value/product (good or service). Portion of the value chain includes:</w:t>
            </w:r>
          </w:p>
          <w:p w:rsidR="00000000" w:rsidP="002B6D0F">
            <w:pPr>
              <w:pStyle w:val="ListBullet"/>
              <w:rPr>
                <w:lang w:val="en-NZ"/>
              </w:rPr>
            </w:pPr>
            <w:r w:rsidRPr="002B6D0F">
              <w:t>sections internal or external to the organisation</w:t>
            </w:r>
          </w:p>
        </w:tc>
      </w:tr>
      <w:tr w:rsidTr="002B6D0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0F">
            <w:pPr>
              <w:pStyle w:val="BodyText"/>
              <w:rPr>
                <w:lang w:val="en-NZ"/>
              </w:rPr>
            </w:pPr>
            <w:r w:rsidRPr="002B6D0F">
              <w:rPr>
                <w:rStyle w:val="SpecialBold"/>
              </w:rPr>
              <w:t>Mass/energy balancing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0F" w:rsidP="002B6D0F">
            <w:pPr>
              <w:pStyle w:val="ListBullet"/>
            </w:pPr>
            <w:r w:rsidRPr="002B6D0F">
              <w:t>Mass balancing is an analysis technique which allows for the calculation of mass flows and consumption through a process and losses of mass from the system/product</w:t>
            </w:r>
          </w:p>
          <w:p w:rsidR="00000000" w:rsidRPr="002B6D0F" w:rsidP="002B6D0F">
            <w:pPr>
              <w:pStyle w:val="ListBullet"/>
            </w:pPr>
            <w:r w:rsidRPr="002B6D0F">
              <w:t>Energy balancing is an analysis technique which allows for the calcu</w:t>
            </w:r>
            <w:r w:rsidRPr="002B6D0F">
              <w:t>lation of energy flows and consumption through a process and the losses of energy from the system/product</w:t>
            </w:r>
          </w:p>
          <w:p w:rsidR="00000000" w:rsidP="002B6D0F">
            <w:pPr>
              <w:pStyle w:val="ListBullet"/>
              <w:rPr>
                <w:lang w:val="en-NZ"/>
              </w:rPr>
            </w:pPr>
            <w:r w:rsidRPr="002B6D0F">
              <w:t>Mass and energy balancing may be undertaken as separate activities or in some circumstances as a combined mass/energy balance</w:t>
            </w:r>
          </w:p>
        </w:tc>
      </w:tr>
      <w:tr w:rsidTr="002B6D0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D0F">
            <w:pPr>
              <w:pStyle w:val="BodyText"/>
              <w:rPr>
                <w:lang w:val="en-NZ"/>
              </w:rPr>
            </w:pPr>
            <w:r w:rsidRPr="002B6D0F">
              <w:rPr>
                <w:rStyle w:val="SpecialBold"/>
              </w:rPr>
              <w:t>Appropriate response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D0F" w:rsidP="002B6D0F">
            <w:pPr>
              <w:pStyle w:val="BodyText"/>
            </w:pPr>
            <w:r w:rsidRPr="002B6D0F">
              <w:t>Ap</w:t>
            </w:r>
            <w:r w:rsidRPr="002B6D0F">
              <w:t>propriate response includes:</w:t>
            </w:r>
          </w:p>
          <w:p w:rsidR="00000000" w:rsidRPr="002B6D0F" w:rsidP="002B6D0F">
            <w:pPr>
              <w:pStyle w:val="ListBullet"/>
            </w:pPr>
            <w:r w:rsidRPr="002B6D0F">
              <w:t>application of the hierarchy of hazard control to sustainability hazards</w:t>
            </w:r>
          </w:p>
          <w:p w:rsidR="00000000" w:rsidRPr="002B6D0F" w:rsidP="002B6D0F">
            <w:pPr>
              <w:pStyle w:val="ListBullet"/>
            </w:pPr>
            <w:r w:rsidRPr="002B6D0F">
              <w:t>when the impact cannot be prevented application of mitigation and amelioration techniques, such as:</w:t>
            </w:r>
          </w:p>
          <w:p w:rsidR="00000000" w:rsidRPr="002B6D0F" w:rsidP="002B6D0F">
            <w:pPr>
              <w:pStyle w:val="ListBullet"/>
            </w:pPr>
            <w:r w:rsidRPr="002B6D0F">
              <w:t>capture and storage (e.g. scrubbing) and similar ‘end</w:t>
            </w:r>
            <w:r w:rsidRPr="002B6D0F">
              <w:t xml:space="preserve"> of pipe’ solutions</w:t>
            </w:r>
          </w:p>
          <w:p w:rsidR="00000000" w:rsidRPr="002B6D0F" w:rsidP="002B6D0F">
            <w:pPr>
              <w:pStyle w:val="ListBullet"/>
            </w:pPr>
            <w:r w:rsidRPr="002B6D0F">
              <w:t>dilution/dispersion and similar techniques which reduce concentration but not amount</w:t>
            </w:r>
          </w:p>
          <w:p w:rsidR="00000000" w:rsidRPr="002B6D0F" w:rsidP="002B6D0F">
            <w:pPr>
              <w:pStyle w:val="ListBullet"/>
            </w:pPr>
            <w:r w:rsidRPr="002B6D0F">
              <w:t>other approaches which meet the sustainability requirements</w:t>
            </w:r>
          </w:p>
        </w:tc>
      </w:tr>
    </w:tbl>
    <w:p w:rsidR="007E2DD0" w:rsidP="002B6D0F">
      <w:pPr>
        <w:pStyle w:val="ListBullet"/>
      </w:pPr>
    </w:p>
    <w:p w:rsidR="007E2DD0" w:rsidP="002B6D0F">
      <w:pPr>
        <w:pStyle w:val="ListBullet"/>
      </w:pPr>
    </w:p>
    <w:p w:rsidR="00000000" w:rsidRPr="002B6D0F" w:rsidP="002B6D0F">
      <w:pPr>
        <w:pStyle w:val="Heading1"/>
      </w:pPr>
      <w:bookmarkStart w:id="12" w:name="O_340132"/>
      <w:bookmarkEnd w:id="12"/>
      <w:r w:rsidRPr="002B6D0F">
        <w:t>Unit Sector(s)</w:t>
      </w:r>
    </w:p>
    <w:p w:rsidR="00000000" w:rsidRPr="002B6D0F" w:rsidP="002B6D0F">
      <w:pPr>
        <w:pStyle w:val="BodyText"/>
      </w:pPr>
      <w:r w:rsidRPr="002B6D0F">
        <w:t>Sustainability</w:t>
      </w:r>
    </w:p>
    <w:p w:rsidR="00000000" w:rsidRPr="002B6D0F" w:rsidP="002B6D0F">
      <w:pPr>
        <w:pStyle w:val="AllowPageBreak"/>
      </w:pPr>
    </w:p>
    <w:p w:rsidR="00000000" w:rsidRPr="002B6D0F" w:rsidP="002B6D0F">
      <w:pPr>
        <w:pStyle w:val="Heading1"/>
      </w:pPr>
      <w:bookmarkStart w:id="13" w:name="O_340133"/>
      <w:bookmarkEnd w:id="13"/>
      <w:r w:rsidRPr="002B6D0F">
        <w:t>Custom Content Section</w:t>
      </w:r>
    </w:p>
    <w:p w:rsidR="00000000" w:rsidRPr="002B6D0F" w:rsidP="002B6D0F">
      <w:pPr>
        <w:pStyle w:val="BodyText"/>
      </w:pPr>
      <w:r w:rsidRPr="002B6D0F">
        <w:t>Not applicable.</w:t>
      </w:r>
    </w:p>
    <w:p w:rsidR="00000000" w:rsidRPr="002B6D0F" w:rsidP="002B6D0F"/>
    <w:sectPr w:rsidSect="002B6D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D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2DD0" w:rsidP="007E2D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D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DD0" w:rsidP="002B6D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E2DD0" w:rsidP="002B6D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E2DD0" w:rsidP="002B6D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D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2DD0" w:rsidP="007E2D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D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DD0" w:rsidP="002B6D0F">
    <w:pPr>
      <w:pStyle w:val="Header"/>
      <w:framePr w:wrap="around"/>
    </w:pPr>
    <w:r>
      <w:fldChar w:fldCharType="begin"/>
    </w:r>
    <w:r>
      <w:instrText xml:space="preserve"> TITLE   \* MERGEFORMAT </w:instrText>
    </w:r>
    <w:r>
      <w:fldChar w:fldCharType="separate"/>
    </w:r>
    <w:r>
      <w:t>MSS017002A Determine process loss through mass or energy balancing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2DD0" w:rsidP="002B6D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503A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D09F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D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6D0F"/>
    <w:pPr>
      <w:spacing w:before="360" w:after="60"/>
      <w:outlineLvl w:val="0"/>
    </w:pPr>
    <w:rPr>
      <w:sz w:val="32"/>
    </w:rPr>
  </w:style>
  <w:style w:type="paragraph" w:styleId="Heading2">
    <w:name w:val="heading 2"/>
    <w:basedOn w:val="HeadingBase"/>
    <w:next w:val="BodyText"/>
    <w:link w:val="Heading2Char"/>
    <w:qFormat/>
    <w:rsid w:val="002B6D0F"/>
    <w:pPr>
      <w:keepLines/>
      <w:spacing w:before="240" w:after="120"/>
      <w:outlineLvl w:val="1"/>
    </w:pPr>
    <w:rPr>
      <w:sz w:val="28"/>
      <w:szCs w:val="40"/>
    </w:rPr>
  </w:style>
  <w:style w:type="paragraph" w:styleId="Heading3">
    <w:name w:val="heading 3"/>
    <w:basedOn w:val="HeadingBase"/>
    <w:next w:val="BodyText"/>
    <w:link w:val="Heading3Char"/>
    <w:qFormat/>
    <w:rsid w:val="002B6D0F"/>
    <w:pPr>
      <w:spacing w:before="180" w:after="120"/>
      <w:outlineLvl w:val="2"/>
    </w:pPr>
    <w:rPr>
      <w:spacing w:val="-10"/>
      <w:kern w:val="32"/>
    </w:rPr>
  </w:style>
  <w:style w:type="paragraph" w:styleId="Heading4">
    <w:name w:val="heading 4"/>
    <w:basedOn w:val="HeadingBase"/>
    <w:next w:val="BodyText"/>
    <w:link w:val="Heading4Char"/>
    <w:qFormat/>
    <w:rsid w:val="002B6D0F"/>
    <w:pPr>
      <w:spacing w:before="160" w:after="120"/>
      <w:outlineLvl w:val="3"/>
    </w:pPr>
    <w:rPr>
      <w:sz w:val="22"/>
    </w:rPr>
  </w:style>
  <w:style w:type="paragraph" w:styleId="Heading5">
    <w:name w:val="heading 5"/>
    <w:basedOn w:val="HeadingBase"/>
    <w:next w:val="Normal"/>
    <w:link w:val="Heading5Char"/>
    <w:qFormat/>
    <w:rsid w:val="002B6D0F"/>
    <w:pPr>
      <w:spacing w:before="80"/>
      <w:outlineLvl w:val="4"/>
    </w:pPr>
    <w:rPr>
      <w:color w:val="918585"/>
      <w:sz w:val="20"/>
    </w:rPr>
  </w:style>
  <w:style w:type="paragraph" w:styleId="Heading6">
    <w:name w:val="heading 6"/>
    <w:basedOn w:val="HeadingBase"/>
    <w:next w:val="Normal"/>
    <w:link w:val="Heading6Char"/>
    <w:qFormat/>
    <w:rsid w:val="002B6D0F"/>
    <w:pPr>
      <w:spacing w:before="60"/>
      <w:outlineLvl w:val="5"/>
    </w:pPr>
    <w:rPr>
      <w:color w:val="918585"/>
      <w:sz w:val="20"/>
    </w:rPr>
  </w:style>
  <w:style w:type="paragraph" w:styleId="Heading7">
    <w:name w:val="heading 7"/>
    <w:basedOn w:val="Normal"/>
    <w:next w:val="Normal"/>
    <w:link w:val="Heading7Char"/>
    <w:qFormat/>
    <w:rsid w:val="002B6D0F"/>
    <w:pPr>
      <w:ind w:left="720"/>
      <w:outlineLvl w:val="6"/>
    </w:pPr>
    <w:rPr>
      <w:i/>
    </w:rPr>
  </w:style>
  <w:style w:type="paragraph" w:styleId="Heading8">
    <w:name w:val="heading 8"/>
    <w:basedOn w:val="Normal"/>
    <w:next w:val="Normal"/>
    <w:link w:val="Heading8Char"/>
    <w:qFormat/>
    <w:rsid w:val="002B6D0F"/>
    <w:pPr>
      <w:ind w:left="720"/>
      <w:outlineLvl w:val="7"/>
    </w:pPr>
    <w:rPr>
      <w:i/>
    </w:rPr>
  </w:style>
  <w:style w:type="paragraph" w:styleId="Heading9">
    <w:name w:val="heading 9"/>
    <w:basedOn w:val="Normal"/>
    <w:next w:val="Normal"/>
    <w:link w:val="Heading9Char"/>
    <w:qFormat/>
    <w:rsid w:val="002B6D0F"/>
    <w:pPr>
      <w:ind w:left="720"/>
      <w:outlineLvl w:val="8"/>
    </w:pPr>
    <w:rPr>
      <w:i/>
    </w:rPr>
  </w:style>
  <w:style w:type="character" w:default="1" w:styleId="DefaultParagraphFont">
    <w:name w:val="Default Paragraph Font"/>
    <w:uiPriority w:val="1"/>
    <w:unhideWhenUsed/>
    <w:rsid w:val="002B6D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D0F"/>
  </w:style>
  <w:style w:type="character" w:customStyle="1" w:styleId="Heading1Char">
    <w:name w:val="Heading 1 Char"/>
    <w:basedOn w:val="DefaultParagraphFont"/>
    <w:link w:val="Heading1"/>
    <w:rsid w:val="002B6D0F"/>
    <w:rPr>
      <w:rFonts w:ascii="Times New Roman" w:eastAsia="Times New Roman" w:hAnsi="Times New Roman" w:cs="Times New Roman"/>
      <w:b/>
      <w:sz w:val="32"/>
      <w:szCs w:val="20"/>
      <w:lang w:eastAsia="en-US"/>
    </w:rPr>
  </w:style>
  <w:style w:type="paragraph" w:styleId="BodyText">
    <w:name w:val="Body Text"/>
    <w:basedOn w:val="Normal"/>
    <w:link w:val="BodyTextChar"/>
    <w:rsid w:val="002B6D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6D0F"/>
    <w:rPr>
      <w:rFonts w:ascii="Times New Roman" w:eastAsia="Times New Roman" w:hAnsi="Times New Roman" w:cs="Times New Roman"/>
      <w:sz w:val="24"/>
      <w:lang w:val="en-US" w:eastAsia="en-US"/>
    </w:rPr>
  </w:style>
  <w:style w:type="paragraph" w:styleId="Footer">
    <w:name w:val="footer"/>
    <w:basedOn w:val="Normal"/>
    <w:link w:val="FooterChar"/>
    <w:rsid w:val="002B6D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D0F"/>
    <w:rPr>
      <w:rFonts w:ascii="Times New Roman" w:eastAsia="Times New Roman" w:hAnsi="Times New Roman" w:cs="Times New Roman"/>
      <w:sz w:val="16"/>
      <w:lang w:val="en-US" w:eastAsia="en-US"/>
    </w:rPr>
  </w:style>
  <w:style w:type="paragraph" w:styleId="ListBullet">
    <w:name w:val="List Bullet"/>
    <w:basedOn w:val="List"/>
    <w:rsid w:val="002B6D0F"/>
    <w:pPr>
      <w:numPr>
        <w:numId w:val="12"/>
      </w:numPr>
      <w:tabs>
        <w:tab w:val="clear" w:pos="340"/>
      </w:tabs>
      <w:spacing w:before="40" w:after="40"/>
    </w:pPr>
  </w:style>
  <w:style w:type="character" w:customStyle="1" w:styleId="SpecialBold">
    <w:name w:val="Special Bold"/>
    <w:basedOn w:val="DefaultParagraphFont"/>
    <w:rsid w:val="002B6D0F"/>
    <w:rPr>
      <w:b/>
      <w:spacing w:val="0"/>
    </w:rPr>
  </w:style>
  <w:style w:type="paragraph" w:styleId="Header">
    <w:name w:val="header"/>
    <w:basedOn w:val="Normal"/>
    <w:link w:val="HeaderChar"/>
    <w:rsid w:val="002B6D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D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6D0F"/>
    <w:pPr>
      <w:spacing w:before="240" w:after="120"/>
      <w:outlineLvl w:val="0"/>
    </w:pPr>
    <w:rPr>
      <w:rFonts w:ascii="Times New Roman" w:hAnsi="Times New Roman"/>
      <w:b/>
      <w:sz w:val="28"/>
    </w:rPr>
  </w:style>
  <w:style w:type="paragraph" w:customStyle="1" w:styleId="AllowPageBreak">
    <w:name w:val="AllowPageBreak"/>
    <w:rsid w:val="002B6D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6D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D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D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D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D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D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6D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6D0F"/>
    <w:rPr>
      <w:rFonts w:ascii="Courier New" w:eastAsia="Times New Roman" w:hAnsi="Courier New" w:cs="Times New Roman"/>
      <w:i/>
      <w:szCs w:val="20"/>
      <w:lang w:val="en-US" w:eastAsia="en-US"/>
    </w:rPr>
  </w:style>
  <w:style w:type="paragraph" w:customStyle="1" w:styleId="HeadingBase">
    <w:name w:val="Heading Base"/>
    <w:rsid w:val="002B6D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D0F"/>
    <w:pPr>
      <w:tabs>
        <w:tab w:val="right" w:leader="dot" w:pos="9072"/>
      </w:tabs>
      <w:ind w:left="567"/>
    </w:pPr>
    <w:rPr>
      <w:szCs w:val="22"/>
    </w:rPr>
  </w:style>
  <w:style w:type="paragraph" w:customStyle="1" w:styleId="TOCBase">
    <w:name w:val="TOC Base"/>
    <w:rsid w:val="002B6D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D0F"/>
    <w:pPr>
      <w:tabs>
        <w:tab w:val="right" w:leader="dot" w:pos="9072"/>
      </w:tabs>
      <w:spacing w:before="40" w:after="40"/>
      <w:ind w:left="284"/>
    </w:pPr>
    <w:rPr>
      <w:rFonts w:ascii="Times New Roman" w:hAnsi="Times New Roman"/>
    </w:rPr>
  </w:style>
  <w:style w:type="paragraph" w:styleId="TOC1">
    <w:name w:val="toc 1"/>
    <w:basedOn w:val="TOCBase"/>
    <w:next w:val="Normal"/>
    <w:rsid w:val="002B6D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6D0F"/>
    <w:pPr>
      <w:spacing w:before="5040"/>
      <w:jc w:val="center"/>
    </w:pPr>
    <w:rPr>
      <w:sz w:val="48"/>
      <w:szCs w:val="72"/>
      <w:lang w:val="en-US"/>
    </w:rPr>
  </w:style>
  <w:style w:type="character" w:customStyle="1" w:styleId="TitleChar">
    <w:name w:val="Title Char"/>
    <w:basedOn w:val="DefaultParagraphFont"/>
    <w:link w:val="Title"/>
    <w:rsid w:val="002B6D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D0F"/>
    <w:pPr>
      <w:tabs>
        <w:tab w:val="left" w:pos="3600"/>
        <w:tab w:val="left" w:pos="3958"/>
      </w:tabs>
    </w:pPr>
  </w:style>
  <w:style w:type="paragraph" w:styleId="List">
    <w:name w:val="List"/>
    <w:basedOn w:val="BodyText"/>
    <w:next w:val="BodyText"/>
    <w:rsid w:val="002B6D0F"/>
    <w:pPr>
      <w:tabs>
        <w:tab w:val="left" w:pos="340"/>
      </w:tabs>
      <w:spacing w:before="60" w:after="60"/>
      <w:ind w:left="340" w:hanging="340"/>
    </w:pPr>
  </w:style>
  <w:style w:type="paragraph" w:customStyle="1" w:styleId="Note">
    <w:name w:val="Note"/>
    <w:basedOn w:val="BodyText"/>
    <w:rsid w:val="002B6D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6D0F"/>
    <w:pPr>
      <w:framePr w:wrap="auto" w:hAnchor="text" w:y="6049"/>
    </w:pPr>
    <w:rPr>
      <w:color w:val="000000"/>
      <w:sz w:val="40"/>
    </w:rPr>
  </w:style>
  <w:style w:type="paragraph" w:customStyle="1" w:styleId="TOCTitle">
    <w:name w:val="TOCTitle"/>
    <w:basedOn w:val="Heading1"/>
    <w:rsid w:val="002B6D0F"/>
    <w:pPr>
      <w:spacing w:after="240"/>
      <w:jc w:val="center"/>
      <w:outlineLvl w:val="9"/>
    </w:pPr>
    <w:rPr>
      <w:caps/>
    </w:rPr>
  </w:style>
  <w:style w:type="paragraph" w:customStyle="1" w:styleId="Version">
    <w:name w:val="Version"/>
    <w:rsid w:val="002B6D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6D0F"/>
    <w:pPr>
      <w:numPr>
        <w:numId w:val="13"/>
      </w:numPr>
      <w:tabs>
        <w:tab w:val="clear" w:pos="680"/>
      </w:tabs>
    </w:pPr>
  </w:style>
  <w:style w:type="paragraph" w:styleId="Index1">
    <w:name w:val="index 1"/>
    <w:basedOn w:val="Normal"/>
    <w:next w:val="Normal"/>
    <w:semiHidden/>
    <w:rsid w:val="002B6D0F"/>
    <w:pPr>
      <w:keepNext w:val="0"/>
      <w:tabs>
        <w:tab w:val="right" w:pos="4176"/>
      </w:tabs>
      <w:ind w:left="198" w:hanging="198"/>
    </w:pPr>
    <w:rPr>
      <w:rFonts w:ascii="Garamond" w:hAnsi="Garamond"/>
    </w:rPr>
  </w:style>
  <w:style w:type="paragraph" w:styleId="IndexHeading">
    <w:name w:val="index heading"/>
    <w:basedOn w:val="Normal"/>
    <w:next w:val="Index1"/>
    <w:semiHidden/>
    <w:rsid w:val="002B6D0F"/>
    <w:pPr>
      <w:spacing w:before="120" w:after="120"/>
    </w:pPr>
    <w:rPr>
      <w:rFonts w:ascii="Arial" w:hAnsi="Arial"/>
      <w:b/>
      <w:color w:val="918585"/>
      <w:sz w:val="24"/>
    </w:rPr>
  </w:style>
  <w:style w:type="paragraph" w:customStyle="1" w:styleId="Chapter">
    <w:name w:val="Chapter"/>
    <w:basedOn w:val="Normal"/>
    <w:rsid w:val="002B6D0F"/>
    <w:pPr>
      <w:spacing w:before="240"/>
    </w:pPr>
    <w:rPr>
      <w:rFonts w:ascii="Times New Roman" w:hAnsi="Times New Roman"/>
      <w:smallCaps/>
      <w:spacing w:val="80"/>
      <w:sz w:val="28"/>
    </w:rPr>
  </w:style>
  <w:style w:type="paragraph" w:customStyle="1" w:styleId="InChapter">
    <w:name w:val="InChapter"/>
    <w:basedOn w:val="Heading3"/>
    <w:rsid w:val="002B6D0F"/>
    <w:pPr>
      <w:spacing w:after="240"/>
      <w:outlineLvl w:val="9"/>
    </w:pPr>
    <w:rPr>
      <w:noProof/>
    </w:rPr>
  </w:style>
  <w:style w:type="paragraph" w:styleId="Index2">
    <w:name w:val="index 2"/>
    <w:basedOn w:val="Normal"/>
    <w:next w:val="Normal"/>
    <w:semiHidden/>
    <w:rsid w:val="002B6D0F"/>
    <w:pPr>
      <w:tabs>
        <w:tab w:val="right" w:pos="4176"/>
      </w:tabs>
      <w:ind w:left="568" w:hanging="284"/>
    </w:pPr>
    <w:rPr>
      <w:rFonts w:ascii="Garamond" w:hAnsi="Garamond"/>
    </w:rPr>
  </w:style>
  <w:style w:type="paragraph" w:customStyle="1" w:styleId="Byline">
    <w:name w:val="Byline"/>
    <w:rsid w:val="002B6D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D0F"/>
    <w:pPr>
      <w:tabs>
        <w:tab w:val="clear" w:pos="3600"/>
        <w:tab w:val="clear" w:pos="3958"/>
      </w:tabs>
      <w:jc w:val="right"/>
    </w:pPr>
  </w:style>
  <w:style w:type="character" w:styleId="Emphasis">
    <w:name w:val="Emphasis"/>
    <w:basedOn w:val="DefaultParagraphFont"/>
    <w:qFormat/>
    <w:rsid w:val="002B6D0F"/>
    <w:rPr>
      <w:i/>
    </w:rPr>
  </w:style>
  <w:style w:type="paragraph" w:styleId="Caption">
    <w:name w:val="caption"/>
    <w:basedOn w:val="BodyText"/>
    <w:next w:val="Normal"/>
    <w:qFormat/>
    <w:rsid w:val="002B6D0F"/>
    <w:pPr>
      <w:framePr w:w="2268" w:hSpace="181" w:vSpace="181" w:wrap="around" w:vAnchor="text" w:hAnchor="page" w:x="1135" w:y="285" w:anchorLock="1"/>
    </w:pPr>
    <w:rPr>
      <w:i/>
    </w:rPr>
  </w:style>
  <w:style w:type="paragraph" w:customStyle="1" w:styleId="MiniTOCTitle">
    <w:name w:val="MiniTOCTitle"/>
    <w:basedOn w:val="Heading4"/>
    <w:rsid w:val="002B6D0F"/>
    <w:pPr>
      <w:spacing w:before="240"/>
      <w:outlineLvl w:val="9"/>
    </w:pPr>
    <w:rPr>
      <w:noProof/>
      <w:sz w:val="24"/>
    </w:rPr>
  </w:style>
  <w:style w:type="paragraph" w:customStyle="1" w:styleId="MiniTOCItem">
    <w:name w:val="MiniTOCItem"/>
    <w:basedOn w:val="ListBullet"/>
    <w:rsid w:val="002B6D0F"/>
    <w:pPr>
      <w:numPr>
        <w:numId w:val="0"/>
      </w:numPr>
      <w:tabs>
        <w:tab w:val="right" w:leader="dot" w:pos="6521"/>
      </w:tabs>
      <w:spacing w:before="0" w:after="0"/>
    </w:pPr>
  </w:style>
  <w:style w:type="paragraph" w:customStyle="1" w:styleId="TOFTitle">
    <w:name w:val="TOFTitle"/>
    <w:basedOn w:val="TOCTitle"/>
    <w:rsid w:val="002B6D0F"/>
  </w:style>
  <w:style w:type="paragraph" w:styleId="TableofFigures">
    <w:name w:val="table of figures"/>
    <w:basedOn w:val="Normal"/>
    <w:next w:val="Normal"/>
    <w:semiHidden/>
    <w:rsid w:val="002B6D0F"/>
    <w:pPr>
      <w:tabs>
        <w:tab w:val="right" w:leader="dot" w:pos="9072"/>
      </w:tabs>
      <w:ind w:left="970" w:hanging="403"/>
    </w:pPr>
    <w:rPr>
      <w:rFonts w:ascii="Times New Roman" w:hAnsi="Times New Roman"/>
      <w:b/>
    </w:rPr>
  </w:style>
  <w:style w:type="paragraph" w:styleId="ListNumber">
    <w:name w:val="List Number"/>
    <w:basedOn w:val="List"/>
    <w:rsid w:val="002B6D0F"/>
    <w:pPr>
      <w:numPr>
        <w:numId w:val="10"/>
      </w:numPr>
    </w:pPr>
  </w:style>
  <w:style w:type="character" w:customStyle="1" w:styleId="WingdingSymbols">
    <w:name w:val="Wingding Symbols"/>
    <w:rsid w:val="002B6D0F"/>
    <w:rPr>
      <w:rFonts w:ascii="Wingdings" w:hAnsi="Wingdings"/>
    </w:rPr>
  </w:style>
  <w:style w:type="paragraph" w:customStyle="1" w:styleId="TableHeading">
    <w:name w:val="Table Heading"/>
    <w:basedOn w:val="HeadingBase"/>
    <w:rsid w:val="002B6D0F"/>
    <w:pPr>
      <w:keepLines/>
      <w:pBdr>
        <w:bottom w:val="single" w:sz="6" w:space="1" w:color="918585"/>
      </w:pBdr>
      <w:spacing w:before="240"/>
    </w:pPr>
  </w:style>
  <w:style w:type="character" w:customStyle="1" w:styleId="HotSpot">
    <w:name w:val="HotSpot"/>
    <w:rsid w:val="002B6D0F"/>
    <w:rPr>
      <w:color w:val="0033CC"/>
      <w:u w:val="none"/>
    </w:rPr>
  </w:style>
  <w:style w:type="paragraph" w:customStyle="1" w:styleId="BodyTextRight">
    <w:name w:val="Body Text Right"/>
    <w:basedOn w:val="BodyText"/>
    <w:rsid w:val="002B6D0F"/>
    <w:pPr>
      <w:spacing w:before="0" w:after="0"/>
      <w:jc w:val="right"/>
    </w:pPr>
  </w:style>
  <w:style w:type="paragraph" w:styleId="Index3">
    <w:name w:val="index 3"/>
    <w:basedOn w:val="ListNumber2"/>
    <w:next w:val="Normal"/>
    <w:semiHidden/>
    <w:rsid w:val="002B6D0F"/>
    <w:pPr>
      <w:numPr>
        <w:numId w:val="0"/>
      </w:numPr>
      <w:tabs>
        <w:tab w:val="right" w:leader="dot" w:pos="4176"/>
      </w:tabs>
    </w:pPr>
  </w:style>
  <w:style w:type="paragraph" w:styleId="ListNumber2">
    <w:name w:val="List Number 2"/>
    <w:basedOn w:val="List2"/>
    <w:rsid w:val="002B6D0F"/>
    <w:pPr>
      <w:numPr>
        <w:numId w:val="9"/>
      </w:numPr>
      <w:tabs>
        <w:tab w:val="clear" w:pos="1060"/>
      </w:tabs>
    </w:pPr>
  </w:style>
  <w:style w:type="paragraph" w:customStyle="1" w:styleId="MarginNote">
    <w:name w:val="Margin Note"/>
    <w:basedOn w:val="BodyText"/>
    <w:rsid w:val="002B6D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D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D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6D0F"/>
    <w:rPr>
      <w:sz w:val="32"/>
    </w:rPr>
  </w:style>
  <w:style w:type="paragraph" w:customStyle="1" w:styleId="HeadingProcedure">
    <w:name w:val="Heading Procedure"/>
    <w:basedOn w:val="HeadingBase"/>
    <w:next w:val="Normal"/>
    <w:rsid w:val="002B6D0F"/>
    <w:pPr>
      <w:tabs>
        <w:tab w:val="left" w:pos="0"/>
      </w:tabs>
      <w:spacing w:before="120" w:after="60"/>
    </w:pPr>
    <w:rPr>
      <w:i/>
      <w:color w:val="918585"/>
      <w:sz w:val="22"/>
    </w:rPr>
  </w:style>
  <w:style w:type="paragraph" w:customStyle="1" w:styleId="TableBodyText">
    <w:name w:val="Table Body Text"/>
    <w:basedOn w:val="BodyText"/>
    <w:rsid w:val="002B6D0F"/>
    <w:pPr>
      <w:spacing w:before="60" w:after="60"/>
    </w:pPr>
  </w:style>
  <w:style w:type="paragraph" w:styleId="ListContinue">
    <w:name w:val="List Continue"/>
    <w:basedOn w:val="List"/>
    <w:rsid w:val="002B6D0F"/>
    <w:pPr>
      <w:ind w:firstLine="0"/>
    </w:pPr>
  </w:style>
  <w:style w:type="paragraph" w:customStyle="1" w:styleId="ListNote">
    <w:name w:val="List Note"/>
    <w:basedOn w:val="List"/>
    <w:rsid w:val="002B6D0F"/>
    <w:pPr>
      <w:pBdr>
        <w:top w:val="single" w:sz="6" w:space="2" w:color="918585"/>
        <w:bottom w:val="single" w:sz="6" w:space="2" w:color="918585"/>
      </w:pBdr>
      <w:tabs>
        <w:tab w:val="left" w:pos="1021"/>
      </w:tabs>
      <w:ind w:firstLine="0"/>
    </w:pPr>
  </w:style>
  <w:style w:type="paragraph" w:customStyle="1" w:styleId="Warning">
    <w:name w:val="Warning"/>
    <w:basedOn w:val="BodyText"/>
    <w:rsid w:val="002B6D0F"/>
    <w:pPr>
      <w:shd w:val="clear" w:color="auto" w:fill="D9D9D9"/>
      <w:tabs>
        <w:tab w:val="left" w:pos="992"/>
      </w:tabs>
      <w:ind w:left="119" w:right="119"/>
    </w:pPr>
    <w:rPr>
      <w:sz w:val="20"/>
    </w:rPr>
  </w:style>
  <w:style w:type="paragraph" w:customStyle="1" w:styleId="MarginIcons">
    <w:name w:val="Margin Icons"/>
    <w:basedOn w:val="BodyText"/>
    <w:rsid w:val="002B6D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D0F"/>
    <w:rPr>
      <w:rFonts w:ascii="Courier New" w:hAnsi="Courier New"/>
    </w:rPr>
  </w:style>
  <w:style w:type="paragraph" w:customStyle="1" w:styleId="NoteBullet">
    <w:name w:val="Note Bullet"/>
    <w:basedOn w:val="Note"/>
    <w:rsid w:val="002B6D0F"/>
    <w:pPr>
      <w:tabs>
        <w:tab w:val="clear" w:pos="680"/>
      </w:tabs>
      <w:spacing w:before="60" w:after="60"/>
    </w:pPr>
  </w:style>
  <w:style w:type="paragraph" w:customStyle="1" w:styleId="SubHeading2">
    <w:name w:val="SubHeading2"/>
    <w:basedOn w:val="HeadingBase"/>
    <w:rsid w:val="002B6D0F"/>
    <w:pPr>
      <w:spacing w:before="240" w:after="60"/>
    </w:pPr>
    <w:rPr>
      <w:sz w:val="20"/>
    </w:rPr>
  </w:style>
  <w:style w:type="paragraph" w:customStyle="1" w:styleId="SubHeading1">
    <w:name w:val="SubHeading1"/>
    <w:basedOn w:val="HeadingBase"/>
    <w:rsid w:val="002B6D0F"/>
    <w:pPr>
      <w:spacing w:before="240" w:after="60"/>
    </w:pPr>
    <w:rPr>
      <w:color w:val="918585"/>
      <w:sz w:val="22"/>
    </w:rPr>
  </w:style>
  <w:style w:type="paragraph" w:customStyle="1" w:styleId="SideHeading">
    <w:name w:val="Side Heading"/>
    <w:basedOn w:val="HeadingBase"/>
    <w:rsid w:val="002B6D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D0F"/>
    <w:pPr>
      <w:tabs>
        <w:tab w:val="num" w:pos="360"/>
      </w:tabs>
    </w:pPr>
  </w:style>
  <w:style w:type="paragraph" w:styleId="PlainText">
    <w:name w:val="Plain Text"/>
    <w:basedOn w:val="Normal"/>
    <w:link w:val="PlainTextChar"/>
    <w:rsid w:val="002B6D0F"/>
    <w:rPr>
      <w:sz w:val="20"/>
    </w:rPr>
  </w:style>
  <w:style w:type="character" w:customStyle="1" w:styleId="PlainTextChar">
    <w:name w:val="Plain Text Char"/>
    <w:basedOn w:val="DefaultParagraphFont"/>
    <w:link w:val="PlainText"/>
    <w:rsid w:val="002B6D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6D0F"/>
    <w:rPr>
      <w:b/>
      <w:smallCaps/>
    </w:rPr>
  </w:style>
  <w:style w:type="paragraph" w:customStyle="1" w:styleId="TableListNumber">
    <w:name w:val="Table List Number"/>
    <w:basedOn w:val="ListNumber"/>
    <w:rsid w:val="002B6D0F"/>
    <w:pPr>
      <w:numPr>
        <w:numId w:val="0"/>
      </w:numPr>
    </w:pPr>
  </w:style>
  <w:style w:type="paragraph" w:styleId="TOC4">
    <w:name w:val="toc 4"/>
    <w:basedOn w:val="TOCBase"/>
    <w:next w:val="Normal"/>
    <w:semiHidden/>
    <w:rsid w:val="002B6D0F"/>
    <w:pPr>
      <w:tabs>
        <w:tab w:val="right" w:leader="dot" w:pos="9071"/>
      </w:tabs>
      <w:ind w:left="1701"/>
    </w:pPr>
  </w:style>
  <w:style w:type="paragraph" w:customStyle="1" w:styleId="ListAlpha">
    <w:name w:val="List Alpha"/>
    <w:basedOn w:val="List"/>
    <w:rsid w:val="002B6D0F"/>
    <w:pPr>
      <w:numPr>
        <w:numId w:val="8"/>
      </w:numPr>
    </w:pPr>
  </w:style>
  <w:style w:type="paragraph" w:customStyle="1" w:styleId="ListAlpha2">
    <w:name w:val="List Alpha 2"/>
    <w:basedOn w:val="List2"/>
    <w:rsid w:val="002B6D0F"/>
    <w:pPr>
      <w:numPr>
        <w:numId w:val="7"/>
      </w:numPr>
    </w:pPr>
  </w:style>
  <w:style w:type="paragraph" w:styleId="List2">
    <w:name w:val="List 2"/>
    <w:basedOn w:val="BodyText"/>
    <w:rsid w:val="002B6D0F"/>
    <w:pPr>
      <w:tabs>
        <w:tab w:val="left" w:pos="680"/>
      </w:tabs>
      <w:spacing w:before="60" w:after="60"/>
      <w:ind w:left="680" w:hanging="340"/>
    </w:pPr>
  </w:style>
  <w:style w:type="paragraph" w:styleId="List3">
    <w:name w:val="List 3"/>
    <w:basedOn w:val="BodyText"/>
    <w:rsid w:val="002B6D0F"/>
    <w:pPr>
      <w:tabs>
        <w:tab w:val="left" w:pos="1021"/>
      </w:tabs>
      <w:spacing w:before="60" w:after="60"/>
      <w:ind w:left="1020" w:hanging="340"/>
    </w:pPr>
  </w:style>
  <w:style w:type="paragraph" w:styleId="List4">
    <w:name w:val="List 4"/>
    <w:basedOn w:val="BodyText"/>
    <w:rsid w:val="002B6D0F"/>
    <w:pPr>
      <w:tabs>
        <w:tab w:val="left" w:pos="1361"/>
      </w:tabs>
      <w:spacing w:before="60" w:after="60"/>
      <w:ind w:left="1361" w:hanging="340"/>
    </w:pPr>
  </w:style>
  <w:style w:type="paragraph" w:styleId="List5">
    <w:name w:val="List 5"/>
    <w:basedOn w:val="BodyText"/>
    <w:rsid w:val="002B6D0F"/>
    <w:pPr>
      <w:tabs>
        <w:tab w:val="left" w:pos="1701"/>
      </w:tabs>
      <w:spacing w:before="60" w:after="60"/>
      <w:ind w:left="1701" w:hanging="340"/>
    </w:pPr>
  </w:style>
  <w:style w:type="paragraph" w:styleId="ListBullet3">
    <w:name w:val="List Bullet 3"/>
    <w:basedOn w:val="List3"/>
    <w:rsid w:val="002B6D0F"/>
    <w:pPr>
      <w:numPr>
        <w:numId w:val="14"/>
      </w:numPr>
      <w:tabs>
        <w:tab w:val="clear" w:pos="1021"/>
      </w:tabs>
      <w:ind w:left="1037" w:hanging="357"/>
    </w:pPr>
  </w:style>
  <w:style w:type="paragraph" w:styleId="ListBullet4">
    <w:name w:val="List Bullet 4"/>
    <w:basedOn w:val="List4"/>
    <w:rsid w:val="002B6D0F"/>
    <w:pPr>
      <w:numPr>
        <w:numId w:val="2"/>
      </w:numPr>
    </w:pPr>
  </w:style>
  <w:style w:type="paragraph" w:styleId="ListBullet5">
    <w:name w:val="List Bullet 5"/>
    <w:basedOn w:val="List5"/>
    <w:rsid w:val="002B6D0F"/>
    <w:pPr>
      <w:numPr>
        <w:numId w:val="3"/>
      </w:numPr>
    </w:pPr>
  </w:style>
  <w:style w:type="paragraph" w:styleId="ListContinue2">
    <w:name w:val="List Continue 2"/>
    <w:basedOn w:val="List2"/>
    <w:rsid w:val="002B6D0F"/>
    <w:pPr>
      <w:ind w:firstLine="0"/>
    </w:pPr>
  </w:style>
  <w:style w:type="paragraph" w:styleId="ListContinue3">
    <w:name w:val="List Continue 3"/>
    <w:basedOn w:val="List3"/>
    <w:rsid w:val="002B6D0F"/>
    <w:pPr>
      <w:ind w:left="1021" w:firstLine="0"/>
    </w:pPr>
  </w:style>
  <w:style w:type="paragraph" w:styleId="ListContinue4">
    <w:name w:val="List Continue 4"/>
    <w:basedOn w:val="List4"/>
    <w:rsid w:val="002B6D0F"/>
    <w:pPr>
      <w:ind w:firstLine="0"/>
    </w:pPr>
  </w:style>
  <w:style w:type="paragraph" w:styleId="ListContinue5">
    <w:name w:val="List Continue 5"/>
    <w:basedOn w:val="List5"/>
    <w:rsid w:val="002B6D0F"/>
    <w:pPr>
      <w:ind w:firstLine="0"/>
    </w:pPr>
  </w:style>
  <w:style w:type="paragraph" w:styleId="ListNumber3">
    <w:name w:val="List Number 3"/>
    <w:basedOn w:val="List3"/>
    <w:rsid w:val="002B6D0F"/>
    <w:pPr>
      <w:numPr>
        <w:numId w:val="4"/>
      </w:numPr>
    </w:pPr>
  </w:style>
  <w:style w:type="paragraph" w:styleId="ListNumber4">
    <w:name w:val="List Number 4"/>
    <w:basedOn w:val="List4"/>
    <w:rsid w:val="002B6D0F"/>
    <w:pPr>
      <w:numPr>
        <w:numId w:val="5"/>
      </w:numPr>
    </w:pPr>
  </w:style>
  <w:style w:type="paragraph" w:styleId="ListNumber5">
    <w:name w:val="List Number 5"/>
    <w:basedOn w:val="List5"/>
    <w:rsid w:val="002B6D0F"/>
    <w:pPr>
      <w:numPr>
        <w:numId w:val="6"/>
      </w:numPr>
    </w:pPr>
  </w:style>
  <w:style w:type="paragraph" w:styleId="BlockText">
    <w:name w:val="Block Text"/>
    <w:basedOn w:val="Normal"/>
    <w:rsid w:val="002B6D0F"/>
    <w:pPr>
      <w:spacing w:after="120"/>
      <w:ind w:left="1440" w:right="1440"/>
    </w:pPr>
  </w:style>
  <w:style w:type="character" w:customStyle="1" w:styleId="Subscript">
    <w:name w:val="Subscript"/>
    <w:basedOn w:val="DefaultParagraphFont"/>
    <w:rsid w:val="002B6D0F"/>
    <w:rPr>
      <w:sz w:val="16"/>
      <w:vertAlign w:val="subscript"/>
    </w:rPr>
  </w:style>
  <w:style w:type="character" w:customStyle="1" w:styleId="Superscript">
    <w:name w:val="Superscript"/>
    <w:basedOn w:val="DefaultParagraphFont"/>
    <w:rsid w:val="002B6D0F"/>
    <w:rPr>
      <w:sz w:val="16"/>
      <w:vertAlign w:val="superscript"/>
    </w:rPr>
  </w:style>
  <w:style w:type="character" w:customStyle="1" w:styleId="Symbols">
    <w:name w:val="Symbols"/>
    <w:basedOn w:val="DefaultParagraphFont"/>
    <w:rsid w:val="002B6D0F"/>
    <w:rPr>
      <w:rFonts w:ascii="Symbol" w:hAnsi="Symbol"/>
    </w:rPr>
  </w:style>
  <w:style w:type="character" w:customStyle="1" w:styleId="MenuOptions">
    <w:name w:val="Menu Options"/>
    <w:basedOn w:val="DefaultParagraphFont"/>
    <w:rsid w:val="002B6D0F"/>
    <w:rPr>
      <w:rFonts w:ascii="Arial Narrow" w:hAnsi="Arial Narrow"/>
      <w:smallCaps/>
    </w:rPr>
  </w:style>
  <w:style w:type="character" w:customStyle="1" w:styleId="Buttons">
    <w:name w:val="Buttons"/>
    <w:basedOn w:val="DefaultParagraphFont"/>
    <w:rsid w:val="002B6D0F"/>
    <w:rPr>
      <w:b/>
    </w:rPr>
  </w:style>
  <w:style w:type="character" w:customStyle="1" w:styleId="Underlined">
    <w:name w:val="Underlined"/>
    <w:basedOn w:val="DefaultParagraphFont"/>
    <w:rsid w:val="002B6D0F"/>
    <w:rPr>
      <w:u w:val="single"/>
    </w:rPr>
  </w:style>
  <w:style w:type="paragraph" w:customStyle="1" w:styleId="TableBodyTextRight">
    <w:name w:val="Table Body Text Right"/>
    <w:basedOn w:val="TableBodyText"/>
    <w:rsid w:val="002B6D0F"/>
    <w:pPr>
      <w:widowControl w:val="0"/>
      <w:autoSpaceDE w:val="0"/>
      <w:autoSpaceDN w:val="0"/>
      <w:adjustRightInd w:val="0"/>
      <w:jc w:val="right"/>
    </w:pPr>
    <w:rPr>
      <w:rFonts w:cs="Arial"/>
      <w:szCs w:val="18"/>
    </w:rPr>
  </w:style>
  <w:style w:type="paragraph" w:customStyle="1" w:styleId="CopyrightText">
    <w:name w:val="Copyright Text"/>
    <w:basedOn w:val="BodyText"/>
    <w:rsid w:val="002B6D0F"/>
    <w:rPr>
      <w:sz w:val="18"/>
    </w:rPr>
  </w:style>
  <w:style w:type="paragraph" w:customStyle="1" w:styleId="BodySmallRight">
    <w:name w:val="Body Small Right"/>
    <w:basedOn w:val="BodyTextRight"/>
    <w:rsid w:val="002B6D0F"/>
    <w:rPr>
      <w:sz w:val="18"/>
      <w:szCs w:val="18"/>
    </w:rPr>
  </w:style>
  <w:style w:type="paragraph" w:customStyle="1" w:styleId="MarginEdition">
    <w:name w:val="Margin Edition"/>
    <w:basedOn w:val="MarginNote"/>
    <w:rsid w:val="002B6D0F"/>
    <w:pPr>
      <w:spacing w:before="0" w:after="0"/>
    </w:pPr>
    <w:rPr>
      <w:rFonts w:ascii="Times New Roman" w:hAnsi="Times New Roman"/>
      <w:color w:val="999999"/>
    </w:rPr>
  </w:style>
  <w:style w:type="paragraph" w:customStyle="1" w:styleId="Spacer">
    <w:name w:val="Spacer"/>
    <w:basedOn w:val="Normal"/>
    <w:rsid w:val="002B6D0F"/>
    <w:rPr>
      <w:sz w:val="2"/>
      <w:szCs w:val="2"/>
    </w:rPr>
  </w:style>
  <w:style w:type="character" w:customStyle="1" w:styleId="Small">
    <w:name w:val="Small"/>
    <w:basedOn w:val="DefaultParagraphFont"/>
    <w:rsid w:val="002B6D0F"/>
    <w:rPr>
      <w:sz w:val="16"/>
    </w:rPr>
  </w:style>
  <w:style w:type="paragraph" w:customStyle="1" w:styleId="WideTable">
    <w:name w:val="Wide Table"/>
    <w:basedOn w:val="Normal"/>
    <w:rsid w:val="002B6D0F"/>
    <w:pPr>
      <w:ind w:left="-1418"/>
    </w:pPr>
    <w:rPr>
      <w:sz w:val="2"/>
      <w:szCs w:val="2"/>
    </w:rPr>
  </w:style>
  <w:style w:type="character" w:styleId="PageNumber">
    <w:name w:val="page number"/>
    <w:basedOn w:val="DefaultParagraphFont"/>
    <w:rsid w:val="002B6D0F"/>
  </w:style>
  <w:style w:type="paragraph" w:styleId="Quote">
    <w:name w:val="Quote"/>
    <w:basedOn w:val="Heading1"/>
    <w:link w:val="QuoteChar"/>
    <w:qFormat/>
    <w:rsid w:val="002B6D0F"/>
    <w:rPr>
      <w:b w:val="0"/>
      <w:sz w:val="72"/>
      <w:szCs w:val="72"/>
      <w:lang w:val="en-NZ"/>
    </w:rPr>
  </w:style>
  <w:style w:type="character" w:customStyle="1" w:styleId="QuoteChar">
    <w:name w:val="Quote Char"/>
    <w:basedOn w:val="DefaultParagraphFont"/>
    <w:link w:val="Quote"/>
    <w:rsid w:val="002B6D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D0F"/>
    <w:pPr>
      <w:pageBreakBefore/>
    </w:pPr>
  </w:style>
  <w:style w:type="paragraph" w:customStyle="1" w:styleId="Border">
    <w:name w:val="Border"/>
    <w:basedOn w:val="Normal"/>
    <w:qFormat/>
    <w:rsid w:val="002B6D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D0F"/>
    <w:rPr>
      <w:b/>
      <w:bCs/>
      <w:i/>
      <w:iCs/>
      <w:color w:val="auto"/>
    </w:rPr>
  </w:style>
  <w:style w:type="paragraph" w:styleId="IntenseQuote">
    <w:name w:val="Intense Quote"/>
    <w:basedOn w:val="Normal"/>
    <w:next w:val="Normal"/>
    <w:link w:val="IntenseQuoteChar"/>
    <w:uiPriority w:val="30"/>
    <w:qFormat/>
    <w:rsid w:val="002B6D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D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6D0F"/>
    <w:rPr>
      <w:smallCaps/>
      <w:color w:val="auto"/>
      <w:u w:val="single"/>
    </w:rPr>
  </w:style>
  <w:style w:type="character" w:styleId="IntenseReference">
    <w:name w:val="Intense Reference"/>
    <w:basedOn w:val="DefaultParagraphFont"/>
    <w:uiPriority w:val="32"/>
    <w:qFormat/>
    <w:rsid w:val="002B6D0F"/>
    <w:rPr>
      <w:b/>
      <w:bCs/>
      <w:smallCaps/>
      <w:color w:val="auto"/>
      <w:spacing w:val="5"/>
      <w:u w:val="single"/>
    </w:rPr>
  </w:style>
  <w:style w:type="paragraph" w:customStyle="1" w:styleId="2ColumnHeading">
    <w:name w:val="2Column Heading"/>
    <w:basedOn w:val="BodyText"/>
    <w:qFormat/>
    <w:rsid w:val="002B6D0F"/>
    <w:pPr>
      <w:spacing w:after="60"/>
      <w:ind w:left="-2268"/>
    </w:pPr>
    <w:rPr>
      <w:b/>
    </w:rPr>
  </w:style>
  <w:style w:type="paragraph" w:customStyle="1" w:styleId="Heading1TOC">
    <w:name w:val="Heading1 TOC"/>
    <w:basedOn w:val="Normal"/>
    <w:qFormat/>
    <w:rsid w:val="002B6D0F"/>
    <w:pPr>
      <w:spacing w:before="240" w:after="120"/>
    </w:pPr>
    <w:rPr>
      <w:rFonts w:ascii="Times New Roman" w:hAnsi="Times New Roman"/>
      <w:b/>
      <w:sz w:val="32"/>
    </w:rPr>
  </w:style>
  <w:style w:type="paragraph" w:customStyle="1" w:styleId="Heading2TOC">
    <w:name w:val="Heading2 TOC"/>
    <w:basedOn w:val="Normal"/>
    <w:qFormat/>
    <w:rsid w:val="002B6D0F"/>
    <w:pPr>
      <w:spacing w:before="240" w:after="60"/>
    </w:pPr>
    <w:rPr>
      <w:rFonts w:ascii="Times New Roman" w:hAnsi="Times New Roman"/>
      <w:b/>
      <w:sz w:val="28"/>
    </w:rPr>
  </w:style>
  <w:style w:type="character" w:customStyle="1" w:styleId="Underline">
    <w:name w:val="Underline"/>
    <w:basedOn w:val="DefaultParagraphFont"/>
    <w:qFormat/>
    <w:rsid w:val="002B6D0F"/>
    <w:rPr>
      <w:u w:val="single"/>
    </w:rPr>
  </w:style>
  <w:style w:type="character" w:customStyle="1" w:styleId="BoldandItalics">
    <w:name w:val="Bold and Italics"/>
    <w:qFormat/>
    <w:rsid w:val="002B6D0F"/>
    <w:rPr>
      <w:b/>
      <w:i/>
      <w:u w:val="none"/>
    </w:rPr>
  </w:style>
  <w:style w:type="paragraph" w:styleId="BalloonText">
    <w:name w:val="Balloon Text"/>
    <w:basedOn w:val="Normal"/>
    <w:link w:val="BalloonTextChar"/>
    <w:rsid w:val="002B6D0F"/>
    <w:rPr>
      <w:rFonts w:ascii="Tahoma" w:hAnsi="Tahoma" w:cs="Tahoma"/>
      <w:sz w:val="16"/>
      <w:szCs w:val="16"/>
    </w:rPr>
  </w:style>
  <w:style w:type="character" w:customStyle="1" w:styleId="BalloonTextChar">
    <w:name w:val="Balloon Text Char"/>
    <w:basedOn w:val="DefaultParagraphFont"/>
    <w:link w:val="BalloonText"/>
    <w:rsid w:val="002B6D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6D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6D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1358</Words>
  <Characters>8061</Characters>
  <Application>Microsoft Office Word</Application>
  <DocSecurity>0</DocSecurity>
  <Lines>325</Lines>
  <Paragraphs>152</Paragraphs>
  <ScaleCrop>false</ScaleCrop>
  <Company>Author-it Software Corporation Ltd.</Company>
  <LinksUpToDate>false</LinksUpToDate>
  <CharactersWithSpaces>9316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MSS017002A Determine process loss through mass or energy balancing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2012-05-26T18:41:00Z</dcterms:created>
  <dcterms:modified xsi:type="dcterms:W3CDTF">2012-05-26T18:41:00Z</dcterms:modified>
</cp:coreProperties>
</file>