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11A" w:rsidP="003841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MSS015016A Implement and monitor reengineering for sustainability</w:t>
      </w:r>
      <w:r>
        <w:fldChar w:fldCharType="end"/>
      </w:r>
    </w:p>
    <w:p w:rsidR="0038411A" w:rsidP="0038411A">
      <w:pPr>
        <w:pStyle w:val="Version"/>
        <w:sectPr w:rsidSect="00150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AD7" w:rsidP="00150AD7">
      <w:pPr>
        <w:pStyle w:val="SuperHeading"/>
      </w:pPr>
      <w:r w:rsidRPr="00150AD7">
        <w:t>MSS015016A Implement and monitor reengineering for sustainability</w:t>
      </w:r>
    </w:p>
    <w:p w:rsidR="00000000" w:rsidRPr="00150AD7" w:rsidP="00150AD7">
      <w:pPr>
        <w:pStyle w:val="Heading1"/>
      </w:pPr>
      <w:bookmarkStart w:id="1" w:name="O_340271"/>
      <w:bookmarkEnd w:id="1"/>
      <w:r w:rsidRPr="00150AD7">
        <w:t>Modification History</w:t>
      </w:r>
    </w:p>
    <w:p w:rsidR="00000000" w:rsidRPr="00150AD7" w:rsidP="00150AD7">
      <w:pPr>
        <w:pStyle w:val="BodyText"/>
      </w:pPr>
      <w:r w:rsidRPr="00150AD7">
        <w:t>Not applicable.</w:t>
      </w:r>
    </w:p>
    <w:p w:rsidR="00000000" w:rsidRPr="00150AD7" w:rsidP="00150AD7">
      <w:pPr>
        <w:pStyle w:val="AllowPageBreak"/>
      </w:pPr>
    </w:p>
    <w:p w:rsidR="00000000" w:rsidRPr="00150AD7" w:rsidP="00150AD7">
      <w:pPr>
        <w:pStyle w:val="Heading1"/>
      </w:pPr>
      <w:bookmarkStart w:id="2" w:name="O_340272"/>
      <w:bookmarkEnd w:id="2"/>
      <w:r w:rsidRPr="00150AD7">
        <w:t>Unit Descriptor</w:t>
      </w:r>
    </w:p>
    <w:p w:rsidR="00000000" w:rsidRPr="00150AD7" w:rsidP="00150AD7">
      <w:pPr>
        <w:pStyle w:val="BodyText"/>
      </w:pPr>
      <w:r w:rsidRPr="00150AD7">
        <w:t>This unit of competency covers identifying, implementing and monitoring a reengineering process to a</w:t>
      </w:r>
      <w:r w:rsidRPr="00150AD7">
        <w:t xml:space="preserve">chieve a sustainability improvement.  </w:t>
      </w:r>
    </w:p>
    <w:p w:rsidR="00000000" w:rsidRPr="00150AD7" w:rsidP="00150AD7">
      <w:pPr>
        <w:pStyle w:val="AllowPageBreak"/>
      </w:pPr>
    </w:p>
    <w:p w:rsidR="00000000" w:rsidRPr="00150AD7" w:rsidP="00150AD7">
      <w:pPr>
        <w:pStyle w:val="Heading1"/>
      </w:pPr>
      <w:bookmarkStart w:id="3" w:name="O_340273"/>
      <w:bookmarkEnd w:id="3"/>
      <w:r w:rsidRPr="00150AD7">
        <w:t>Application of the Unit</w:t>
      </w:r>
    </w:p>
    <w:p w:rsidR="00000000" w:rsidRPr="00150AD7" w:rsidP="00150AD7">
      <w:pPr>
        <w:pStyle w:val="BodyText"/>
      </w:pPr>
      <w:r w:rsidRPr="00150AD7">
        <w:t>This unit applies to production operations that have identified reengineering as a potential strategy for improving sustainability. Where a strategic review of sustainability i</w:t>
      </w:r>
      <w:r w:rsidRPr="00150AD7">
        <w:t>mprovement options is required, MSS015008A Develop strategic sustainability plans, should be selected.</w:t>
      </w:r>
    </w:p>
    <w:p w:rsidR="00000000" w:rsidRPr="00150AD7" w:rsidP="00150AD7">
      <w:pPr>
        <w:pStyle w:val="BodyText"/>
      </w:pPr>
      <w:r w:rsidRPr="00150AD7">
        <w:t>This unit includes the identification of the process for reengineering, the development of the sustainability objectives of the reengineering project, es</w:t>
      </w:r>
      <w:r w:rsidRPr="00150AD7">
        <w:t xml:space="preserve">tablishment of project objectives, implementation and evaluation. </w:t>
      </w:r>
    </w:p>
    <w:p w:rsidR="00000000" w:rsidRPr="00150AD7" w:rsidP="00150AD7">
      <w:pPr>
        <w:pStyle w:val="BodyText"/>
      </w:pPr>
      <w:r w:rsidRPr="00150AD7">
        <w:t xml:space="preserve">The reengineering project may involve consultations and participation by customers and suppliers in the value chain. </w:t>
      </w:r>
    </w:p>
    <w:p w:rsidR="00000000" w:rsidRPr="00150AD7" w:rsidP="00150AD7">
      <w:pPr>
        <w:pStyle w:val="BodyText"/>
      </w:pPr>
      <w:r w:rsidRPr="00150AD7">
        <w:t>It would typically be undertaken by a manager or technical specialist w</w:t>
      </w:r>
      <w:r w:rsidRPr="00150AD7">
        <w:t>ho had a major responsibility for sustainability as part of a broader work role, or sustainability may be their primary work responsibility. The manager or technical specialist may undertake this alone or as part of a team.</w:t>
      </w:r>
    </w:p>
    <w:p w:rsidR="00000000" w:rsidRPr="00150AD7" w:rsidP="00150AD7">
      <w:pPr>
        <w:pStyle w:val="BodyText"/>
      </w:pPr>
      <w:r w:rsidRPr="00150AD7">
        <w:t>The technical measurement of operational performance or measurement of emissions or other environmental impact is not covered by this unit.</w:t>
      </w:r>
    </w:p>
    <w:p w:rsidR="00000000" w:rsidRPr="00150AD7" w:rsidP="00150AD7">
      <w:pPr>
        <w:pStyle w:val="BodyText"/>
      </w:pPr>
      <w:r w:rsidRPr="00150AD7">
        <w:t>This unit does not supply the technical skills for undertaking the engineering alterations, such as installation, co</w:t>
      </w:r>
      <w:r w:rsidRPr="00150AD7">
        <w:t xml:space="preserve">mmissioning and operation of equipment.   </w:t>
      </w:r>
    </w:p>
    <w:p w:rsidR="00000000" w:rsidRPr="00150AD7" w:rsidP="00150AD7">
      <w:pPr>
        <w:pStyle w:val="AllowPageBreak"/>
      </w:pPr>
    </w:p>
    <w:p w:rsidR="00000000" w:rsidRPr="00150AD7" w:rsidP="00150AD7">
      <w:pPr>
        <w:pStyle w:val="Heading1"/>
      </w:pPr>
      <w:bookmarkStart w:id="4" w:name="O_340274"/>
      <w:bookmarkEnd w:id="4"/>
      <w:r w:rsidRPr="00150AD7">
        <w:t>Licensing/Regulatory Information</w:t>
      </w:r>
    </w:p>
    <w:p w:rsidR="00000000" w:rsidRPr="00150AD7" w:rsidP="00150AD7">
      <w:pPr>
        <w:pStyle w:val="BodyText"/>
      </w:pPr>
      <w:r w:rsidRPr="00150AD7">
        <w:t>Not applicable.</w:t>
      </w:r>
    </w:p>
    <w:p w:rsidR="00000000" w:rsidRPr="00150AD7" w:rsidP="00150AD7">
      <w:pPr>
        <w:pStyle w:val="AllowPageBreak"/>
      </w:pPr>
    </w:p>
    <w:p w:rsidR="00000000" w:rsidRPr="00150AD7" w:rsidP="00150AD7">
      <w:pPr>
        <w:pStyle w:val="Heading1"/>
      </w:pPr>
      <w:bookmarkStart w:id="5" w:name="O_340275"/>
      <w:bookmarkEnd w:id="5"/>
      <w:r w:rsidRPr="00150AD7">
        <w:t>Pre-Requisites</w:t>
      </w:r>
    </w:p>
    <w:p w:rsidR="00000000" w:rsidRPr="00150AD7" w:rsidP="00150AD7">
      <w:pPr>
        <w:pStyle w:val="BodyText"/>
      </w:pPr>
      <w:r w:rsidRPr="00150AD7">
        <w:t>Not applicable.</w:t>
      </w:r>
    </w:p>
    <w:p w:rsidR="00000000" w:rsidRPr="00150AD7" w:rsidP="00150AD7">
      <w:pPr>
        <w:pStyle w:val="AllowPageBreak"/>
      </w:pPr>
    </w:p>
    <w:p w:rsidR="00000000" w:rsidRPr="00150AD7" w:rsidP="00150AD7">
      <w:pPr>
        <w:pStyle w:val="Heading1"/>
      </w:pPr>
      <w:bookmarkStart w:id="6" w:name="O_340276"/>
      <w:bookmarkEnd w:id="6"/>
      <w:r w:rsidRPr="00150AD7">
        <w:t>Employability Skills Information</w:t>
      </w:r>
    </w:p>
    <w:p w:rsidR="00000000" w:rsidRPr="00150AD7" w:rsidP="00150AD7">
      <w:pPr>
        <w:pStyle w:val="BodyText"/>
      </w:pPr>
      <w:r w:rsidRPr="00150AD7">
        <w:t>THis unit contains employability skills</w:t>
      </w:r>
    </w:p>
    <w:p w:rsidR="00000000" w:rsidRPr="00150AD7" w:rsidP="00150AD7">
      <w:pPr>
        <w:pStyle w:val="AllowPageBreak"/>
      </w:pPr>
    </w:p>
    <w:p w:rsidR="00000000" w:rsidRPr="00150AD7" w:rsidP="00150AD7">
      <w:pPr>
        <w:pStyle w:val="Heading1"/>
      </w:pPr>
      <w:bookmarkStart w:id="7" w:name="O_340277"/>
      <w:bookmarkEnd w:id="7"/>
      <w:r w:rsidRPr="00150AD7">
        <w:t>Elements and Performance Criteria Pre-Content</w:t>
      </w:r>
    </w:p>
    <w:p w:rsidR="00000000" w:rsidRPr="00150AD7" w:rsidP="00150AD7">
      <w:pPr>
        <w:pStyle w:val="BodyText"/>
      </w:pPr>
      <w:r w:rsidRPr="00150AD7">
        <w:t>Not applicable.</w:t>
      </w:r>
    </w:p>
    <w:p w:rsidR="00000000" w:rsidRPr="00150AD7" w:rsidP="00150AD7">
      <w:pPr>
        <w:pStyle w:val="AllowPageBreak"/>
      </w:pPr>
    </w:p>
    <w:p w:rsidR="00000000" w:rsidRPr="00150AD7" w:rsidP="00150AD7">
      <w:pPr>
        <w:pStyle w:val="Heading1"/>
      </w:pPr>
      <w:bookmarkStart w:id="8" w:name="O_340278"/>
      <w:bookmarkEnd w:id="8"/>
      <w:r w:rsidRPr="00150AD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42"/>
        <w:gridCol w:w="2438"/>
        <w:gridCol w:w="577"/>
        <w:gridCol w:w="5539"/>
      </w:tblGrid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BodyText"/>
            </w:pPr>
            <w:r w:rsidRPr="00150AD7">
              <w:t>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BodyText"/>
            </w:pPr>
            <w:r w:rsidRPr="00150AD7">
              <w:t>Determine the need for reengineering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Choose a process for improvement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Analyse process performance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Compare reengineering approach with other process improvement methodologies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Confirm the need for reengineering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BodyText"/>
            </w:pPr>
            <w:r w:rsidRPr="00150AD7">
              <w:t>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BodyText"/>
            </w:pPr>
            <w:r w:rsidRPr="00150AD7">
              <w:t>Determine process objectives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Identify stakeholders in the process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Research and define perceived stakeholder benefit from process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Translate perceived benefits into product and process specifications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Collect current available metrics on process performance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Determine metrics for monitoring future sustainability related and other process performance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BodyText"/>
            </w:pPr>
            <w:r w:rsidRPr="00150AD7">
              <w:t>3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BodyText"/>
            </w:pPr>
            <w:r w:rsidRPr="00150AD7">
              <w:t>Facilitate reengineering study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Organise appointment of reengineering team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Determine impact on suppliers and customers during and after reengineering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Acquire required resources and authorities to proceed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Develop descriptions of alternative processes which will deliver required specifications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Short-list most likely alternatives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Evaluate short-listed alternatives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Rank evaluated short-listed alternatives by desirability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BodyText"/>
            </w:pPr>
            <w:r w:rsidRPr="00150AD7">
              <w:t>4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BodyText"/>
            </w:pPr>
            <w:r w:rsidRPr="00150AD7">
              <w:t>Implement preferred option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Select preferred option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Develop implementation plan for preferred option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Negotiate required resources with relevant stakeholders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Negotiate timelines and measures/indicators of success with change stakeholders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Acquire and deploy resources required to achieve agreed responses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Monitor implementation and take action as required to achieve required responses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Renegotiate with relevant stakeholders as necessary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BodyText"/>
            </w:pPr>
            <w:r w:rsidRPr="00150AD7">
              <w:t>5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BodyText"/>
            </w:pPr>
            <w:r w:rsidRPr="00150AD7">
              <w:t>Recommend further improvements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Measure improvements actually obtained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Identify non-compliances with planned improvements</w:t>
            </w:r>
          </w:p>
        </w:tc>
      </w:tr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BodyText"/>
            </w:pPr>
            <w:r w:rsidRPr="00150AD7">
              <w:t>Determine additional improvements desirable</w:t>
            </w:r>
          </w:p>
        </w:tc>
      </w:tr>
    </w:tbl>
    <w:p w:rsidR="00000000" w:rsidRPr="00150AD7" w:rsidP="00150AD7">
      <w:pPr>
        <w:pStyle w:val="BodyText"/>
      </w:pPr>
    </w:p>
    <w:p w:rsidR="00000000" w:rsidRPr="00150AD7" w:rsidP="00150AD7">
      <w:pPr>
        <w:pStyle w:val="AllowPageBreak"/>
      </w:pPr>
    </w:p>
    <w:p w:rsidR="00000000" w:rsidRPr="00150AD7" w:rsidP="00150AD7">
      <w:pPr>
        <w:pStyle w:val="Heading1"/>
      </w:pPr>
      <w:bookmarkStart w:id="9" w:name="O_340279"/>
      <w:bookmarkEnd w:id="9"/>
      <w:r w:rsidRPr="00150AD7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841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BodyText"/>
            </w:pPr>
            <w:r w:rsidRPr="00150AD7">
              <w:t>Required knowledge includes:</w:t>
            </w:r>
          </w:p>
          <w:p w:rsidR="00000000" w:rsidRPr="00150AD7" w:rsidP="00150AD7">
            <w:pPr>
              <w:pStyle w:val="ListBullet"/>
            </w:pPr>
            <w:r w:rsidRPr="00150AD7">
              <w:t>benchmarking</w:t>
            </w:r>
          </w:p>
          <w:p w:rsidR="00000000" w:rsidRPr="00150AD7" w:rsidP="00150AD7">
            <w:pPr>
              <w:pStyle w:val="ListBullet"/>
            </w:pPr>
            <w:r w:rsidRPr="00150AD7">
              <w:t>process analysis techniques</w:t>
            </w:r>
          </w:p>
          <w:p w:rsidR="00000000" w:rsidRPr="00150AD7" w:rsidP="00150AD7">
            <w:pPr>
              <w:pStyle w:val="ListBullet"/>
            </w:pPr>
            <w:r w:rsidRPr="00150AD7">
              <w:t>process improvement methodologies:</w:t>
            </w:r>
          </w:p>
          <w:p w:rsidR="00000000" w:rsidRPr="00150AD7" w:rsidP="00150AD7">
            <w:pPr>
              <w:pStyle w:val="ListBullet2"/>
            </w:pPr>
            <w:r w:rsidRPr="00150AD7">
              <w:t>kaizen</w:t>
            </w:r>
          </w:p>
          <w:p w:rsidR="00000000" w:rsidRPr="00150AD7" w:rsidP="00150AD7">
            <w:pPr>
              <w:pStyle w:val="ListBullet2"/>
            </w:pPr>
            <w:r w:rsidRPr="00150AD7">
              <w:t>kaizen blitz</w:t>
            </w:r>
          </w:p>
          <w:p w:rsidR="00000000" w:rsidRPr="00150AD7" w:rsidP="00150AD7">
            <w:pPr>
              <w:pStyle w:val="ListBullet2"/>
            </w:pPr>
            <w:r w:rsidRPr="00150AD7">
              <w:t>technical optimisation approaches</w:t>
            </w:r>
          </w:p>
          <w:p w:rsidR="00000000" w:rsidRPr="00150AD7" w:rsidP="00150AD7">
            <w:pPr>
              <w:pStyle w:val="ListBullet2"/>
            </w:pPr>
            <w:r w:rsidRPr="00150AD7">
              <w:t>reengineering</w:t>
            </w:r>
          </w:p>
          <w:p w:rsidR="00000000" w:rsidRPr="00150AD7" w:rsidP="00150AD7">
            <w:pPr>
              <w:pStyle w:val="ListBullet"/>
            </w:pPr>
            <w:r w:rsidRPr="00150AD7">
              <w:t>calculation of cost/benefit</w:t>
            </w:r>
          </w:p>
          <w:p w:rsidR="00000000" w:rsidRPr="00150AD7" w:rsidP="00150AD7">
            <w:pPr>
              <w:pStyle w:val="ListBullet"/>
            </w:pPr>
            <w:r w:rsidRPr="00150AD7">
              <w:t>brainstorming techniques</w:t>
            </w:r>
          </w:p>
          <w:p w:rsidR="00000000" w:rsidRPr="00150AD7" w:rsidP="00150AD7">
            <w:pPr>
              <w:pStyle w:val="ListBullet"/>
            </w:pPr>
            <w:r w:rsidRPr="00150AD7">
              <w:t>cost-benefit analysis techniques</w:t>
            </w:r>
          </w:p>
          <w:p w:rsidR="00000000" w:rsidRPr="00150AD7" w:rsidP="00150AD7">
            <w:pPr>
              <w:pStyle w:val="ListBullet"/>
            </w:pPr>
            <w:r w:rsidRPr="00150AD7">
              <w:t>project improvement planning/scheduling</w:t>
            </w:r>
          </w:p>
          <w:p w:rsidR="00000000" w:rsidRPr="00150AD7" w:rsidP="00150AD7">
            <w:pPr>
              <w:pStyle w:val="ListBullet"/>
            </w:pPr>
            <w:r w:rsidRPr="00150AD7">
              <w:t>process monitoring and critical measures</w:t>
            </w:r>
          </w:p>
          <w:p w:rsidR="00000000" w:rsidRPr="00150AD7" w:rsidP="00150AD7">
            <w:pPr>
              <w:pStyle w:val="ListBullet"/>
            </w:pPr>
            <w:r w:rsidRPr="00150AD7">
              <w:t>root cause analysis and other problem-solving techniques</w:t>
            </w:r>
          </w:p>
          <w:p w:rsidR="00000000" w:rsidRPr="00150AD7" w:rsidP="00150AD7">
            <w:pPr>
              <w:pStyle w:val="BodyText"/>
            </w:pPr>
            <w:r w:rsidRPr="00150AD7">
              <w:t>Required skills include:</w:t>
            </w:r>
          </w:p>
          <w:p w:rsidR="00000000" w:rsidRPr="00150AD7" w:rsidP="00150AD7">
            <w:pPr>
              <w:pStyle w:val="ListBullet"/>
            </w:pPr>
            <w:r w:rsidRPr="00150AD7">
              <w:t>communicating and negotiating with internal and external stakeholders</w:t>
            </w:r>
          </w:p>
          <w:p w:rsidR="00000000" w:rsidRPr="00150AD7" w:rsidP="00150AD7">
            <w:pPr>
              <w:pStyle w:val="ListBullet"/>
            </w:pPr>
            <w:r w:rsidRPr="00150AD7">
              <w:t>analysing equipment op</w:t>
            </w:r>
            <w:r w:rsidRPr="00150AD7">
              <w:t>eration and processes for sustainability impacts</w:t>
            </w:r>
          </w:p>
          <w:p w:rsidR="00000000" w:rsidRPr="00150AD7" w:rsidP="00150AD7">
            <w:pPr>
              <w:pStyle w:val="ListBullet"/>
            </w:pPr>
            <w:r w:rsidRPr="00150AD7">
              <w:t>brainstorming</w:t>
            </w:r>
          </w:p>
          <w:p w:rsidR="00000000" w:rsidRPr="00150AD7" w:rsidP="00150AD7">
            <w:pPr>
              <w:pStyle w:val="ListBullet"/>
            </w:pPr>
            <w:r w:rsidRPr="00150AD7">
              <w:t xml:space="preserve">planning implementation of a project </w:t>
            </w:r>
          </w:p>
          <w:p w:rsidR="00000000" w:rsidRPr="00150AD7" w:rsidP="00150AD7">
            <w:pPr>
              <w:pStyle w:val="ListBullet"/>
            </w:pPr>
            <w:r w:rsidRPr="00150AD7">
              <w:t>undertaking formal problem-solving processes</w:t>
            </w:r>
          </w:p>
          <w:p w:rsidR="00000000" w:rsidRPr="00150AD7" w:rsidP="00150AD7">
            <w:pPr>
              <w:pStyle w:val="BodyText"/>
            </w:pPr>
          </w:p>
        </w:tc>
      </w:tr>
    </w:tbl>
    <w:p w:rsidR="00000000" w:rsidRPr="00150AD7" w:rsidP="00150AD7">
      <w:pPr>
        <w:pStyle w:val="BodyText"/>
      </w:pPr>
    </w:p>
    <w:p w:rsidR="00000000" w:rsidRPr="00150AD7" w:rsidP="00150AD7">
      <w:pPr>
        <w:pStyle w:val="AllowPageBreak"/>
      </w:pPr>
    </w:p>
    <w:p w:rsidR="00000000" w:rsidRPr="00150AD7" w:rsidP="00150AD7">
      <w:pPr>
        <w:pStyle w:val="Heading1"/>
      </w:pPr>
      <w:bookmarkStart w:id="10" w:name="O_340280"/>
      <w:bookmarkEnd w:id="10"/>
      <w:r w:rsidRPr="00150AD7">
        <w:t>Evidence Guide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92"/>
        <w:gridCol w:w="5662"/>
      </w:tblGrid>
      <w:tr w:rsidTr="00150AD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Heading4"/>
            </w:pPr>
            <w:r w:rsidRPr="00150AD7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BodyText"/>
              <w:rPr>
                <w:lang w:val="en-NZ"/>
              </w:rPr>
            </w:pPr>
            <w:r w:rsidRPr="00150AD7">
              <w:t>A person who demonstrates competency in this</w:t>
            </w:r>
            <w:r w:rsidRPr="00150AD7">
              <w:t xml:space="preserve"> unit must be able to compare reengineering to other options for sustainability improvement, facilitate and implement a reengineering study and suggest further improvements.</w:t>
            </w:r>
          </w:p>
        </w:tc>
      </w:tr>
      <w:tr w:rsidTr="00150AD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Heading4"/>
            </w:pPr>
            <w:r w:rsidRPr="00150AD7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BodyText"/>
            </w:pPr>
            <w:r w:rsidRPr="00150AD7">
              <w:t>Assessors must be satisfied that the candidate can competently and consistently apply the skills covered in this unit of competency in new and different situations</w:t>
            </w:r>
            <w:r w:rsidRPr="00150AD7">
              <w:t xml:space="preserve"> and contexts. Critical aspects of assessment and evidence include:</w:t>
            </w:r>
          </w:p>
          <w:p w:rsidR="00000000" w:rsidRPr="00150AD7" w:rsidP="00150AD7">
            <w:pPr>
              <w:pStyle w:val="ListBullet"/>
            </w:pPr>
            <w:r w:rsidRPr="00150AD7">
              <w:t>comparing reengineering to other possible solutions to sustainability issues</w:t>
            </w:r>
          </w:p>
          <w:p w:rsidR="00000000" w:rsidRPr="00150AD7" w:rsidP="00150AD7">
            <w:pPr>
              <w:pStyle w:val="ListBullet"/>
            </w:pPr>
            <w:r w:rsidRPr="00150AD7">
              <w:t>understanding and collecting metrics on current and future process performance</w:t>
            </w:r>
          </w:p>
          <w:p w:rsidR="00000000" w:rsidRPr="00150AD7" w:rsidP="00150AD7">
            <w:pPr>
              <w:pStyle w:val="ListBullet"/>
            </w:pPr>
            <w:r w:rsidRPr="00150AD7">
              <w:t>implementing a reengineering pr</w:t>
            </w:r>
            <w:r w:rsidRPr="00150AD7">
              <w:t>ocess to achieve desired sustainability objectives</w:t>
            </w:r>
          </w:p>
          <w:p w:rsidR="00000000" w:rsidP="00150AD7">
            <w:pPr>
              <w:pStyle w:val="ListBullet"/>
              <w:rPr>
                <w:lang w:val="en-NZ"/>
              </w:rPr>
            </w:pPr>
            <w:r w:rsidRPr="00150AD7">
              <w:t>using of benefit/cost and brainstorming techniques appropriately.</w:t>
            </w:r>
          </w:p>
        </w:tc>
      </w:tr>
      <w:tr w:rsidTr="00150AD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Heading4"/>
            </w:pPr>
            <w:r w:rsidRPr="00150AD7"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ListBullet"/>
            </w:pPr>
            <w:r w:rsidRPr="00150AD7">
              <w:t>This unit of competency is to be assessed in the workplace or a simulated workplace envi</w:t>
            </w:r>
            <w:r w:rsidRPr="00150AD7">
              <w:t>ronment.</w:t>
            </w:r>
          </w:p>
          <w:p w:rsidR="00000000" w:rsidRPr="00150AD7" w:rsidP="00150AD7">
            <w:pPr>
              <w:pStyle w:val="ListBullet"/>
            </w:pPr>
            <w:r w:rsidRPr="00150AD7">
              <w:t>Assessment should emphasise a workplace context and procedures found in the candidate’s workplace.</w:t>
            </w:r>
          </w:p>
          <w:p w:rsidR="00000000" w:rsidRPr="00150AD7" w:rsidP="00150AD7">
            <w:pPr>
              <w:pStyle w:val="ListBullet"/>
            </w:pPr>
            <w:r w:rsidRPr="00150AD7">
              <w:t>This unit of competency may be assessed with other relevant units addressing sustainability at the enterprise level or other units requiring the exe</w:t>
            </w:r>
            <w:r w:rsidRPr="00150AD7">
              <w:t>rcise of the skills and knowledge covered by this unit.</w:t>
            </w:r>
          </w:p>
          <w:p w:rsidR="00000000" w:rsidP="00150AD7">
            <w:pPr>
              <w:pStyle w:val="ListBullet"/>
              <w:rPr>
                <w:lang w:val="en-NZ"/>
              </w:rPr>
            </w:pPr>
            <w:r w:rsidRPr="00150AD7">
              <w:t>The competencies covered by this unit would be demonstrated by an individual working alone or as part of a team.</w:t>
            </w:r>
          </w:p>
        </w:tc>
      </w:tr>
      <w:tr w:rsidTr="00150AD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Heading4"/>
            </w:pPr>
            <w:r w:rsidRPr="00150AD7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ListBullet"/>
            </w:pPr>
            <w:r w:rsidRPr="00150AD7">
              <w:t xml:space="preserve">In all cases, practical assessment should be supported by questions to assess underpinning knowledge and those aspects of competency which are difficult to assess directly. </w:t>
            </w:r>
          </w:p>
          <w:p w:rsidR="00000000" w:rsidRPr="00150AD7" w:rsidP="00150AD7">
            <w:pPr>
              <w:pStyle w:val="ListBullet"/>
            </w:pPr>
            <w:r w:rsidRPr="00150AD7">
              <w:t>Where applicable, reasonable adjustment must be made to work environments and trai</w:t>
            </w:r>
            <w:r w:rsidRPr="00150AD7">
              <w:t xml:space="preserve">ning situations to accommodate ethnicity, age, gender, demographics and disability. </w:t>
            </w:r>
          </w:p>
          <w:p w:rsidR="00000000" w:rsidP="00150AD7">
            <w:pPr>
              <w:pStyle w:val="ListBullet"/>
              <w:rPr>
                <w:lang w:val="en-NZ"/>
              </w:rPr>
            </w:pPr>
            <w:r w:rsidRPr="00150AD7">
              <w:t>The language, literacy and numeracy demands of assessment should not be greater than those required to undertake the unit of competency in a work-like environment.</w:t>
            </w:r>
          </w:p>
        </w:tc>
      </w:tr>
      <w:tr w:rsidTr="00150AD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Heading4"/>
            </w:pPr>
            <w:r w:rsidRPr="00150AD7">
              <w:t>Guidan</w:t>
            </w:r>
            <w:r w:rsidRPr="00150AD7">
              <w:t>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BodyText"/>
            </w:pPr>
          </w:p>
        </w:tc>
      </w:tr>
    </w:tbl>
    <w:p w:rsidR="00000000" w:rsidRPr="00150AD7" w:rsidP="00150AD7">
      <w:pPr>
        <w:pStyle w:val="BodyText"/>
      </w:pPr>
    </w:p>
    <w:p w:rsidR="00000000" w:rsidRPr="00150AD7" w:rsidP="00150AD7">
      <w:pPr>
        <w:pStyle w:val="AllowPageBreak"/>
      </w:pPr>
    </w:p>
    <w:p w:rsidR="00000000" w:rsidRPr="00150AD7" w:rsidP="00150AD7">
      <w:pPr>
        <w:pStyle w:val="Heading1"/>
      </w:pPr>
      <w:bookmarkStart w:id="11" w:name="O_340281"/>
      <w:bookmarkEnd w:id="11"/>
      <w:r w:rsidRPr="00150AD7">
        <w:t>Range Statement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92"/>
        <w:gridCol w:w="5662"/>
      </w:tblGrid>
      <w:tr w:rsidTr="00150AD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Heading4"/>
            </w:pPr>
            <w:r w:rsidRPr="00150AD7">
              <w:t>Process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TableBodyText"/>
            </w:pPr>
            <w:r w:rsidRPr="00150AD7">
              <w:t>Process may include:</w:t>
            </w:r>
          </w:p>
          <w:p w:rsidR="00000000" w:rsidP="00150AD7">
            <w:pPr>
              <w:pStyle w:val="ListBullet"/>
              <w:rPr>
                <w:lang w:val="en-NZ"/>
              </w:rPr>
            </w:pPr>
            <w:r w:rsidRPr="00150AD7">
              <w:t>any manufacturing, administrative, information technology or business process in a manufacturing value chain</w:t>
            </w:r>
          </w:p>
        </w:tc>
      </w:tr>
      <w:tr w:rsidTr="00150AD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Heading4"/>
            </w:pPr>
            <w:r w:rsidRPr="00150AD7">
              <w:t>Process performance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TableBodyText"/>
            </w:pPr>
            <w:r w:rsidRPr="00150AD7">
              <w:t>Process performance must include:</w:t>
            </w:r>
          </w:p>
          <w:p w:rsidR="00000000" w:rsidRPr="00150AD7" w:rsidP="00150AD7">
            <w:pPr>
              <w:pStyle w:val="ListBullet"/>
            </w:pPr>
            <w:r w:rsidRPr="00150AD7">
              <w:t>sustainability related performance and should also include other relevant performance measures</w:t>
            </w:r>
          </w:p>
          <w:p w:rsidR="00000000" w:rsidRPr="00150AD7" w:rsidP="00150AD7">
            <w:pPr>
              <w:pStyle w:val="TableBodyText"/>
            </w:pPr>
            <w:r w:rsidRPr="00150AD7">
              <w:t>Analysis may include:</w:t>
            </w:r>
          </w:p>
          <w:p w:rsidR="00000000" w:rsidRPr="00150AD7" w:rsidP="00150AD7">
            <w:pPr>
              <w:pStyle w:val="ListBullet"/>
            </w:pPr>
            <w:r w:rsidRPr="00150AD7">
              <w:t>benchmarking comparisons</w:t>
            </w:r>
          </w:p>
          <w:p w:rsidR="00000000" w:rsidRPr="00150AD7" w:rsidP="00150AD7">
            <w:pPr>
              <w:pStyle w:val="ListBullet"/>
            </w:pPr>
            <w:r w:rsidRPr="00150AD7">
              <w:t>comparison with theoretical performance</w:t>
            </w:r>
          </w:p>
          <w:p w:rsidR="00000000" w:rsidRPr="00150AD7" w:rsidP="00150AD7">
            <w:pPr>
              <w:pStyle w:val="ListBullet"/>
            </w:pPr>
            <w:r w:rsidRPr="00150AD7">
              <w:t>comparisons with regulatory requiremen</w:t>
            </w:r>
            <w:r w:rsidRPr="00150AD7">
              <w:t>ts</w:t>
            </w:r>
          </w:p>
          <w:p w:rsidR="00000000" w:rsidRPr="00150AD7" w:rsidP="00150AD7">
            <w:pPr>
              <w:pStyle w:val="ListBullet"/>
            </w:pPr>
            <w:r w:rsidRPr="00150AD7">
              <w:t xml:space="preserve">examination of operational and maintenance records </w:t>
            </w:r>
          </w:p>
          <w:p w:rsidR="00000000" w:rsidRPr="00150AD7" w:rsidP="00150AD7">
            <w:pPr>
              <w:pStyle w:val="ListBullet"/>
            </w:pPr>
            <w:r w:rsidRPr="00150AD7">
              <w:t>consultation with operational and maintenance staff to identify informal history (e.g. excessive effort in ‘work arounds’, and making it work in spite of the system)</w:t>
            </w:r>
          </w:p>
          <w:p w:rsidR="00000000" w:rsidRPr="00150AD7" w:rsidP="00150AD7">
            <w:pPr>
              <w:pStyle w:val="ListBullet"/>
            </w:pPr>
            <w:r w:rsidRPr="00150AD7">
              <w:t>conflicts in the organisation</w:t>
            </w:r>
          </w:p>
          <w:p w:rsidR="00000000" w:rsidRPr="00150AD7" w:rsidP="00150AD7">
            <w:pPr>
              <w:pStyle w:val="ListBullet"/>
            </w:pPr>
            <w:r w:rsidRPr="00150AD7">
              <w:t>an ex</w:t>
            </w:r>
            <w:r w:rsidRPr="00150AD7">
              <w:t>tremely high frequency of meetings</w:t>
            </w:r>
          </w:p>
          <w:p w:rsidR="00000000" w:rsidP="00150AD7">
            <w:pPr>
              <w:pStyle w:val="ListBullet"/>
              <w:rPr>
                <w:lang w:val="en-NZ"/>
              </w:rPr>
            </w:pPr>
            <w:r w:rsidRPr="00150AD7">
              <w:t>excessive use of non-structured communication (memos and emails)</w:t>
            </w:r>
          </w:p>
        </w:tc>
      </w:tr>
      <w:tr w:rsidTr="00150AD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Heading4"/>
            </w:pPr>
            <w:r w:rsidRPr="00150AD7">
              <w:t>Process improvement methodologies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TableBodyText"/>
            </w:pPr>
            <w:r w:rsidRPr="00150AD7">
              <w:t>Process improvement methodologies may include:</w:t>
            </w:r>
          </w:p>
          <w:p w:rsidR="00000000" w:rsidRPr="00150AD7" w:rsidP="00150AD7">
            <w:pPr>
              <w:pStyle w:val="ListBullet"/>
            </w:pPr>
            <w:r w:rsidRPr="00150AD7">
              <w:t>kaizen</w:t>
            </w:r>
          </w:p>
          <w:p w:rsidR="00000000" w:rsidRPr="00150AD7" w:rsidP="00150AD7">
            <w:pPr>
              <w:pStyle w:val="ListBullet"/>
            </w:pPr>
            <w:r w:rsidRPr="00150AD7">
              <w:t>kaizen blitz</w:t>
            </w:r>
          </w:p>
          <w:p w:rsidR="00000000" w:rsidRPr="00150AD7" w:rsidP="00150AD7">
            <w:pPr>
              <w:pStyle w:val="ListBullet"/>
            </w:pPr>
            <w:r w:rsidRPr="00150AD7">
              <w:t>technical optimisation approaches</w:t>
            </w:r>
          </w:p>
          <w:p w:rsidR="00000000" w:rsidP="00150AD7">
            <w:pPr>
              <w:pStyle w:val="ListBullet"/>
              <w:rPr>
                <w:lang w:val="en-NZ"/>
              </w:rPr>
            </w:pPr>
            <w:r w:rsidRPr="00150AD7">
              <w:t>reengineering, including new plant and equipment, modification of existing plant and equipment and changes to specification of product or process</w:t>
            </w:r>
          </w:p>
        </w:tc>
      </w:tr>
      <w:tr w:rsidTr="00150AD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Heading4"/>
            </w:pPr>
            <w:r w:rsidRPr="00150AD7">
              <w:t>Customer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TableBodyText"/>
            </w:pPr>
            <w:r w:rsidRPr="00150AD7">
              <w:t>Customer includes:</w:t>
            </w:r>
          </w:p>
          <w:p w:rsidR="00000000" w:rsidP="00150AD7">
            <w:pPr>
              <w:pStyle w:val="ListBullet"/>
              <w:rPr>
                <w:lang w:val="en-NZ"/>
              </w:rPr>
            </w:pPr>
            <w:r w:rsidRPr="00150AD7">
              <w:t>the user of what the process produces</w:t>
            </w:r>
          </w:p>
        </w:tc>
      </w:tr>
      <w:tr w:rsidTr="00150AD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Heading4"/>
            </w:pPr>
            <w:r w:rsidRPr="00150AD7">
              <w:t>Product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TableBodyText"/>
            </w:pPr>
            <w:r w:rsidRPr="00150AD7">
              <w:t>Product includes:</w:t>
            </w:r>
          </w:p>
          <w:p w:rsidR="00000000" w:rsidRPr="00150AD7" w:rsidP="00150AD7">
            <w:pPr>
              <w:pStyle w:val="ListBullet"/>
            </w:pPr>
            <w:r w:rsidRPr="00150AD7">
              <w:t>goods</w:t>
            </w:r>
          </w:p>
          <w:p w:rsidR="00000000" w:rsidP="00150AD7">
            <w:pPr>
              <w:pStyle w:val="ListBullet"/>
              <w:rPr>
                <w:lang w:val="en-NZ"/>
              </w:rPr>
            </w:pPr>
            <w:r w:rsidRPr="00150AD7">
              <w:t>services</w:t>
            </w:r>
          </w:p>
        </w:tc>
      </w:tr>
      <w:tr w:rsidTr="00150AD7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D7">
            <w:pPr>
              <w:pStyle w:val="Heading4"/>
            </w:pPr>
            <w:r w:rsidRPr="00150AD7">
              <w:t>Desirability ranking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D7" w:rsidP="00150AD7">
            <w:pPr>
              <w:pStyle w:val="TableBodyText"/>
            </w:pPr>
            <w:r w:rsidRPr="00150AD7">
              <w:t>Desirability ranking includes:</w:t>
            </w:r>
          </w:p>
          <w:p w:rsidR="00000000" w:rsidRPr="00150AD7" w:rsidP="00150AD7">
            <w:pPr>
              <w:pStyle w:val="ListBullet"/>
            </w:pPr>
            <w:r w:rsidRPr="00150AD7">
              <w:t>direct dollar benefit/cost</w:t>
            </w:r>
          </w:p>
          <w:p w:rsidR="00000000" w:rsidRPr="00150AD7" w:rsidP="00150AD7">
            <w:pPr>
              <w:pStyle w:val="ListBullet"/>
            </w:pPr>
            <w:r w:rsidRPr="00150AD7">
              <w:t>customer benefits</w:t>
            </w:r>
          </w:p>
          <w:p w:rsidR="00000000" w:rsidRPr="00150AD7" w:rsidP="00150AD7">
            <w:pPr>
              <w:pStyle w:val="ListBullet"/>
            </w:pPr>
            <w:r w:rsidRPr="00150AD7">
              <w:t>stakeholder perception:</w:t>
            </w:r>
          </w:p>
          <w:p w:rsidR="00000000" w:rsidRPr="00150AD7" w:rsidP="00150AD7">
            <w:pPr>
              <w:pStyle w:val="ListBullet2"/>
            </w:pPr>
            <w:r w:rsidRPr="00150AD7">
              <w:t>shareholders</w:t>
            </w:r>
          </w:p>
          <w:p w:rsidR="00000000" w:rsidRPr="00150AD7" w:rsidP="00150AD7">
            <w:pPr>
              <w:pStyle w:val="ListBullet2"/>
            </w:pPr>
            <w:r w:rsidRPr="00150AD7">
              <w:t>employees</w:t>
            </w:r>
          </w:p>
          <w:p w:rsidR="00000000" w:rsidRPr="00150AD7" w:rsidP="00150AD7">
            <w:pPr>
              <w:pStyle w:val="ListBullet2"/>
            </w:pPr>
            <w:r w:rsidRPr="00150AD7">
              <w:t>community</w:t>
            </w:r>
          </w:p>
          <w:p w:rsidR="00000000" w:rsidRPr="00150AD7" w:rsidP="00150AD7">
            <w:pPr>
              <w:pStyle w:val="ListBullet2"/>
            </w:pPr>
            <w:r w:rsidRPr="00150AD7">
              <w:t>regulators</w:t>
            </w:r>
          </w:p>
          <w:p w:rsidR="00000000" w:rsidRPr="00150AD7" w:rsidP="00150AD7">
            <w:pPr>
              <w:pStyle w:val="ListBullet2"/>
            </w:pPr>
            <w:r w:rsidRPr="00150AD7">
              <w:t>financial community</w:t>
            </w:r>
          </w:p>
          <w:p w:rsidR="00000000" w:rsidRPr="00150AD7" w:rsidP="00150AD7">
            <w:pPr>
              <w:pStyle w:val="ListBullet2"/>
            </w:pPr>
            <w:r w:rsidRPr="00150AD7">
              <w:t>other</w:t>
            </w:r>
          </w:p>
          <w:p w:rsidR="00000000" w:rsidRPr="00150AD7" w:rsidP="00150AD7">
            <w:pPr>
              <w:pStyle w:val="ListBullet"/>
            </w:pPr>
            <w:r w:rsidRPr="00150AD7">
              <w:t>life cycle improvements</w:t>
            </w:r>
          </w:p>
          <w:p w:rsidR="00000000" w:rsidRPr="00150AD7" w:rsidP="00150AD7">
            <w:pPr>
              <w:pStyle w:val="ListBullet"/>
            </w:pPr>
            <w:r w:rsidRPr="00150AD7">
              <w:t>flexibility to adapt to future needs</w:t>
            </w:r>
          </w:p>
        </w:tc>
      </w:tr>
    </w:tbl>
    <w:p w:rsidR="00000000" w:rsidRPr="00150AD7" w:rsidP="00150AD7">
      <w:pPr>
        <w:pStyle w:val="BodyText"/>
      </w:pPr>
    </w:p>
    <w:p w:rsidR="00000000" w:rsidRPr="00150AD7" w:rsidP="00150AD7">
      <w:pPr>
        <w:pStyle w:val="AllowPageBreak"/>
      </w:pPr>
    </w:p>
    <w:p w:rsidR="00000000" w:rsidRPr="00150AD7" w:rsidP="00150AD7">
      <w:pPr>
        <w:pStyle w:val="Heading1"/>
      </w:pPr>
      <w:bookmarkStart w:id="12" w:name="O_340282"/>
      <w:bookmarkEnd w:id="12"/>
      <w:r w:rsidRPr="00150AD7">
        <w:t>Unit Sector(s)</w:t>
      </w:r>
    </w:p>
    <w:p w:rsidR="00000000" w:rsidRPr="00150AD7" w:rsidP="00150AD7">
      <w:pPr>
        <w:pStyle w:val="BodyText"/>
      </w:pPr>
      <w:r w:rsidRPr="00150AD7">
        <w:t>Sustainability</w:t>
      </w:r>
    </w:p>
    <w:p w:rsidR="00000000" w:rsidRPr="00150AD7" w:rsidP="00150AD7">
      <w:pPr>
        <w:pStyle w:val="AllowPageBreak"/>
      </w:pPr>
    </w:p>
    <w:p w:rsidR="00000000" w:rsidRPr="00150AD7" w:rsidP="00150AD7">
      <w:pPr>
        <w:pStyle w:val="Heading1"/>
      </w:pPr>
      <w:bookmarkStart w:id="13" w:name="O_340283"/>
      <w:bookmarkEnd w:id="13"/>
      <w:r w:rsidRPr="00150AD7">
        <w:t>Custom Content Section</w:t>
      </w:r>
    </w:p>
    <w:p w:rsidR="00000000" w:rsidRPr="00150AD7" w:rsidP="00150AD7">
      <w:pPr>
        <w:pStyle w:val="BodyText"/>
      </w:pPr>
      <w:r w:rsidRPr="00150AD7">
        <w:t>Not applicable.</w:t>
      </w:r>
    </w:p>
    <w:p w:rsidR="00000000" w:rsidRPr="00150AD7" w:rsidP="00150AD7"/>
    <w:sectPr w:rsidSect="00150A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411A" w:rsidP="003841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11A" w:rsidP="00150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411A" w:rsidP="00150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8411A" w:rsidP="00150AD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411A" w:rsidP="0038411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11A" w:rsidP="00150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MSS015016A Implement and monitor reengineering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8411A" w:rsidP="00150AD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FAFC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FA64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90CC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50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AD7"/>
  </w:style>
  <w:style w:type="character" w:customStyle="1" w:styleId="Heading1Char">
    <w:name w:val="Heading 1 Char"/>
    <w:basedOn w:val="DefaultParagraphFont"/>
    <w:link w:val="Heading1"/>
    <w:rsid w:val="00150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AD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50A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AD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50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AD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50AD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0AD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50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50AD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50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50AD7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150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AD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50AD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50AD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50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50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A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A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0AD7"/>
    <w:rPr>
      <w:b/>
      <w:spacing w:val="0"/>
    </w:rPr>
  </w:style>
  <w:style w:type="paragraph" w:customStyle="1" w:styleId="SuperTitle">
    <w:name w:val="SuperTitle"/>
    <w:basedOn w:val="Title"/>
    <w:rsid w:val="00150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0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AD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50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A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AD7"/>
    <w:rPr>
      <w:i/>
    </w:rPr>
  </w:style>
  <w:style w:type="paragraph" w:styleId="Caption">
    <w:name w:val="caption"/>
    <w:basedOn w:val="BodyText"/>
    <w:next w:val="Normal"/>
    <w:qFormat/>
    <w:rsid w:val="00150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AD7"/>
  </w:style>
  <w:style w:type="paragraph" w:styleId="TableofFigures">
    <w:name w:val="table of figures"/>
    <w:basedOn w:val="Normal"/>
    <w:next w:val="Normal"/>
    <w:semiHidden/>
    <w:rsid w:val="00150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AD7"/>
    <w:pPr>
      <w:numPr>
        <w:numId w:val="11"/>
      </w:numPr>
    </w:pPr>
  </w:style>
  <w:style w:type="character" w:customStyle="1" w:styleId="WingdingSymbols">
    <w:name w:val="Wingding Symbols"/>
    <w:rsid w:val="00150AD7"/>
    <w:rPr>
      <w:rFonts w:ascii="Wingdings" w:hAnsi="Wingdings"/>
    </w:rPr>
  </w:style>
  <w:style w:type="paragraph" w:customStyle="1" w:styleId="TableHeading">
    <w:name w:val="Table Heading"/>
    <w:basedOn w:val="HeadingBase"/>
    <w:rsid w:val="00150A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AD7"/>
    <w:rPr>
      <w:color w:val="0033CC"/>
      <w:u w:val="none"/>
    </w:rPr>
  </w:style>
  <w:style w:type="paragraph" w:customStyle="1" w:styleId="BodyTextRight">
    <w:name w:val="Body Text Right"/>
    <w:basedOn w:val="BodyText"/>
    <w:rsid w:val="00150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A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AD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50AD7"/>
    <w:rPr>
      <w:sz w:val="32"/>
    </w:rPr>
  </w:style>
  <w:style w:type="paragraph" w:customStyle="1" w:styleId="HeadingProcedure">
    <w:name w:val="Heading Procedure"/>
    <w:basedOn w:val="HeadingBase"/>
    <w:next w:val="Normal"/>
    <w:rsid w:val="00150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50AD7"/>
    <w:pPr>
      <w:ind w:firstLine="0"/>
    </w:pPr>
  </w:style>
  <w:style w:type="paragraph" w:customStyle="1" w:styleId="ListNote">
    <w:name w:val="List Note"/>
    <w:basedOn w:val="List"/>
    <w:rsid w:val="00150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AD7"/>
    <w:rPr>
      <w:rFonts w:ascii="Courier New" w:hAnsi="Courier New"/>
    </w:rPr>
  </w:style>
  <w:style w:type="paragraph" w:customStyle="1" w:styleId="NoteBullet">
    <w:name w:val="Note Bullet"/>
    <w:basedOn w:val="Note"/>
    <w:rsid w:val="00150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A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0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AD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50AD7"/>
    <w:rPr>
      <w:b/>
      <w:smallCaps/>
    </w:rPr>
  </w:style>
  <w:style w:type="paragraph" w:customStyle="1" w:styleId="TableListNumber">
    <w:name w:val="Table List Number"/>
    <w:basedOn w:val="ListNumber"/>
    <w:rsid w:val="00150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AD7"/>
    <w:pPr>
      <w:numPr>
        <w:numId w:val="9"/>
      </w:numPr>
    </w:pPr>
  </w:style>
  <w:style w:type="paragraph" w:customStyle="1" w:styleId="ListAlpha2">
    <w:name w:val="List Alpha 2"/>
    <w:basedOn w:val="List2"/>
    <w:rsid w:val="00150AD7"/>
    <w:pPr>
      <w:numPr>
        <w:numId w:val="8"/>
      </w:numPr>
    </w:pPr>
  </w:style>
  <w:style w:type="paragraph" w:styleId="List2">
    <w:name w:val="List 2"/>
    <w:basedOn w:val="BodyText"/>
    <w:rsid w:val="00150A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A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AD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AD7"/>
    <w:pPr>
      <w:numPr>
        <w:numId w:val="3"/>
      </w:numPr>
    </w:pPr>
  </w:style>
  <w:style w:type="paragraph" w:styleId="ListBullet5">
    <w:name w:val="List Bullet 5"/>
    <w:basedOn w:val="List5"/>
    <w:rsid w:val="00150AD7"/>
    <w:pPr>
      <w:numPr>
        <w:numId w:val="4"/>
      </w:numPr>
    </w:pPr>
  </w:style>
  <w:style w:type="paragraph" w:styleId="ListContinue2">
    <w:name w:val="List Continue 2"/>
    <w:basedOn w:val="List2"/>
    <w:rsid w:val="00150AD7"/>
    <w:pPr>
      <w:ind w:firstLine="0"/>
    </w:pPr>
  </w:style>
  <w:style w:type="paragraph" w:styleId="ListContinue3">
    <w:name w:val="List Continue 3"/>
    <w:basedOn w:val="List3"/>
    <w:rsid w:val="00150AD7"/>
    <w:pPr>
      <w:ind w:left="1021" w:firstLine="0"/>
    </w:pPr>
  </w:style>
  <w:style w:type="paragraph" w:styleId="ListContinue4">
    <w:name w:val="List Continue 4"/>
    <w:basedOn w:val="List4"/>
    <w:rsid w:val="00150AD7"/>
    <w:pPr>
      <w:ind w:firstLine="0"/>
    </w:pPr>
  </w:style>
  <w:style w:type="paragraph" w:styleId="ListContinue5">
    <w:name w:val="List Continue 5"/>
    <w:basedOn w:val="List5"/>
    <w:rsid w:val="00150AD7"/>
    <w:pPr>
      <w:ind w:firstLine="0"/>
    </w:pPr>
  </w:style>
  <w:style w:type="paragraph" w:styleId="ListNumber3">
    <w:name w:val="List Number 3"/>
    <w:basedOn w:val="List3"/>
    <w:rsid w:val="00150AD7"/>
    <w:pPr>
      <w:numPr>
        <w:numId w:val="5"/>
      </w:numPr>
    </w:pPr>
  </w:style>
  <w:style w:type="paragraph" w:styleId="ListNumber4">
    <w:name w:val="List Number 4"/>
    <w:basedOn w:val="List4"/>
    <w:rsid w:val="00150AD7"/>
    <w:pPr>
      <w:numPr>
        <w:numId w:val="6"/>
      </w:numPr>
    </w:pPr>
  </w:style>
  <w:style w:type="paragraph" w:styleId="ListNumber5">
    <w:name w:val="List Number 5"/>
    <w:basedOn w:val="List5"/>
    <w:rsid w:val="00150AD7"/>
    <w:pPr>
      <w:numPr>
        <w:numId w:val="7"/>
      </w:numPr>
    </w:pPr>
  </w:style>
  <w:style w:type="paragraph" w:styleId="BlockText">
    <w:name w:val="Block Text"/>
    <w:basedOn w:val="Normal"/>
    <w:rsid w:val="00150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AD7"/>
    <w:rPr>
      <w:sz w:val="16"/>
      <w:vertAlign w:val="superscript"/>
    </w:rPr>
  </w:style>
  <w:style w:type="character" w:customStyle="1" w:styleId="Symbols">
    <w:name w:val="Symbols"/>
    <w:basedOn w:val="DefaultParagraphFont"/>
    <w:rsid w:val="00150AD7"/>
    <w:rPr>
      <w:rFonts w:ascii="Symbol" w:hAnsi="Symbol"/>
    </w:rPr>
  </w:style>
  <w:style w:type="character" w:customStyle="1" w:styleId="MenuOptions">
    <w:name w:val="Menu Options"/>
    <w:basedOn w:val="DefaultParagraphFont"/>
    <w:rsid w:val="00150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AD7"/>
    <w:rPr>
      <w:b/>
    </w:rPr>
  </w:style>
  <w:style w:type="character" w:customStyle="1" w:styleId="Underlined">
    <w:name w:val="Underlined"/>
    <w:basedOn w:val="DefaultParagraphFont"/>
    <w:rsid w:val="00150AD7"/>
    <w:rPr>
      <w:u w:val="single"/>
    </w:rPr>
  </w:style>
  <w:style w:type="paragraph" w:customStyle="1" w:styleId="TableBodyTextRight">
    <w:name w:val="Table Body Text Right"/>
    <w:basedOn w:val="TableBodyText"/>
    <w:rsid w:val="00150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AD7"/>
    <w:rPr>
      <w:sz w:val="18"/>
    </w:rPr>
  </w:style>
  <w:style w:type="paragraph" w:customStyle="1" w:styleId="BodySmallRight">
    <w:name w:val="Body Small Right"/>
    <w:basedOn w:val="BodyTextRight"/>
    <w:rsid w:val="00150AD7"/>
    <w:rPr>
      <w:sz w:val="18"/>
      <w:szCs w:val="18"/>
    </w:rPr>
  </w:style>
  <w:style w:type="paragraph" w:customStyle="1" w:styleId="MarginEdition">
    <w:name w:val="Margin Edition"/>
    <w:basedOn w:val="MarginNote"/>
    <w:rsid w:val="00150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AD7"/>
    <w:rPr>
      <w:sz w:val="2"/>
      <w:szCs w:val="2"/>
    </w:rPr>
  </w:style>
  <w:style w:type="character" w:customStyle="1" w:styleId="Small">
    <w:name w:val="Small"/>
    <w:basedOn w:val="DefaultParagraphFont"/>
    <w:rsid w:val="00150AD7"/>
    <w:rPr>
      <w:sz w:val="16"/>
    </w:rPr>
  </w:style>
  <w:style w:type="paragraph" w:customStyle="1" w:styleId="WideTable">
    <w:name w:val="Wide Table"/>
    <w:basedOn w:val="Normal"/>
    <w:rsid w:val="00150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AD7"/>
  </w:style>
  <w:style w:type="paragraph" w:styleId="Quote">
    <w:name w:val="Quote"/>
    <w:basedOn w:val="Heading1"/>
    <w:link w:val="QuoteChar"/>
    <w:qFormat/>
    <w:rsid w:val="00150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AD7"/>
    <w:pPr>
      <w:pageBreakBefore/>
    </w:pPr>
  </w:style>
  <w:style w:type="paragraph" w:customStyle="1" w:styleId="Border">
    <w:name w:val="Border"/>
    <w:basedOn w:val="Normal"/>
    <w:qFormat/>
    <w:rsid w:val="00150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AD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50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AD7"/>
    <w:rPr>
      <w:u w:val="single"/>
    </w:rPr>
  </w:style>
  <w:style w:type="character" w:customStyle="1" w:styleId="BoldandItalics">
    <w:name w:val="Bold and Italics"/>
    <w:qFormat/>
    <w:rsid w:val="00150AD7"/>
    <w:rPr>
      <w:b/>
      <w:i/>
      <w:u w:val="none"/>
    </w:rPr>
  </w:style>
  <w:style w:type="paragraph" w:styleId="BalloonText">
    <w:name w:val="Balloon Text"/>
    <w:basedOn w:val="Normal"/>
    <w:link w:val="BalloonTextChar"/>
    <w:rsid w:val="00150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AD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50A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AD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991</Words>
  <Characters>6756</Characters>
  <Application>Microsoft Office Word</Application>
  <DocSecurity>0</DocSecurity>
  <Lines>300</Lines>
  <Paragraphs>171</Paragraphs>
  <ScaleCrop>false</ScaleCrop>
  <Company>Author-it Software Corporation Ltd.</Company>
  <LinksUpToDate>false</LinksUpToDate>
  <CharactersWithSpaces>7643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MSS015016A Implement and monitor reengineering for sustainability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2012-05-26T18:41:00Z</dcterms:created>
  <dcterms:modified xsi:type="dcterms:W3CDTF">2012-05-26T18:41:00Z</dcterms:modified>
</cp:coreProperties>
</file>