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B38" w:rsidP="00FB3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MSS015011A Conduct a sustainability energy audit</w:t>
      </w:r>
      <w:r>
        <w:fldChar w:fldCharType="end"/>
      </w:r>
    </w:p>
    <w:p w:rsidR="00FB3B38" w:rsidP="00FB3B38">
      <w:pPr>
        <w:pStyle w:val="Version"/>
        <w:sectPr w:rsidSect="009324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4D5" w:rsidP="009324D5">
      <w:pPr>
        <w:pStyle w:val="SuperHeading"/>
      </w:pPr>
      <w:r w:rsidRPr="009324D5">
        <w:t>MSS015011A Conduct a sustainability energy audit</w:t>
      </w:r>
    </w:p>
    <w:p w:rsidR="00000000" w:rsidRPr="009324D5" w:rsidP="009324D5">
      <w:pPr>
        <w:pStyle w:val="Heading1"/>
      </w:pPr>
      <w:bookmarkStart w:id="1" w:name="O_340091"/>
      <w:bookmarkEnd w:id="1"/>
      <w:r w:rsidRPr="009324D5">
        <w:t>Modification History</w:t>
      </w:r>
    </w:p>
    <w:p w:rsidR="00000000" w:rsidRPr="009324D5" w:rsidP="009324D5">
      <w:pPr>
        <w:pStyle w:val="BodyText"/>
      </w:pPr>
      <w:r w:rsidRPr="009324D5">
        <w:t>Not applicable.</w:t>
      </w: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2" w:name="O_340092"/>
      <w:bookmarkEnd w:id="2"/>
      <w:r w:rsidRPr="009324D5">
        <w:t>Unit Descriptor</w:t>
      </w:r>
    </w:p>
    <w:p w:rsidR="00000000" w:rsidRPr="009324D5" w:rsidP="009324D5">
      <w:pPr>
        <w:pStyle w:val="BodyText"/>
      </w:pPr>
      <w:r w:rsidRPr="009324D5">
        <w:t xml:space="preserve">This unit of competency covers conducting an audit for the specific resource of energy in an organisation or part or </w:t>
      </w:r>
      <w:r w:rsidRPr="009324D5">
        <w:t>all of its value chain and to prepare recommendations for a reduction of, and more efficient use of, energy.</w:t>
      </w: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3" w:name="O_340093"/>
      <w:bookmarkEnd w:id="3"/>
      <w:r w:rsidRPr="009324D5">
        <w:t>Application of the Unit</w:t>
      </w:r>
    </w:p>
    <w:p w:rsidR="00000000" w:rsidRPr="009324D5" w:rsidP="009324D5">
      <w:pPr>
        <w:pStyle w:val="BodyText"/>
      </w:pPr>
      <w:r w:rsidRPr="009324D5">
        <w:t>This unit applies inside organisations and their value chains. The unit has been developed with manufactur</w:t>
      </w:r>
      <w:r w:rsidRPr="009324D5">
        <w:t>ing operations as a focus. However, because of the range of organisations in a typical manufacturing value chain it may also be applied to other types of organisations (e.g. supplier of goods or services or a customer).</w:t>
      </w:r>
    </w:p>
    <w:p w:rsidR="00000000" w:rsidRPr="009324D5" w:rsidP="009324D5">
      <w:pPr>
        <w:pStyle w:val="BodyText"/>
      </w:pPr>
      <w:r w:rsidRPr="009324D5">
        <w:t>The energy audit may be conducted to</w:t>
      </w:r>
      <w:r w:rsidRPr="009324D5">
        <w:t xml:space="preserve"> assist in regulatory compliance or as part of a strategy to improve the sustainability of manufacturing operations. The emphasis in the unit is on informing decision making in regards to energy use in a value chain or site. Where complex electrical and ot</w:t>
      </w:r>
      <w:r w:rsidRPr="009324D5">
        <w:t>her energy analysis skills are required appropriate units should be selected from the MEM05 Metal and Engineering Training Package.</w:t>
      </w:r>
    </w:p>
    <w:p w:rsidR="00000000" w:rsidRPr="009324D5" w:rsidP="009324D5">
      <w:pPr>
        <w:pStyle w:val="BodyText"/>
      </w:pPr>
      <w:r w:rsidRPr="009324D5">
        <w:t>It would typically be undertaken by a manager or technical specialist who had a major responsibility for sustainability as p</w:t>
      </w:r>
      <w:r w:rsidRPr="009324D5">
        <w:t>art of a broader work role, or sustainability may be their primary work responsibility. The manager or technical specialist may undertake this alone or as part of a team.</w:t>
      </w:r>
    </w:p>
    <w:p w:rsidR="00000000" w:rsidRPr="009324D5" w:rsidP="009324D5">
      <w:pPr>
        <w:pStyle w:val="BodyText"/>
      </w:pPr>
      <w:r w:rsidRPr="009324D5">
        <w:t>The technical measurement of operational performance or measurement of emissions or o</w:t>
      </w:r>
      <w:r w:rsidRPr="009324D5">
        <w:t>ther environmental impact is not covered by this unit. However, there is a requirement to present and organise data. The complexity of this requirement will vary according to the type and scale of the organisation’s processes. Where required, appropriate m</w:t>
      </w:r>
      <w:r w:rsidRPr="009324D5">
        <w:t>athematics and statistics units should be selected from the MEM05 Metal and Engineering Training Package or other appropriate Training Package.</w:t>
      </w: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4" w:name="O_340094"/>
      <w:bookmarkEnd w:id="4"/>
      <w:r w:rsidRPr="009324D5">
        <w:t>Licensing/Regulatory Information</w:t>
      </w:r>
    </w:p>
    <w:p w:rsidR="00000000" w:rsidRPr="009324D5" w:rsidP="009324D5">
      <w:pPr>
        <w:pStyle w:val="BodyText"/>
      </w:pPr>
      <w:r w:rsidRPr="009324D5">
        <w:t>Not applicable.</w:t>
      </w: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5" w:name="O_340095"/>
      <w:bookmarkEnd w:id="5"/>
      <w:r w:rsidRPr="009324D5">
        <w:t>Pre-Requisites</w:t>
      </w:r>
    </w:p>
    <w:p w:rsidR="00000000" w:rsidRPr="009324D5" w:rsidP="009324D5">
      <w:pPr>
        <w:pStyle w:val="BodyText"/>
      </w:pPr>
      <w:r w:rsidRPr="009324D5">
        <w:t>Not applicable.</w:t>
      </w: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6" w:name="O_340096"/>
      <w:bookmarkEnd w:id="6"/>
      <w:r w:rsidRPr="009324D5">
        <w:t>Employability Skills Information</w:t>
      </w:r>
    </w:p>
    <w:p w:rsidR="00000000" w:rsidRPr="009324D5" w:rsidP="009324D5">
      <w:pPr>
        <w:pStyle w:val="BodyText"/>
      </w:pPr>
      <w:r w:rsidRPr="009324D5">
        <w:t>THis unit contains employability skills</w:t>
      </w: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7" w:name="O_340097"/>
      <w:bookmarkEnd w:id="7"/>
      <w:r w:rsidRPr="009324D5">
        <w:t>Elements and Performance Criteria Pre-Content</w:t>
      </w:r>
    </w:p>
    <w:p w:rsidR="00000000" w:rsidRPr="009324D5" w:rsidP="009324D5">
      <w:pPr>
        <w:pStyle w:val="BodyText"/>
      </w:pPr>
      <w:r w:rsidRPr="009324D5">
        <w:t>Not applicable.</w:t>
      </w: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8" w:name="O_340098"/>
      <w:bookmarkEnd w:id="8"/>
      <w:r w:rsidRPr="009324D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77"/>
        <w:gridCol w:w="2502"/>
        <w:gridCol w:w="513"/>
        <w:gridCol w:w="5604"/>
      </w:tblGrid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Identify all sources and uses of energy in process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Identify all sources of energy external to the site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Identify all sources of energy within the site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 xml:space="preserve">Identify all uses of energy by process unit 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Identify energy type and intensity required by each process unit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Calculate theoretical use of energy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 xml:space="preserve">Calculate theoretical net use of energy by type and intensity for each process unit 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Calculate overall energy balance for process/site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Evaluate the need for energy consumption by process and units within the process compared to alternative processes/units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Measure actual use of energy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Determine actual net energy use for overall process/site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 xml:space="preserve">Determine actual net energy use for each process unit 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Calculate difference between theoretical and actual energy use by unit and overall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 xml:space="preserve">Identify actual energy type used by each process unit 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4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Develop strategies for reducing the use of en</w:t>
            </w:r>
            <w:r w:rsidRPr="009324D5">
              <w:t>ergy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Rank units by difference between theoretical and actual energy use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Rank units by actual energy use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Identify units using higher intensity energy than required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Develop strategies to reduce energy consumption and/or use lower intensity energy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5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Prepare a recommendation for an energy use reduction strategy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Consult with key stakeholders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Identify strategies required to meet regulatory or similar requirements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Rank strategies by benefit/cost ratio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Short-list preferred energy reduction strategies</w:t>
            </w:r>
          </w:p>
        </w:tc>
      </w:tr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Prepare recommendation for improving energy usage</w:t>
            </w:r>
          </w:p>
        </w:tc>
      </w:tr>
    </w:tbl>
    <w:p w:rsidR="00000000" w:rsidRPr="009324D5" w:rsidP="009324D5">
      <w:pPr>
        <w:pStyle w:val="BodyText"/>
      </w:pP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9" w:name="O_340099"/>
      <w:bookmarkEnd w:id="9"/>
      <w:r w:rsidRPr="009324D5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B3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Required knowledge includes:</w:t>
            </w:r>
          </w:p>
          <w:p w:rsidR="00000000" w:rsidRPr="009324D5" w:rsidP="009324D5">
            <w:pPr>
              <w:pStyle w:val="ListBullet"/>
            </w:pPr>
            <w:r w:rsidRPr="009324D5">
              <w:t>nature of energy wastage:</w:t>
            </w:r>
          </w:p>
          <w:p w:rsidR="00000000" w:rsidRPr="009324D5" w:rsidP="009324D5">
            <w:pPr>
              <w:pStyle w:val="ListBullet2"/>
            </w:pPr>
            <w:r w:rsidRPr="009324D5">
              <w:t>efficiency</w:t>
            </w:r>
          </w:p>
          <w:p w:rsidR="00000000" w:rsidRPr="009324D5" w:rsidP="009324D5">
            <w:pPr>
              <w:pStyle w:val="ListBullet2"/>
            </w:pPr>
            <w:r w:rsidRPr="009324D5">
              <w:t>friction/fouling/scaling</w:t>
            </w:r>
          </w:p>
          <w:p w:rsidR="00000000" w:rsidRPr="009324D5" w:rsidP="009324D5">
            <w:pPr>
              <w:pStyle w:val="ListBullet2"/>
            </w:pPr>
            <w:r w:rsidRPr="009324D5">
              <w:t>temperature/pressure range of operation</w:t>
            </w:r>
          </w:p>
          <w:p w:rsidR="00000000" w:rsidRPr="009324D5" w:rsidP="009324D5">
            <w:pPr>
              <w:pStyle w:val="ListBullet"/>
            </w:pPr>
            <w:r w:rsidRPr="009324D5">
              <w:t xml:space="preserve">energy balancing techniques for process and process steps (sometimes known as heat </w:t>
            </w:r>
            <w:r w:rsidRPr="009324D5">
              <w:t>balancing)</w:t>
            </w:r>
          </w:p>
          <w:p w:rsidR="00000000" w:rsidRPr="009324D5" w:rsidP="009324D5">
            <w:pPr>
              <w:pStyle w:val="ListBullet"/>
            </w:pPr>
            <w:r w:rsidRPr="009324D5">
              <w:t>methods of measuring actual process amount/flows</w:t>
            </w:r>
          </w:p>
          <w:p w:rsidR="00000000" w:rsidRPr="009324D5" w:rsidP="009324D5">
            <w:pPr>
              <w:pStyle w:val="ListBullet"/>
            </w:pPr>
            <w:r w:rsidRPr="009324D5">
              <w:t>waste reduction/energy efficiency strategies and methods along with costs, effectiveness and alternative strategies (e.g. efficient lighting, efficient window glass and efficient motors)</w:t>
            </w:r>
          </w:p>
          <w:p w:rsidR="00000000" w:rsidRPr="009324D5" w:rsidP="009324D5">
            <w:pPr>
              <w:pStyle w:val="ListBullet"/>
            </w:pPr>
            <w:r w:rsidRPr="009324D5">
              <w:t>cost-bene</w:t>
            </w:r>
            <w:r w:rsidRPr="009324D5">
              <w:t>fit analysis</w:t>
            </w:r>
          </w:p>
          <w:p w:rsidR="00000000" w:rsidRPr="009324D5" w:rsidP="009324D5">
            <w:pPr>
              <w:pStyle w:val="ListBullet"/>
            </w:pPr>
            <w:r w:rsidRPr="009324D5">
              <w:t>relevant legislation, regulation and protocols</w:t>
            </w:r>
          </w:p>
          <w:p w:rsidR="00000000" w:rsidRPr="009324D5" w:rsidP="009324D5">
            <w:pPr>
              <w:pStyle w:val="ListBullet"/>
            </w:pPr>
            <w:r w:rsidRPr="009324D5">
              <w:t>AS/NZS ISO 14000 Environmental Management Standards</w:t>
            </w:r>
          </w:p>
          <w:p w:rsidR="00000000" w:rsidRPr="009324D5" w:rsidP="009324D5">
            <w:pPr>
              <w:pStyle w:val="BodyText"/>
            </w:pPr>
            <w:r w:rsidRPr="009324D5">
              <w:t>Required skills include:</w:t>
            </w:r>
          </w:p>
          <w:p w:rsidR="00000000" w:rsidRPr="009324D5" w:rsidP="009324D5">
            <w:pPr>
              <w:pStyle w:val="ListBullet"/>
            </w:pPr>
            <w:r w:rsidRPr="009324D5">
              <w:t>mapping processes and energy flows</w:t>
            </w:r>
          </w:p>
          <w:p w:rsidR="00000000" w:rsidRPr="009324D5" w:rsidP="009324D5">
            <w:pPr>
              <w:pStyle w:val="ListBullet"/>
            </w:pPr>
            <w:r w:rsidRPr="009324D5">
              <w:t>interpreting schematics and drawings</w:t>
            </w:r>
          </w:p>
          <w:p w:rsidR="00000000" w:rsidRPr="009324D5" w:rsidP="009324D5">
            <w:pPr>
              <w:pStyle w:val="ListBullet"/>
            </w:pPr>
            <w:r w:rsidRPr="009324D5">
              <w:t xml:space="preserve">calculating, manipulating and interpreting numerical data, including establishing series, means, correlations and rates of change </w:t>
            </w:r>
          </w:p>
          <w:p w:rsidR="00000000" w:rsidRPr="009324D5" w:rsidP="009324D5">
            <w:pPr>
              <w:pStyle w:val="ListBullet"/>
            </w:pPr>
            <w:r w:rsidRPr="009324D5">
              <w:t>ranking energy consumption and waste based on energy balancing</w:t>
            </w:r>
          </w:p>
          <w:p w:rsidR="00000000" w:rsidRPr="009324D5" w:rsidP="009324D5">
            <w:pPr>
              <w:pStyle w:val="ListBullet"/>
            </w:pPr>
            <w:r w:rsidRPr="009324D5">
              <w:t>consulting with technical and operative staff on possible non-</w:t>
            </w:r>
            <w:r w:rsidRPr="009324D5">
              <w:t>obvious energy wastes</w:t>
            </w:r>
          </w:p>
          <w:p w:rsidR="00000000" w:rsidRPr="009324D5" w:rsidP="009324D5">
            <w:pPr>
              <w:pStyle w:val="ListBullet"/>
            </w:pPr>
            <w:r w:rsidRPr="009324D5">
              <w:t>consulting and negotiating with stakeholders on implementation process for sustainability improvement</w:t>
            </w:r>
          </w:p>
          <w:p w:rsidR="00000000" w:rsidRPr="009324D5" w:rsidP="009324D5">
            <w:pPr>
              <w:pStyle w:val="ListBullet"/>
            </w:pPr>
            <w:r w:rsidRPr="009324D5">
              <w:t>preparing recommendations</w:t>
            </w:r>
          </w:p>
          <w:p w:rsidR="00000000" w:rsidRPr="009324D5" w:rsidP="009324D5">
            <w:pPr>
              <w:pStyle w:val="BodyText"/>
            </w:pPr>
          </w:p>
        </w:tc>
      </w:tr>
    </w:tbl>
    <w:p w:rsidR="00000000" w:rsidRPr="009324D5" w:rsidP="009324D5">
      <w:pPr>
        <w:pStyle w:val="BodyText"/>
      </w:pP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10" w:name="O_340100"/>
      <w:bookmarkEnd w:id="10"/>
      <w:r w:rsidRPr="009324D5">
        <w:t>Evidence Guide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92"/>
        <w:gridCol w:w="5662"/>
      </w:tblGrid>
      <w:tr w:rsidTr="009324D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Heading4"/>
            </w:pPr>
            <w:r w:rsidRPr="009324D5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BodyText"/>
              <w:rPr>
                <w:lang w:val="en-NZ"/>
              </w:rPr>
            </w:pPr>
            <w:r w:rsidRPr="009324D5">
              <w:t>A person who demonstrates competency in this uni</w:t>
            </w:r>
            <w:r w:rsidRPr="009324D5">
              <w:t>t must be able to conduct an energy audit, including calculation of theoretical and actual use of energy and preparation of recommendations for energy use reduction.</w:t>
            </w:r>
          </w:p>
        </w:tc>
      </w:tr>
      <w:tr w:rsidTr="009324D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Heading4"/>
            </w:pPr>
            <w:r w:rsidRPr="009324D5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  <w:r w:rsidRPr="009324D5">
              <w:t>Assessors must be satisfied that the candidate can competently and consistently apply the skills covered in this unit of competency in new and different situations</w:t>
            </w:r>
            <w:r w:rsidRPr="009324D5">
              <w:t xml:space="preserve"> and contexts. Critical aspects of assessment and evidence include:</w:t>
            </w:r>
          </w:p>
          <w:p w:rsidR="00000000" w:rsidRPr="009324D5" w:rsidP="009324D5">
            <w:pPr>
              <w:pStyle w:val="ListBullet"/>
            </w:pPr>
            <w:r w:rsidRPr="009324D5">
              <w:t>defining appropriate boundaries for the sustainability energy audit</w:t>
            </w:r>
          </w:p>
          <w:p w:rsidR="00000000" w:rsidRPr="009324D5" w:rsidP="009324D5">
            <w:pPr>
              <w:pStyle w:val="ListBullet"/>
            </w:pPr>
            <w:r w:rsidRPr="009324D5">
              <w:t>conducting energy balance analyses for a site or value chain</w:t>
            </w:r>
          </w:p>
          <w:p w:rsidR="00000000" w:rsidRPr="009324D5" w:rsidP="009324D5">
            <w:pPr>
              <w:pStyle w:val="ListBullet"/>
            </w:pPr>
            <w:r w:rsidRPr="009324D5">
              <w:t xml:space="preserve">identifying high energy use/waste units/areas </w:t>
            </w:r>
          </w:p>
          <w:p w:rsidR="00000000" w:rsidRPr="009324D5" w:rsidP="009324D5">
            <w:pPr>
              <w:pStyle w:val="ListBullet"/>
            </w:pPr>
            <w:r w:rsidRPr="009324D5">
              <w:t>undertaking</w:t>
            </w:r>
            <w:r w:rsidRPr="009324D5">
              <w:t xml:space="preserve"> benefit/cost ratio analyses</w:t>
            </w:r>
          </w:p>
          <w:p w:rsidR="00000000" w:rsidP="009324D5">
            <w:pPr>
              <w:pStyle w:val="ListBullet"/>
              <w:rPr>
                <w:lang w:val="en-NZ"/>
              </w:rPr>
            </w:pPr>
            <w:r w:rsidRPr="009324D5">
              <w:t>ensuring improvement strategies proposed reflect stakeholder needs and regulatory environment.</w:t>
            </w:r>
          </w:p>
        </w:tc>
      </w:tr>
      <w:tr w:rsidTr="009324D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Heading4"/>
            </w:pPr>
            <w:r w:rsidRPr="009324D5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ListBullet"/>
            </w:pPr>
            <w:r w:rsidRPr="009324D5">
              <w:t>This unit of competency is to be assessed in the workplace or a simulated workpla</w:t>
            </w:r>
            <w:r w:rsidRPr="009324D5">
              <w:t>ce environment.</w:t>
            </w:r>
          </w:p>
          <w:p w:rsidR="00000000" w:rsidRPr="009324D5" w:rsidP="009324D5">
            <w:pPr>
              <w:pStyle w:val="ListBullet"/>
            </w:pPr>
            <w:r w:rsidRPr="009324D5">
              <w:t>Assessment should emphasise a workplace context and procedures found in the candidate’s workplace.</w:t>
            </w:r>
          </w:p>
          <w:p w:rsidR="00000000" w:rsidRPr="009324D5" w:rsidP="009324D5">
            <w:pPr>
              <w:pStyle w:val="ListBullet"/>
            </w:pPr>
            <w:r w:rsidRPr="009324D5">
              <w:t xml:space="preserve">This unit of competency may be assessed with other relevant units addressing sustainability at the enterprise level or other units requiring </w:t>
            </w:r>
            <w:r w:rsidRPr="009324D5">
              <w:t>the exercise of the skills and knowledge covered by this unit.</w:t>
            </w:r>
          </w:p>
          <w:p w:rsidR="00000000" w:rsidP="009324D5">
            <w:pPr>
              <w:pStyle w:val="ListBullet"/>
              <w:rPr>
                <w:lang w:val="en-NZ"/>
              </w:rPr>
            </w:pPr>
            <w:r w:rsidRPr="009324D5">
              <w:t>The competencies covered by this unit would be demonstrated by an individual working alone or as part of a team.</w:t>
            </w:r>
          </w:p>
        </w:tc>
      </w:tr>
      <w:tr w:rsidTr="009324D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Heading4"/>
            </w:pPr>
            <w:r w:rsidRPr="009324D5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ListBullet"/>
            </w:pPr>
            <w:r w:rsidRPr="009324D5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9324D5" w:rsidP="009324D5">
            <w:pPr>
              <w:pStyle w:val="ListBullet"/>
            </w:pPr>
            <w:r w:rsidRPr="009324D5">
              <w:t>Where applicable, reasonable adjustment must be made to work environments and trai</w:t>
            </w:r>
            <w:r w:rsidRPr="009324D5">
              <w:t xml:space="preserve">ning situations to accommodate ethnicity, age, gender, demographics and disability. </w:t>
            </w:r>
          </w:p>
          <w:p w:rsidR="00000000" w:rsidP="009324D5">
            <w:pPr>
              <w:pStyle w:val="ListBullet"/>
              <w:rPr>
                <w:lang w:val="en-NZ"/>
              </w:rPr>
            </w:pPr>
            <w:r w:rsidRPr="009324D5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9324D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Heading4"/>
            </w:pPr>
            <w:r w:rsidRPr="009324D5">
              <w:t>Guidan</w:t>
            </w:r>
            <w:r w:rsidRPr="009324D5">
              <w:t>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BodyText"/>
            </w:pPr>
          </w:p>
        </w:tc>
      </w:tr>
    </w:tbl>
    <w:p w:rsidR="00000000" w:rsidRPr="009324D5" w:rsidP="009324D5">
      <w:pPr>
        <w:pStyle w:val="BodyText"/>
      </w:pP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11" w:name="O_340101"/>
      <w:bookmarkEnd w:id="11"/>
      <w:r w:rsidRPr="009324D5">
        <w:t>Range Statement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92"/>
        <w:gridCol w:w="5662"/>
      </w:tblGrid>
      <w:tr w:rsidTr="009324D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Heading4"/>
            </w:pPr>
            <w:r w:rsidRPr="009324D5">
              <w:t>Energy/energy type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TableBodyText"/>
            </w:pPr>
            <w:r w:rsidRPr="009324D5">
              <w:t>Energy/energy type includes:</w:t>
            </w:r>
          </w:p>
          <w:p w:rsidR="00000000" w:rsidRPr="009324D5" w:rsidP="009324D5">
            <w:pPr>
              <w:pStyle w:val="ListBullet"/>
            </w:pPr>
            <w:r w:rsidRPr="009324D5">
              <w:t>operational heating and cooling</w:t>
            </w:r>
          </w:p>
          <w:p w:rsidR="00000000" w:rsidRPr="009324D5" w:rsidP="009324D5">
            <w:pPr>
              <w:pStyle w:val="ListBullet"/>
            </w:pPr>
            <w:r w:rsidRPr="009324D5">
              <w:t xml:space="preserve">motive energy </w:t>
            </w:r>
          </w:p>
          <w:p w:rsidR="00000000" w:rsidRPr="009324D5" w:rsidP="009324D5">
            <w:pPr>
              <w:pStyle w:val="ListBullet"/>
            </w:pPr>
            <w:r w:rsidRPr="009324D5">
              <w:t>lighting</w:t>
            </w:r>
          </w:p>
          <w:p w:rsidR="00000000" w:rsidP="009324D5">
            <w:pPr>
              <w:pStyle w:val="ListBullet"/>
              <w:rPr>
                <w:lang w:val="en-NZ"/>
              </w:rPr>
            </w:pPr>
            <w:r w:rsidRPr="009324D5">
              <w:t>waste energy</w:t>
            </w:r>
          </w:p>
        </w:tc>
      </w:tr>
      <w:tr w:rsidTr="009324D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Heading4"/>
            </w:pPr>
            <w:r w:rsidRPr="009324D5">
              <w:t>Theoretical use of energy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TableBodyText"/>
              <w:rPr>
                <w:lang w:val="en-NZ"/>
              </w:rPr>
            </w:pPr>
            <w:r w:rsidRPr="009324D5">
              <w:t>The amount of energy (work) required to move a mass or heat matter is a basic physics calculation. This is the theoretical use of energy. Anything used above this is waste (although in physics it may be referred to as inefficiency)</w:t>
            </w:r>
          </w:p>
        </w:tc>
      </w:tr>
      <w:tr w:rsidTr="009324D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D5">
            <w:pPr>
              <w:pStyle w:val="Heading4"/>
            </w:pPr>
            <w:r w:rsidRPr="009324D5">
              <w:t>Energy intensity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D5" w:rsidP="009324D5">
            <w:pPr>
              <w:pStyle w:val="TableBodyText"/>
            </w:pPr>
            <w:r w:rsidRPr="009324D5">
              <w:t>Energy</w:t>
            </w:r>
            <w:r w:rsidRPr="009324D5">
              <w:t xml:space="preserve"> intensity includes:</w:t>
            </w:r>
          </w:p>
          <w:p w:rsidR="00000000" w:rsidRPr="009324D5" w:rsidP="009324D5">
            <w:pPr>
              <w:pStyle w:val="ListBullet"/>
            </w:pPr>
            <w:r w:rsidRPr="009324D5">
              <w:t>required temperature, power and pressure, as relevant</w:t>
            </w:r>
          </w:p>
        </w:tc>
      </w:tr>
    </w:tbl>
    <w:p w:rsidR="00000000" w:rsidRPr="009324D5" w:rsidP="009324D5">
      <w:pPr>
        <w:pStyle w:val="BodyText"/>
      </w:pP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12" w:name="O_340102"/>
      <w:bookmarkEnd w:id="12"/>
      <w:r w:rsidRPr="009324D5">
        <w:t>Unit Sector(s)</w:t>
      </w:r>
    </w:p>
    <w:p w:rsidR="00000000" w:rsidRPr="009324D5" w:rsidP="009324D5">
      <w:pPr>
        <w:pStyle w:val="BodyText"/>
      </w:pPr>
      <w:r w:rsidRPr="009324D5">
        <w:t>Sustainability</w:t>
      </w:r>
    </w:p>
    <w:p w:rsidR="00000000" w:rsidRPr="009324D5" w:rsidP="009324D5">
      <w:pPr>
        <w:pStyle w:val="AllowPageBreak"/>
      </w:pPr>
    </w:p>
    <w:p w:rsidR="00000000" w:rsidRPr="009324D5" w:rsidP="009324D5">
      <w:pPr>
        <w:pStyle w:val="Heading1"/>
      </w:pPr>
      <w:bookmarkStart w:id="13" w:name="O_340103"/>
      <w:bookmarkEnd w:id="13"/>
      <w:r w:rsidRPr="009324D5">
        <w:t>Custom Content Section</w:t>
      </w:r>
    </w:p>
    <w:p w:rsidR="00000000" w:rsidRPr="009324D5" w:rsidP="009324D5">
      <w:pPr>
        <w:pStyle w:val="BodyText"/>
      </w:pPr>
      <w:r w:rsidRPr="009324D5">
        <w:t>Not applicable.</w:t>
      </w:r>
    </w:p>
    <w:p w:rsidR="00000000" w:rsidRPr="009324D5" w:rsidP="009324D5"/>
    <w:sectPr w:rsidSect="009324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4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3B38" w:rsidP="00FB3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4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38" w:rsidP="00932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B3B38" w:rsidP="00932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B3B38" w:rsidP="009324D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4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3B38" w:rsidP="00FB3B3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4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38" w:rsidP="00932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MSS015011A Conduct a sustainability energy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B3B38" w:rsidP="009324D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644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641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DA87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4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324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4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4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4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4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4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4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4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4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4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4D5"/>
  </w:style>
  <w:style w:type="character" w:customStyle="1" w:styleId="Heading1Char">
    <w:name w:val="Heading 1 Char"/>
    <w:basedOn w:val="DefaultParagraphFont"/>
    <w:link w:val="Heading1"/>
    <w:rsid w:val="009324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4D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324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4D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324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4D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324D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24D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324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4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324D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324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324D5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9324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4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4D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324D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324D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324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4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4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4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4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324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4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4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4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4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24D5"/>
    <w:rPr>
      <w:b/>
      <w:spacing w:val="0"/>
    </w:rPr>
  </w:style>
  <w:style w:type="paragraph" w:customStyle="1" w:styleId="SuperTitle">
    <w:name w:val="SuperTitle"/>
    <w:basedOn w:val="Title"/>
    <w:rsid w:val="009324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4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4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24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4D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324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4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4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4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4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4D5"/>
    <w:rPr>
      <w:i/>
    </w:rPr>
  </w:style>
  <w:style w:type="paragraph" w:styleId="Caption">
    <w:name w:val="caption"/>
    <w:basedOn w:val="BodyText"/>
    <w:next w:val="Normal"/>
    <w:qFormat/>
    <w:rsid w:val="009324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4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4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4D5"/>
  </w:style>
  <w:style w:type="paragraph" w:styleId="TableofFigures">
    <w:name w:val="table of figures"/>
    <w:basedOn w:val="Normal"/>
    <w:next w:val="Normal"/>
    <w:semiHidden/>
    <w:rsid w:val="009324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4D5"/>
    <w:pPr>
      <w:numPr>
        <w:numId w:val="11"/>
      </w:numPr>
    </w:pPr>
  </w:style>
  <w:style w:type="character" w:customStyle="1" w:styleId="WingdingSymbols">
    <w:name w:val="Wingding Symbols"/>
    <w:rsid w:val="009324D5"/>
    <w:rPr>
      <w:rFonts w:ascii="Wingdings" w:hAnsi="Wingdings"/>
    </w:rPr>
  </w:style>
  <w:style w:type="paragraph" w:customStyle="1" w:styleId="TableHeading">
    <w:name w:val="Table Heading"/>
    <w:basedOn w:val="HeadingBase"/>
    <w:rsid w:val="009324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4D5"/>
    <w:rPr>
      <w:color w:val="0033CC"/>
      <w:u w:val="none"/>
    </w:rPr>
  </w:style>
  <w:style w:type="paragraph" w:customStyle="1" w:styleId="BodyTextRight">
    <w:name w:val="Body Text Right"/>
    <w:basedOn w:val="BodyText"/>
    <w:rsid w:val="009324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4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4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4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4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4D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324D5"/>
    <w:rPr>
      <w:sz w:val="32"/>
    </w:rPr>
  </w:style>
  <w:style w:type="paragraph" w:customStyle="1" w:styleId="HeadingProcedure">
    <w:name w:val="Heading Procedure"/>
    <w:basedOn w:val="HeadingBase"/>
    <w:next w:val="Normal"/>
    <w:rsid w:val="009324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324D5"/>
    <w:pPr>
      <w:ind w:firstLine="0"/>
    </w:pPr>
  </w:style>
  <w:style w:type="paragraph" w:customStyle="1" w:styleId="ListNote">
    <w:name w:val="List Note"/>
    <w:basedOn w:val="List"/>
    <w:rsid w:val="009324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4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4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4D5"/>
    <w:rPr>
      <w:rFonts w:ascii="Courier New" w:hAnsi="Courier New"/>
    </w:rPr>
  </w:style>
  <w:style w:type="paragraph" w:customStyle="1" w:styleId="NoteBullet">
    <w:name w:val="Note Bullet"/>
    <w:basedOn w:val="Note"/>
    <w:rsid w:val="009324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4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4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4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4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24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4D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324D5"/>
    <w:rPr>
      <w:b/>
      <w:smallCaps/>
    </w:rPr>
  </w:style>
  <w:style w:type="paragraph" w:customStyle="1" w:styleId="TableListNumber">
    <w:name w:val="Table List Number"/>
    <w:basedOn w:val="ListNumber"/>
    <w:rsid w:val="009324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4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4D5"/>
    <w:pPr>
      <w:numPr>
        <w:numId w:val="9"/>
      </w:numPr>
    </w:pPr>
  </w:style>
  <w:style w:type="paragraph" w:customStyle="1" w:styleId="ListAlpha2">
    <w:name w:val="List Alpha 2"/>
    <w:basedOn w:val="List2"/>
    <w:rsid w:val="009324D5"/>
    <w:pPr>
      <w:numPr>
        <w:numId w:val="8"/>
      </w:numPr>
    </w:pPr>
  </w:style>
  <w:style w:type="paragraph" w:styleId="List2">
    <w:name w:val="List 2"/>
    <w:basedOn w:val="BodyText"/>
    <w:rsid w:val="009324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4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4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4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4D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4D5"/>
    <w:pPr>
      <w:numPr>
        <w:numId w:val="3"/>
      </w:numPr>
    </w:pPr>
  </w:style>
  <w:style w:type="paragraph" w:styleId="ListBullet5">
    <w:name w:val="List Bullet 5"/>
    <w:basedOn w:val="List5"/>
    <w:rsid w:val="009324D5"/>
    <w:pPr>
      <w:numPr>
        <w:numId w:val="4"/>
      </w:numPr>
    </w:pPr>
  </w:style>
  <w:style w:type="paragraph" w:styleId="ListContinue2">
    <w:name w:val="List Continue 2"/>
    <w:basedOn w:val="List2"/>
    <w:rsid w:val="009324D5"/>
    <w:pPr>
      <w:ind w:firstLine="0"/>
    </w:pPr>
  </w:style>
  <w:style w:type="paragraph" w:styleId="ListContinue3">
    <w:name w:val="List Continue 3"/>
    <w:basedOn w:val="List3"/>
    <w:rsid w:val="009324D5"/>
    <w:pPr>
      <w:ind w:left="1021" w:firstLine="0"/>
    </w:pPr>
  </w:style>
  <w:style w:type="paragraph" w:styleId="ListContinue4">
    <w:name w:val="List Continue 4"/>
    <w:basedOn w:val="List4"/>
    <w:rsid w:val="009324D5"/>
    <w:pPr>
      <w:ind w:firstLine="0"/>
    </w:pPr>
  </w:style>
  <w:style w:type="paragraph" w:styleId="ListContinue5">
    <w:name w:val="List Continue 5"/>
    <w:basedOn w:val="List5"/>
    <w:rsid w:val="009324D5"/>
    <w:pPr>
      <w:ind w:firstLine="0"/>
    </w:pPr>
  </w:style>
  <w:style w:type="paragraph" w:styleId="ListNumber3">
    <w:name w:val="List Number 3"/>
    <w:basedOn w:val="List3"/>
    <w:rsid w:val="009324D5"/>
    <w:pPr>
      <w:numPr>
        <w:numId w:val="5"/>
      </w:numPr>
    </w:pPr>
  </w:style>
  <w:style w:type="paragraph" w:styleId="ListNumber4">
    <w:name w:val="List Number 4"/>
    <w:basedOn w:val="List4"/>
    <w:rsid w:val="009324D5"/>
    <w:pPr>
      <w:numPr>
        <w:numId w:val="6"/>
      </w:numPr>
    </w:pPr>
  </w:style>
  <w:style w:type="paragraph" w:styleId="ListNumber5">
    <w:name w:val="List Number 5"/>
    <w:basedOn w:val="List5"/>
    <w:rsid w:val="009324D5"/>
    <w:pPr>
      <w:numPr>
        <w:numId w:val="7"/>
      </w:numPr>
    </w:pPr>
  </w:style>
  <w:style w:type="paragraph" w:styleId="BlockText">
    <w:name w:val="Block Text"/>
    <w:basedOn w:val="Normal"/>
    <w:rsid w:val="009324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4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4D5"/>
    <w:rPr>
      <w:sz w:val="16"/>
      <w:vertAlign w:val="superscript"/>
    </w:rPr>
  </w:style>
  <w:style w:type="character" w:customStyle="1" w:styleId="Symbols">
    <w:name w:val="Symbols"/>
    <w:basedOn w:val="DefaultParagraphFont"/>
    <w:rsid w:val="009324D5"/>
    <w:rPr>
      <w:rFonts w:ascii="Symbol" w:hAnsi="Symbol"/>
    </w:rPr>
  </w:style>
  <w:style w:type="character" w:customStyle="1" w:styleId="MenuOptions">
    <w:name w:val="Menu Options"/>
    <w:basedOn w:val="DefaultParagraphFont"/>
    <w:rsid w:val="009324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4D5"/>
    <w:rPr>
      <w:b/>
    </w:rPr>
  </w:style>
  <w:style w:type="character" w:customStyle="1" w:styleId="Underlined">
    <w:name w:val="Underlined"/>
    <w:basedOn w:val="DefaultParagraphFont"/>
    <w:rsid w:val="009324D5"/>
    <w:rPr>
      <w:u w:val="single"/>
    </w:rPr>
  </w:style>
  <w:style w:type="paragraph" w:customStyle="1" w:styleId="TableBodyTextRight">
    <w:name w:val="Table Body Text Right"/>
    <w:basedOn w:val="TableBodyText"/>
    <w:rsid w:val="009324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4D5"/>
    <w:rPr>
      <w:sz w:val="18"/>
    </w:rPr>
  </w:style>
  <w:style w:type="paragraph" w:customStyle="1" w:styleId="BodySmallRight">
    <w:name w:val="Body Small Right"/>
    <w:basedOn w:val="BodyTextRight"/>
    <w:rsid w:val="009324D5"/>
    <w:rPr>
      <w:sz w:val="18"/>
      <w:szCs w:val="18"/>
    </w:rPr>
  </w:style>
  <w:style w:type="paragraph" w:customStyle="1" w:styleId="MarginEdition">
    <w:name w:val="Margin Edition"/>
    <w:basedOn w:val="MarginNote"/>
    <w:rsid w:val="009324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4D5"/>
    <w:rPr>
      <w:sz w:val="2"/>
      <w:szCs w:val="2"/>
    </w:rPr>
  </w:style>
  <w:style w:type="character" w:customStyle="1" w:styleId="Small">
    <w:name w:val="Small"/>
    <w:basedOn w:val="DefaultParagraphFont"/>
    <w:rsid w:val="009324D5"/>
    <w:rPr>
      <w:sz w:val="16"/>
    </w:rPr>
  </w:style>
  <w:style w:type="paragraph" w:customStyle="1" w:styleId="WideTable">
    <w:name w:val="Wide Table"/>
    <w:basedOn w:val="Normal"/>
    <w:rsid w:val="009324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4D5"/>
  </w:style>
  <w:style w:type="paragraph" w:styleId="Quote">
    <w:name w:val="Quote"/>
    <w:basedOn w:val="Heading1"/>
    <w:link w:val="QuoteChar"/>
    <w:qFormat/>
    <w:rsid w:val="009324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4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4D5"/>
    <w:pPr>
      <w:pageBreakBefore/>
    </w:pPr>
  </w:style>
  <w:style w:type="paragraph" w:customStyle="1" w:styleId="Border">
    <w:name w:val="Border"/>
    <w:basedOn w:val="Normal"/>
    <w:qFormat/>
    <w:rsid w:val="009324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4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4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4D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324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4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4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4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4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4D5"/>
    <w:rPr>
      <w:u w:val="single"/>
    </w:rPr>
  </w:style>
  <w:style w:type="character" w:customStyle="1" w:styleId="BoldandItalics">
    <w:name w:val="Bold and Italics"/>
    <w:qFormat/>
    <w:rsid w:val="009324D5"/>
    <w:rPr>
      <w:b/>
      <w:i/>
      <w:u w:val="none"/>
    </w:rPr>
  </w:style>
  <w:style w:type="paragraph" w:styleId="BalloonText">
    <w:name w:val="Balloon Text"/>
    <w:basedOn w:val="Normal"/>
    <w:link w:val="BalloonTextChar"/>
    <w:rsid w:val="00932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4D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324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4D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1062</Words>
  <Characters>6350</Characters>
  <Application>Microsoft Office Word</Application>
  <DocSecurity>0</DocSecurity>
  <Lines>245</Lines>
  <Paragraphs>127</Paragraphs>
  <ScaleCrop>false</ScaleCrop>
  <Company>Author-it Software Corporation Ltd.</Company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MSS015011A Conduct a sustainability energy audit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2012-05-26T18:40:00Z</dcterms:created>
  <dcterms:modified xsi:type="dcterms:W3CDTF">2012-05-26T18:41:00Z</dcterms:modified>
</cp:coreProperties>
</file>