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1CB" w:rsidP="006801CB">
      <w:pPr>
        <w:pStyle w:val="Title"/>
      </w:pPr>
      <w:r>
        <w:fldChar w:fldCharType="begin"/>
      </w:r>
      <w:r>
        <w:instrText xml:space="preserve"> TITLE   \* MERGEFORMAT </w:instrText>
      </w:r>
      <w:r>
        <w:fldChar w:fldCharType="separate"/>
      </w:r>
      <w:r>
        <w:t>MSS015002A Develop strategies for more sustainable use of resources</w:t>
      </w:r>
      <w:r>
        <w:fldChar w:fldCharType="end"/>
      </w:r>
    </w:p>
    <w:p w:rsidR="006801CB" w:rsidP="006801CB">
      <w:pPr>
        <w:pStyle w:val="Version"/>
        <w:sectPr w:rsidSect="000B2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2DC" w:rsidP="000B22DC">
      <w:pPr>
        <w:pStyle w:val="SuperHeading"/>
      </w:pPr>
      <w:r w:rsidRPr="000B22DC">
        <w:t>MSS015002A Develop strategies for more sustainable use of resources</w:t>
      </w:r>
    </w:p>
    <w:p w:rsidR="00000000" w:rsidRPr="000B22DC" w:rsidP="000B22DC">
      <w:pPr>
        <w:pStyle w:val="Heading1"/>
      </w:pPr>
      <w:bookmarkStart w:id="1" w:name="O_339956"/>
      <w:bookmarkEnd w:id="1"/>
      <w:r w:rsidRPr="000B22DC">
        <w:t>Modification History</w:t>
      </w:r>
    </w:p>
    <w:p w:rsidR="00000000" w:rsidRPr="000B22DC" w:rsidP="000B22DC">
      <w:pPr>
        <w:pStyle w:val="BodyText"/>
      </w:pPr>
      <w:r w:rsidRPr="000B22DC">
        <w:t>Not applicable.</w:t>
      </w:r>
    </w:p>
    <w:p w:rsidR="00000000" w:rsidRPr="000B22DC" w:rsidP="000B22DC">
      <w:pPr>
        <w:pStyle w:val="AllowPageBreak"/>
      </w:pPr>
    </w:p>
    <w:p w:rsidR="00000000" w:rsidRPr="000B22DC" w:rsidP="000B22DC">
      <w:pPr>
        <w:pStyle w:val="Heading1"/>
      </w:pPr>
      <w:bookmarkStart w:id="2" w:name="O_339957"/>
      <w:bookmarkEnd w:id="2"/>
      <w:r w:rsidRPr="000B22DC">
        <w:t>Unit Descriptor</w:t>
      </w:r>
    </w:p>
    <w:p w:rsidR="00000000" w:rsidRPr="000B22DC" w:rsidP="000B22DC">
      <w:pPr>
        <w:pStyle w:val="BodyText"/>
      </w:pPr>
      <w:r w:rsidRPr="000B22DC">
        <w:t xml:space="preserve">This unit of competency covers identifying strategies for more sustainable uses of resources. The </w:t>
      </w:r>
      <w:r w:rsidRPr="000B22DC">
        <w:t xml:space="preserve">unit includes the identification of waste as defined in lean manufacturing (muda) as part of a strategy for achieving better sustainability outcomes in a process as well as quantifying theoretical and actual resource (including energy) consumption. </w:t>
      </w:r>
    </w:p>
    <w:p w:rsidR="00000000" w:rsidRPr="000B22DC" w:rsidP="000B22DC">
      <w:pPr>
        <w:pStyle w:val="AllowPageBreak"/>
      </w:pPr>
    </w:p>
    <w:p w:rsidR="00000000" w:rsidRPr="000B22DC" w:rsidP="000B22DC">
      <w:pPr>
        <w:pStyle w:val="Heading1"/>
      </w:pPr>
      <w:bookmarkStart w:id="3" w:name="O_339958"/>
      <w:bookmarkEnd w:id="3"/>
      <w:r w:rsidRPr="000B22DC">
        <w:t>Application of the Unit</w:t>
      </w:r>
    </w:p>
    <w:p w:rsidR="00000000" w:rsidRPr="000B22DC" w:rsidP="000B22DC">
      <w:pPr>
        <w:pStyle w:val="BodyText"/>
      </w:pPr>
      <w:r w:rsidRPr="000B22DC">
        <w:t>This unit applies inside organisations and their value chains and specifically applies to the use of resources as part of an overall response to improving sustainability. The unit has been developed with manufacturing ope</w:t>
      </w:r>
      <w:r w:rsidRPr="000B22DC">
        <w:t>rations as a focus. However, because of the range of organisations in a typical manufacturing value chain it may also be applied to other types of organisations.</w:t>
      </w:r>
    </w:p>
    <w:p w:rsidR="00000000" w:rsidRPr="000B22DC" w:rsidP="000B22DC">
      <w:pPr>
        <w:pStyle w:val="BodyText"/>
      </w:pPr>
      <w:r w:rsidRPr="000B22DC">
        <w:t>The unit assumes that a decision to attempt to achieve more sustainable use of resources has a</w:t>
      </w:r>
      <w:r w:rsidRPr="000B22DC">
        <w:t xml:space="preserve">lready been made. The unit covers the skills needed for developing a strategic approach to resource use at the organisation or value chain level. </w:t>
      </w:r>
    </w:p>
    <w:p w:rsidR="00000000" w:rsidRPr="000B22DC" w:rsidP="000B22DC">
      <w:pPr>
        <w:pStyle w:val="BodyText"/>
      </w:pPr>
      <w:r w:rsidRPr="000B22DC">
        <w:t>The unit does not cover the technical skills required to implement specific initiatives that may be identifie</w:t>
      </w:r>
      <w:r w:rsidRPr="000B22DC">
        <w:t>d as part of the strategic plan. However, there is a requirement to present and organise data. The complexity of this requirement will vary according to the type and scale of the organisation’s processes. Where required, appropriate mathematics and statist</w:t>
      </w:r>
      <w:r w:rsidRPr="000B22DC">
        <w:t>ics units should be selected from the MEM05 Metal and Engineering Training Package or other appropriate Training Package.</w:t>
      </w:r>
    </w:p>
    <w:p w:rsidR="00000000" w:rsidRPr="000B22DC" w:rsidP="000B22DC">
      <w:pPr>
        <w:pStyle w:val="BodyText"/>
      </w:pPr>
      <w:r w:rsidRPr="000B22DC">
        <w:t>Where the carbon footprint (or water footprint or similar) of an enterprise or value chain is known, the unit can be applied to develo</w:t>
      </w:r>
      <w:r w:rsidRPr="000B22DC">
        <w:t xml:space="preserve">ping strategies for the reduction of that footprint. </w:t>
      </w:r>
    </w:p>
    <w:p w:rsidR="00000000" w:rsidRPr="000B22DC" w:rsidP="000B22DC">
      <w:pPr>
        <w:pStyle w:val="BodyText"/>
      </w:pPr>
      <w:r w:rsidRPr="000B22DC">
        <w:t>I</w:t>
      </w:r>
      <w:r w:rsidRPr="000B22DC">
        <w:t>t would typically be undertaken by a manager or technical specialist who had a major responsibility for sustainability as part of a broader work role, or sustainability may be their primary work responsibility.</w:t>
      </w:r>
    </w:p>
    <w:p w:rsidR="00000000" w:rsidRPr="000B22DC" w:rsidP="000B22DC">
      <w:pPr>
        <w:pStyle w:val="BodyText"/>
      </w:pPr>
      <w:r w:rsidRPr="000B22DC">
        <w:t>For specific techniques covering the auditing</w:t>
      </w:r>
      <w:r w:rsidRPr="000B22DC">
        <w:t xml:space="preserve"> of water, energy, emissions and transport, refer to relevant sustainability audit units.</w:t>
      </w:r>
    </w:p>
    <w:p w:rsidR="00000000" w:rsidRPr="000B22DC" w:rsidP="000B22DC">
      <w:pPr>
        <w:pStyle w:val="AllowPageBreak"/>
      </w:pPr>
    </w:p>
    <w:p w:rsidR="00000000" w:rsidRPr="000B22DC" w:rsidP="000B22DC">
      <w:pPr>
        <w:pStyle w:val="Heading1"/>
      </w:pPr>
      <w:bookmarkStart w:id="4" w:name="O_339959"/>
      <w:bookmarkEnd w:id="4"/>
      <w:r w:rsidRPr="000B22DC">
        <w:t>Licensing/Regulatory Information</w:t>
      </w:r>
    </w:p>
    <w:p w:rsidR="00000000" w:rsidRPr="000B22DC" w:rsidP="000B22DC">
      <w:pPr>
        <w:pStyle w:val="BodyText"/>
      </w:pPr>
      <w:r w:rsidRPr="000B22DC">
        <w:t>Not applicable.</w:t>
      </w:r>
    </w:p>
    <w:p w:rsidR="00000000" w:rsidRPr="000B22DC" w:rsidP="000B22DC">
      <w:pPr>
        <w:pStyle w:val="AllowPageBreak"/>
      </w:pPr>
    </w:p>
    <w:p w:rsidR="00000000" w:rsidRPr="000B22DC" w:rsidP="000B22DC">
      <w:pPr>
        <w:pStyle w:val="Heading1"/>
      </w:pPr>
      <w:bookmarkStart w:id="5" w:name="O_339960"/>
      <w:bookmarkEnd w:id="5"/>
      <w:r w:rsidRPr="000B22DC">
        <w:t>Pre-Requisites</w:t>
      </w:r>
    </w:p>
    <w:p w:rsidR="00000000" w:rsidRPr="000B22DC" w:rsidP="000B22DC">
      <w:pPr>
        <w:pStyle w:val="BodyText"/>
      </w:pPr>
      <w:r w:rsidRPr="000B22DC">
        <w:t>Not applicable.</w:t>
      </w:r>
    </w:p>
    <w:p w:rsidR="00000000" w:rsidRPr="000B22DC" w:rsidP="000B22DC">
      <w:pPr>
        <w:pStyle w:val="AllowPageBreak"/>
      </w:pPr>
    </w:p>
    <w:p w:rsidR="00000000" w:rsidRPr="000B22DC" w:rsidP="000B22DC">
      <w:pPr>
        <w:pStyle w:val="Heading1"/>
      </w:pPr>
      <w:bookmarkStart w:id="6" w:name="O_339961"/>
      <w:bookmarkEnd w:id="6"/>
      <w:r w:rsidRPr="000B22DC">
        <w:t>Employability Skills Information</w:t>
      </w:r>
    </w:p>
    <w:p w:rsidR="00000000" w:rsidRPr="000B22DC" w:rsidP="000B22DC">
      <w:pPr>
        <w:pStyle w:val="BodyText"/>
      </w:pPr>
      <w:r w:rsidRPr="000B22DC">
        <w:t>Th</w:t>
      </w:r>
      <w:r w:rsidRPr="000B22DC">
        <w:t>is unit contains employability skills</w:t>
      </w:r>
    </w:p>
    <w:p w:rsidR="00000000" w:rsidRPr="000B22DC" w:rsidP="000B22DC">
      <w:pPr>
        <w:pStyle w:val="AllowPageBreak"/>
      </w:pPr>
    </w:p>
    <w:p w:rsidR="00000000" w:rsidRPr="000B22DC" w:rsidP="000B22DC">
      <w:pPr>
        <w:pStyle w:val="Heading1"/>
      </w:pPr>
      <w:bookmarkStart w:id="7" w:name="O_339962"/>
      <w:bookmarkEnd w:id="7"/>
      <w:r w:rsidRPr="000B22DC">
        <w:t>Elements and Performance Criteria Pre-Content</w:t>
      </w:r>
    </w:p>
    <w:p w:rsidR="00000000" w:rsidRPr="000B22DC" w:rsidP="000B22DC">
      <w:pPr>
        <w:pStyle w:val="BodyText"/>
      </w:pPr>
      <w:r w:rsidRPr="000B22DC">
        <w:t>Not applicable.</w:t>
      </w:r>
    </w:p>
    <w:p w:rsidR="00000000" w:rsidRPr="000B22DC" w:rsidP="000B22DC">
      <w:pPr>
        <w:pStyle w:val="AllowPageBreak"/>
      </w:pPr>
    </w:p>
    <w:p w:rsidR="00000000" w:rsidRPr="000B22DC" w:rsidP="000B22DC">
      <w:pPr>
        <w:pStyle w:val="Heading1"/>
      </w:pPr>
      <w:bookmarkStart w:id="8" w:name="O_339963"/>
      <w:bookmarkEnd w:id="8"/>
      <w:r w:rsidRPr="000B22DC">
        <w:t>Elements and Performance Criteria</w:t>
      </w:r>
    </w:p>
    <w:tbl>
      <w:tblPr>
        <w:tblW w:w="0" w:type="auto"/>
        <w:tblCellMar>
          <w:left w:w="62" w:type="dxa"/>
          <w:right w:w="62" w:type="dxa"/>
        </w:tblCellMar>
        <w:tblLook w:val="0000"/>
      </w:tblPr>
      <w:tblGrid>
        <w:gridCol w:w="449"/>
        <w:gridCol w:w="2695"/>
        <w:gridCol w:w="449"/>
        <w:gridCol w:w="5603"/>
      </w:tblGrid>
      <w:tr w:rsidTr="006801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Quantify resource consumption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1.1</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Identify all significant resources used by process</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1.2</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Identify consumption measurements available for each resource</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1.3</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Determine consumption for each resource</w:t>
            </w:r>
          </w:p>
        </w:tc>
      </w:tr>
      <w:tr w:rsidTr="006801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Quantify resource loss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2.1</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Determine theoretical consumption of each resource</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2.2</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Compare theoretical consumption with actual consumption</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2.3</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 xml:space="preserve">Determine loss (emission) for each resource </w:t>
            </w:r>
          </w:p>
        </w:tc>
      </w:tr>
      <w:tr w:rsidTr="006801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 xml:space="preserve">Recommend strategies for reducing waste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3.1</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Short-list high emission process steps</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3.2</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Analyse process to identify emission steps or locations</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3.3</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 xml:space="preserve">Determine root cause of emission </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3.4</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 xml:space="preserve">Investigate methods for reducing emission </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3.5</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Develop strategies and recommendations for improvement</w:t>
            </w:r>
          </w:p>
        </w:tc>
      </w:tr>
      <w:tr w:rsidTr="006801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Prepare resources use audit report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4.1</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Identify purpose of report and key stakeholders</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4.2</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Compile data, implications and recommendations</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4.3</w:t>
            </w: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Consult with stakeholders as appropriate</w:t>
            </w:r>
          </w:p>
        </w:tc>
      </w:tr>
      <w:tr w:rsidTr="006801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22DC">
            <w:pPr>
              <w:pStyle w:val="BodyText"/>
              <w:rPr>
                <w:lang w:val="en-NZ"/>
              </w:rPr>
            </w:pPr>
            <w:r w:rsidRPr="000B22DC">
              <w:t>4.4</w:t>
            </w:r>
          </w:p>
        </w:tc>
        <w:tc>
          <w:tcPr>
            <w:tcW w:w="0" w:type="auto"/>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Draft and present report</w:t>
            </w:r>
          </w:p>
        </w:tc>
      </w:tr>
    </w:tbl>
    <w:p w:rsidR="00000000" w:rsidRPr="000B22DC" w:rsidP="000B22DC">
      <w:pPr>
        <w:pStyle w:val="BodyText"/>
      </w:pPr>
    </w:p>
    <w:p w:rsidR="00000000" w:rsidRPr="000B22DC" w:rsidP="000B22DC">
      <w:pPr>
        <w:pStyle w:val="AllowPageBreak"/>
      </w:pPr>
    </w:p>
    <w:p w:rsidR="00000000" w:rsidRPr="000B22DC" w:rsidP="000B22DC">
      <w:pPr>
        <w:pStyle w:val="Heading1"/>
      </w:pPr>
      <w:bookmarkStart w:id="9" w:name="O_339964"/>
      <w:bookmarkEnd w:id="9"/>
      <w:r w:rsidRPr="000B22DC">
        <w:t>Required Skills and Knowledge</w:t>
      </w:r>
    </w:p>
    <w:tbl>
      <w:tblPr>
        <w:tblW w:w="0" w:type="auto"/>
        <w:tblCellMar>
          <w:left w:w="62" w:type="dxa"/>
          <w:right w:w="62" w:type="dxa"/>
        </w:tblCellMar>
        <w:tblLook w:val="0000"/>
      </w:tblPr>
      <w:tblGrid>
        <w:gridCol w:w="9196"/>
      </w:tblGrid>
      <w:tr w:rsidTr="006801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22DC" w:rsidP="000B22DC">
            <w:pPr>
              <w:pStyle w:val="BodyText"/>
            </w:pPr>
            <w:r w:rsidRPr="000B22DC">
              <w:t>Required knowledge includes:</w:t>
            </w:r>
          </w:p>
          <w:p w:rsidR="00000000" w:rsidRPr="000B22DC" w:rsidP="000B22DC">
            <w:pPr>
              <w:pStyle w:val="ListBullet"/>
            </w:pPr>
            <w:r w:rsidRPr="000B22DC">
              <w:t>the concept of muda. Muda is usually summarised under the headings of the ‘seven wastes’ which include:</w:t>
            </w:r>
          </w:p>
          <w:p w:rsidR="00000000" w:rsidRPr="000B22DC" w:rsidP="000B22DC">
            <w:pPr>
              <w:pStyle w:val="ListBullet2"/>
            </w:pPr>
            <w:r w:rsidRPr="000B22DC">
              <w:t>overproduction</w:t>
            </w:r>
          </w:p>
          <w:p w:rsidR="00000000" w:rsidRPr="000B22DC" w:rsidP="000B22DC">
            <w:pPr>
              <w:pStyle w:val="ListBullet2"/>
            </w:pPr>
            <w:r w:rsidRPr="000B22DC">
              <w:t>delay/waiting</w:t>
            </w:r>
          </w:p>
          <w:p w:rsidR="00000000" w:rsidRPr="000B22DC" w:rsidP="000B22DC">
            <w:pPr>
              <w:pStyle w:val="ListBullet2"/>
            </w:pPr>
            <w:r w:rsidRPr="000B22DC">
              <w:t>transportation</w:t>
            </w:r>
          </w:p>
          <w:p w:rsidR="00000000" w:rsidRPr="000B22DC" w:rsidP="000B22DC">
            <w:pPr>
              <w:pStyle w:val="ListBullet2"/>
            </w:pPr>
            <w:r w:rsidRPr="000B22DC">
              <w:t>over processing</w:t>
            </w:r>
          </w:p>
          <w:p w:rsidR="00000000" w:rsidRPr="000B22DC" w:rsidP="000B22DC">
            <w:pPr>
              <w:pStyle w:val="ListBullet2"/>
            </w:pPr>
            <w:r w:rsidRPr="000B22DC">
              <w:t>excess inventory</w:t>
            </w:r>
          </w:p>
          <w:p w:rsidR="00000000" w:rsidRPr="000B22DC" w:rsidP="000B22DC">
            <w:pPr>
              <w:pStyle w:val="ListBullet2"/>
            </w:pPr>
            <w:r w:rsidRPr="000B22DC">
              <w:t>unnecessary motion</w:t>
            </w:r>
          </w:p>
          <w:p w:rsidR="00000000" w:rsidRPr="000B22DC" w:rsidP="000B22DC">
            <w:pPr>
              <w:pStyle w:val="ListBullet2"/>
            </w:pPr>
            <w:r w:rsidRPr="000B22DC">
              <w:t>defects and rework</w:t>
            </w:r>
          </w:p>
          <w:p w:rsidR="00000000" w:rsidRPr="000B22DC" w:rsidP="000B22DC">
            <w:pPr>
              <w:pStyle w:val="ListBullet"/>
            </w:pPr>
            <w:r w:rsidRPr="000B22DC">
              <w:t xml:space="preserve">methods of material balancing </w:t>
            </w:r>
          </w:p>
          <w:p w:rsidR="00000000" w:rsidRPr="000B22DC" w:rsidP="000B22DC">
            <w:pPr>
              <w:pStyle w:val="ListBullet"/>
            </w:pPr>
            <w:r w:rsidRPr="000B22DC">
              <w:t xml:space="preserve">methods of energy balancing </w:t>
            </w:r>
          </w:p>
          <w:p w:rsidR="00000000" w:rsidRPr="000B22DC" w:rsidP="000B22DC">
            <w:pPr>
              <w:pStyle w:val="ListBullet"/>
            </w:pPr>
            <w:r w:rsidRPr="000B22DC">
              <w:t>methods of comparing theoretical with actual resource consumption</w:t>
            </w:r>
          </w:p>
          <w:p w:rsidR="00000000" w:rsidRPr="000B22DC" w:rsidP="000B22DC">
            <w:pPr>
              <w:pStyle w:val="ListBullet"/>
            </w:pPr>
            <w:r w:rsidRPr="000B22DC">
              <w:t>methods for mapping manufacturing processes and resources consumed</w:t>
            </w:r>
          </w:p>
          <w:p w:rsidR="00000000" w:rsidRPr="000B22DC" w:rsidP="000B22DC">
            <w:pPr>
              <w:pStyle w:val="ListBullet"/>
            </w:pPr>
            <w:r w:rsidRPr="000B22DC">
              <w:t>methods of measuring actual resource usage</w:t>
            </w:r>
          </w:p>
          <w:p w:rsidR="00000000" w:rsidRPr="000B22DC" w:rsidP="000B22DC">
            <w:pPr>
              <w:pStyle w:val="ListBullet"/>
            </w:pPr>
            <w:r w:rsidRPr="000B22DC">
              <w:t xml:space="preserve">concept of muda and </w:t>
            </w:r>
            <w:r w:rsidRPr="000B22DC">
              <w:t>muda categories</w:t>
            </w:r>
          </w:p>
          <w:p w:rsidR="00000000" w:rsidRPr="000B22DC" w:rsidP="000B22DC">
            <w:pPr>
              <w:pStyle w:val="ListBullet"/>
            </w:pPr>
            <w:r w:rsidRPr="000B22DC">
              <w:t>muda reduction methods and strategies</w:t>
            </w:r>
          </w:p>
          <w:p w:rsidR="00000000" w:rsidRPr="000B22DC" w:rsidP="000B22DC">
            <w:pPr>
              <w:pStyle w:val="ListBullet"/>
            </w:pPr>
            <w:r w:rsidRPr="000B22DC">
              <w:t>AS/NZS ISO 14000 Environmental Management Standards</w:t>
            </w:r>
          </w:p>
          <w:p w:rsidR="00000000" w:rsidRPr="000B22DC" w:rsidP="000B22DC">
            <w:pPr>
              <w:pStyle w:val="BodyText"/>
            </w:pPr>
            <w:r w:rsidRPr="000B22DC">
              <w:t>Required skills include:</w:t>
            </w:r>
          </w:p>
          <w:p w:rsidR="00000000" w:rsidRPr="000B22DC" w:rsidP="000B22DC">
            <w:pPr>
              <w:pStyle w:val="ListBullet"/>
            </w:pPr>
            <w:r w:rsidRPr="000B22DC">
              <w:t xml:space="preserve">calculating, manipulating and interpreting numerical data, including establishing </w:t>
            </w:r>
            <w:r w:rsidRPr="000B22DC">
              <w:t>series, means and averages, absolute and proportional material and energy usage per product or process, correlations and rates of change</w:t>
            </w:r>
          </w:p>
          <w:p w:rsidR="00000000" w:rsidRPr="000B22DC" w:rsidP="000B22DC">
            <w:pPr>
              <w:pStyle w:val="ListBullet"/>
            </w:pPr>
            <w:r w:rsidRPr="000B22DC">
              <w:t>analysing and conducting root cause analysis</w:t>
            </w:r>
          </w:p>
          <w:p w:rsidR="00000000" w:rsidRPr="000B22DC" w:rsidP="000B22DC">
            <w:pPr>
              <w:pStyle w:val="ListBullet"/>
            </w:pPr>
            <w:r w:rsidRPr="000B22DC">
              <w:t xml:space="preserve">calculating theoretical consumption of resources as the minimum amount of </w:t>
            </w:r>
            <w:r w:rsidRPr="000B22DC">
              <w:t>resources per product or process step as defined by the customer multiplied by the rate of production or process</w:t>
            </w:r>
          </w:p>
          <w:p w:rsidR="00000000" w:rsidRPr="000B22DC" w:rsidP="000B22DC">
            <w:pPr>
              <w:pStyle w:val="ListBullet"/>
            </w:pPr>
            <w:r w:rsidRPr="000B22DC">
              <w:t>calculating actual consumption of resources per unit (e.g. per product, operation, site or value chain)</w:t>
            </w:r>
          </w:p>
          <w:p w:rsidR="00000000" w:rsidRPr="000B22DC" w:rsidP="000B22DC">
            <w:pPr>
              <w:pStyle w:val="ListBullet"/>
            </w:pPr>
            <w:r w:rsidRPr="000B22DC">
              <w:t>writing technical reports</w:t>
            </w:r>
          </w:p>
          <w:p w:rsidR="00000000" w:rsidRPr="000B22DC" w:rsidP="000B22DC">
            <w:pPr>
              <w:pStyle w:val="ListBullet"/>
            </w:pPr>
            <w:r w:rsidRPr="000B22DC">
              <w:t>consulting wi</w:t>
            </w:r>
            <w:r w:rsidRPr="000B22DC">
              <w:t>th technical experts and internal and external stakeholders</w:t>
            </w:r>
          </w:p>
          <w:p w:rsidR="00000000" w:rsidRPr="000B22DC" w:rsidP="000B22DC">
            <w:pPr>
              <w:pStyle w:val="BodyText"/>
            </w:pPr>
          </w:p>
        </w:tc>
      </w:tr>
    </w:tbl>
    <w:p w:rsidR="00000000" w:rsidRPr="000B22DC" w:rsidP="000B22DC">
      <w:pPr>
        <w:pStyle w:val="BodyText"/>
      </w:pPr>
    </w:p>
    <w:p w:rsidR="00000000" w:rsidRPr="000B22DC" w:rsidP="000B22DC">
      <w:pPr>
        <w:pStyle w:val="AllowPageBreak"/>
      </w:pPr>
    </w:p>
    <w:p w:rsidR="00000000" w:rsidRPr="000B22DC" w:rsidP="000B22DC">
      <w:pPr>
        <w:pStyle w:val="Heading1"/>
      </w:pPr>
      <w:bookmarkStart w:id="10" w:name="O_339965"/>
      <w:bookmarkEnd w:id="10"/>
      <w:r w:rsidRPr="000B22DC">
        <w:t>Evidence Guide</w:t>
      </w:r>
    </w:p>
    <w:tbl>
      <w:tblPr>
        <w:tblW w:w="9354" w:type="dxa"/>
        <w:tblLayout w:type="fixed"/>
        <w:tblCellMar>
          <w:left w:w="62" w:type="dxa"/>
          <w:right w:w="62" w:type="dxa"/>
        </w:tblCellMar>
        <w:tblLook w:val="0000"/>
      </w:tblPr>
      <w:tblGrid>
        <w:gridCol w:w="3692"/>
        <w:gridCol w:w="5662"/>
      </w:tblGrid>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BodyText"/>
              <w:rPr>
                <w:lang w:val="en-NZ"/>
              </w:rPr>
            </w:pPr>
            <w:r w:rsidRPr="000B22DC">
              <w:t>A person who demonstrates competency in this unit must be able to identify and quantify resources and waste in a process, recommend strategies to reduce waste and prepare a report with recommendations.</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Critical aspects for assessment and evidence required</w:t>
            </w:r>
            <w:r w:rsidRPr="000B22DC">
              <w:t xml:space="preserve">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BodyText"/>
            </w:pPr>
            <w:r w:rsidRPr="000B22DC">
              <w:t>Assessors must be satisfied that the candidate can competently and consistently apply the skills covered in this unit of competency in new and different situations and contexts. Critical aspects of assessment and evi</w:t>
            </w:r>
            <w:r w:rsidRPr="000B22DC">
              <w:t>dence include:</w:t>
            </w:r>
          </w:p>
          <w:p w:rsidR="00000000" w:rsidRPr="000B22DC" w:rsidP="000B22DC">
            <w:pPr>
              <w:pStyle w:val="ListBullet"/>
            </w:pPr>
            <w:r w:rsidRPr="000B22DC">
              <w:t>quantifying significant resource consumption and emission using materials balancing</w:t>
            </w:r>
          </w:p>
          <w:p w:rsidR="00000000" w:rsidRPr="000B22DC" w:rsidP="000B22DC">
            <w:pPr>
              <w:pStyle w:val="ListBullet"/>
            </w:pPr>
            <w:r w:rsidRPr="000B22DC">
              <w:t>identifying and consulting with stakeholders</w:t>
            </w:r>
          </w:p>
          <w:p w:rsidR="00000000" w:rsidRPr="000B22DC" w:rsidP="000B22DC">
            <w:pPr>
              <w:pStyle w:val="ListBullet"/>
            </w:pPr>
            <w:r w:rsidRPr="000B22DC">
              <w:t xml:space="preserve">developing strategies for reducing emissions </w:t>
            </w:r>
          </w:p>
          <w:p w:rsidR="00000000" w:rsidP="000B22DC">
            <w:pPr>
              <w:pStyle w:val="ListBullet"/>
              <w:rPr>
                <w:lang w:val="en-NZ"/>
              </w:rPr>
            </w:pPr>
            <w:r w:rsidRPr="000B22DC">
              <w:t>preparing and presenting a resources use report.</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 xml:space="preserve">Context of and </w:t>
            </w:r>
            <w:r w:rsidRPr="000B22DC">
              <w:t>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ListBullet"/>
            </w:pPr>
            <w:r w:rsidRPr="000B22DC">
              <w:t>This unit of competency is to be assessed in the workplace or a simulated workplace environment.</w:t>
            </w:r>
          </w:p>
          <w:p w:rsidR="00000000" w:rsidRPr="000B22DC" w:rsidP="000B22DC">
            <w:pPr>
              <w:pStyle w:val="ListBullet"/>
            </w:pPr>
            <w:r w:rsidRPr="000B22DC">
              <w:t>Assessment should emphasise a workplace context and procedures found in the candidate’s workplace.</w:t>
            </w:r>
          </w:p>
          <w:p w:rsidR="00000000" w:rsidRPr="000B22DC" w:rsidP="000B22DC">
            <w:pPr>
              <w:pStyle w:val="ListBullet"/>
            </w:pPr>
            <w:r w:rsidRPr="000B22DC">
              <w:t>This unit of competency m</w:t>
            </w:r>
            <w:r w:rsidRPr="000B22DC">
              <w:t>ay be assessed with other relevant units addressing sustainability at the enterprise level or other units requiring the exercise of the skills and knowledge covered by this unit.</w:t>
            </w:r>
          </w:p>
          <w:p w:rsidR="00000000" w:rsidP="000B22DC">
            <w:pPr>
              <w:pStyle w:val="ListBullet"/>
              <w:rPr>
                <w:lang w:val="en-NZ"/>
              </w:rPr>
            </w:pPr>
            <w:r w:rsidRPr="000B22DC">
              <w:t xml:space="preserve">The competencies covered by this unit would be demonstrated by an individual </w:t>
            </w:r>
            <w:r w:rsidRPr="000B22DC">
              <w:t>working alone or as part of a team.</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ListBullet"/>
            </w:pPr>
            <w:r w:rsidRPr="000B22DC">
              <w:t xml:space="preserve">In all cases, practical assessment should be supported by questions to assess underpinning knowledge and those aspects of competency which are difficult to assess directly. </w:t>
            </w:r>
          </w:p>
          <w:p w:rsidR="00000000" w:rsidRPr="000B22DC" w:rsidP="000B22DC">
            <w:pPr>
              <w:pStyle w:val="ListBullet"/>
            </w:pPr>
            <w:r w:rsidRPr="000B22DC">
              <w:t xml:space="preserve">Where applicable, reasonable adjustment must be made to work environments and training situations to accommodate ethnicity, age, gender, demographics and disability. </w:t>
            </w:r>
          </w:p>
          <w:p w:rsidR="00000000" w:rsidP="000B22DC">
            <w:pPr>
              <w:pStyle w:val="ListBullet"/>
              <w:rPr>
                <w:lang w:val="en-NZ"/>
              </w:rPr>
            </w:pPr>
            <w:r w:rsidRPr="000B22DC">
              <w:t>The language, literacy and numeracy demands of assessment should not be greater than thos</w:t>
            </w:r>
            <w:r w:rsidRPr="000B22DC">
              <w:t>e required to undertake the unit of competency in a work-like environment.</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BodyText"/>
            </w:pPr>
          </w:p>
        </w:tc>
      </w:tr>
    </w:tbl>
    <w:p w:rsidR="00000000" w:rsidRPr="000B22DC" w:rsidP="000B22DC">
      <w:pPr>
        <w:pStyle w:val="BodyText"/>
      </w:pPr>
    </w:p>
    <w:p w:rsidR="00000000" w:rsidRPr="000B22DC" w:rsidP="000B22DC">
      <w:pPr>
        <w:pStyle w:val="AllowPageBreak"/>
      </w:pPr>
    </w:p>
    <w:p w:rsidR="00000000" w:rsidRPr="000B22DC" w:rsidP="000B22DC">
      <w:pPr>
        <w:pStyle w:val="Heading1"/>
      </w:pPr>
      <w:bookmarkStart w:id="11" w:name="O_339966"/>
      <w:bookmarkEnd w:id="11"/>
      <w:r w:rsidRPr="000B22DC">
        <w:t>Range Statement</w:t>
      </w:r>
    </w:p>
    <w:tbl>
      <w:tblPr>
        <w:tblW w:w="9354" w:type="dxa"/>
        <w:tblLayout w:type="fixed"/>
        <w:tblCellMar>
          <w:left w:w="62" w:type="dxa"/>
          <w:right w:w="62" w:type="dxa"/>
        </w:tblCellMar>
        <w:tblLook w:val="0000"/>
      </w:tblPr>
      <w:tblGrid>
        <w:gridCol w:w="3692"/>
        <w:gridCol w:w="5662"/>
      </w:tblGrid>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 xml:space="preserve">Waste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TableBodyText"/>
              <w:rPr>
                <w:lang w:val="en-NZ"/>
              </w:rPr>
            </w:pPr>
            <w:r w:rsidRPr="000B22DC">
              <w:t>Waste in this unit is used in the broader sense of ‘muda’</w:t>
            </w:r>
            <w:r w:rsidRPr="000B22DC">
              <w:t xml:space="preserve"> as used in lean manufacturing and the competitive manufacturing units of competency developed by Manufacturing Skills Australia (MSA) </w:t>
            </w:r>
          </w:p>
        </w:tc>
      </w:tr>
      <w:tr w:rsidTr="000B22DC">
        <w:tblPrEx>
          <w:tblW w:w="9354" w:type="dxa"/>
          <w:tblLayout w:type="fixed"/>
          <w:tblCellMar>
            <w:left w:w="62" w:type="dxa"/>
            <w:right w:w="62" w:type="dxa"/>
          </w:tblCellMar>
          <w:tblLook w:val="0000"/>
        </w:tblPrEx>
        <w:trPr>
          <w:trHeight w:val="2785"/>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Emissions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TableBodyText"/>
            </w:pPr>
            <w:r w:rsidRPr="000B22DC">
              <w:t xml:space="preserve">Emissions means all materials which enter the process/site but which do not leave as part of the product and </w:t>
            </w:r>
            <w:r w:rsidRPr="000B22DC">
              <w:t>so includes:</w:t>
            </w:r>
          </w:p>
          <w:p w:rsidR="00000000" w:rsidRPr="000B22DC" w:rsidP="000B22DC">
            <w:pPr>
              <w:pStyle w:val="ListBullet"/>
            </w:pPr>
            <w:r w:rsidRPr="000B22DC">
              <w:t>known or able to be physically measured emissions of:</w:t>
            </w:r>
          </w:p>
          <w:p w:rsidR="00000000" w:rsidRPr="000B22DC" w:rsidP="000B22DC">
            <w:pPr>
              <w:pStyle w:val="ListBullet2"/>
            </w:pPr>
            <w:r w:rsidRPr="000B22DC">
              <w:t>gases, vapours and fumes</w:t>
            </w:r>
          </w:p>
          <w:p w:rsidR="00000000" w:rsidRPr="000B22DC" w:rsidP="000B22DC">
            <w:pPr>
              <w:pStyle w:val="ListBullet2"/>
            </w:pPr>
            <w:r w:rsidRPr="000B22DC">
              <w:t>liquids</w:t>
            </w:r>
          </w:p>
          <w:p w:rsidR="00000000" w:rsidRPr="000B22DC" w:rsidP="000B22DC">
            <w:pPr>
              <w:pStyle w:val="ListBullet2"/>
            </w:pPr>
            <w:r w:rsidRPr="000B22DC">
              <w:t>solids</w:t>
            </w:r>
          </w:p>
          <w:p w:rsidR="00000000" w:rsidRPr="000B22DC" w:rsidP="000B22DC">
            <w:pPr>
              <w:pStyle w:val="ListBullet"/>
            </w:pPr>
            <w:r w:rsidRPr="000B22DC">
              <w:t>assumed emissions through material balancing</w:t>
            </w:r>
          </w:p>
          <w:p w:rsidR="00000000" w:rsidP="000B22DC">
            <w:pPr>
              <w:pStyle w:val="ListBullet"/>
              <w:rPr>
                <w:lang w:val="en-NZ"/>
              </w:rPr>
            </w:pPr>
            <w:r w:rsidRPr="000B22DC">
              <w:t>assumed emissions through energy loss, including heat, friction and other energy conversion yield losses</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Theoretical consumption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TableBodyText"/>
              <w:rPr>
                <w:lang w:val="en-NZ"/>
              </w:rPr>
            </w:pPr>
            <w:r w:rsidRPr="000B22DC">
              <w:t>Theoretical consumption of resources is the minimum amount of resources per product as defined by the customer multiplied by the rate of production</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Actual consumption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TableBodyText"/>
              <w:rPr>
                <w:lang w:val="en-NZ"/>
              </w:rPr>
            </w:pPr>
            <w:r w:rsidRPr="000B22DC">
              <w:t>Actual consumption is the amount of a resource entering the value chain</w:t>
            </w:r>
          </w:p>
        </w:tc>
      </w:tr>
      <w:tr w:rsidTr="000B22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2DC">
            <w:pPr>
              <w:pStyle w:val="Heading4"/>
            </w:pPr>
            <w:r w:rsidRPr="000B22DC">
              <w:t>Significant res</w:t>
            </w:r>
            <w:r w:rsidRPr="000B22DC">
              <w:t>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2DC" w:rsidP="000B22DC">
            <w:pPr>
              <w:pStyle w:val="TableBodyText"/>
            </w:pPr>
            <w:r w:rsidRPr="000B22DC">
              <w:t>Significant resources includes resources which are deemed to be significant because they are:</w:t>
            </w:r>
          </w:p>
          <w:p w:rsidR="00000000" w:rsidRPr="000B22DC" w:rsidP="000B22DC">
            <w:pPr>
              <w:pStyle w:val="ListBullet"/>
            </w:pPr>
            <w:r w:rsidRPr="000B22DC">
              <w:t>high volume</w:t>
            </w:r>
          </w:p>
          <w:p w:rsidR="00000000" w:rsidRPr="000B22DC" w:rsidP="000B22DC">
            <w:pPr>
              <w:pStyle w:val="ListBullet"/>
            </w:pPr>
            <w:r w:rsidRPr="000B22DC">
              <w:t>high value</w:t>
            </w:r>
          </w:p>
          <w:p w:rsidR="00000000" w:rsidRPr="000B22DC" w:rsidP="000B22DC">
            <w:pPr>
              <w:pStyle w:val="ListBullet"/>
            </w:pPr>
            <w:r w:rsidRPr="000B22DC">
              <w:t>high environmental significance</w:t>
            </w:r>
          </w:p>
          <w:p w:rsidR="00000000" w:rsidRPr="000B22DC" w:rsidP="000B22DC">
            <w:pPr>
              <w:pStyle w:val="ListBullet"/>
            </w:pPr>
            <w:r w:rsidRPr="000B22DC">
              <w:t xml:space="preserve">important to the product or process </w:t>
            </w:r>
          </w:p>
          <w:p w:rsidR="00000000" w:rsidRPr="000B22DC" w:rsidP="000B22DC">
            <w:pPr>
              <w:pStyle w:val="ListBullet"/>
            </w:pPr>
            <w:r w:rsidRPr="000B22DC">
              <w:t xml:space="preserve">covered by legislation or regulation </w:t>
            </w:r>
          </w:p>
          <w:p w:rsidR="00000000" w:rsidRPr="000B22DC" w:rsidP="000B22DC">
            <w:pPr>
              <w:pStyle w:val="ListBullet"/>
            </w:pPr>
            <w:r w:rsidRPr="000B22DC">
              <w:t>important to the enterpr</w:t>
            </w:r>
            <w:r w:rsidRPr="000B22DC">
              <w:t>ise</w:t>
            </w:r>
          </w:p>
          <w:p w:rsidR="00000000" w:rsidRPr="000B22DC" w:rsidP="000B22DC">
            <w:pPr>
              <w:pStyle w:val="TableBodyText"/>
            </w:pPr>
            <w:r w:rsidRPr="000B22DC">
              <w:t>It need not include resources which are incidental to the activity and which are not otherwise significant</w:t>
            </w:r>
          </w:p>
        </w:tc>
      </w:tr>
    </w:tbl>
    <w:p w:rsidR="00000000" w:rsidRPr="000B22DC" w:rsidP="000B22DC">
      <w:pPr>
        <w:pStyle w:val="BodyText"/>
      </w:pPr>
    </w:p>
    <w:p w:rsidR="00000000" w:rsidRPr="000B22DC" w:rsidP="000B22DC">
      <w:pPr>
        <w:pStyle w:val="AllowPageBreak"/>
      </w:pPr>
    </w:p>
    <w:p w:rsidR="00000000" w:rsidRPr="000B22DC" w:rsidP="000B22DC">
      <w:pPr>
        <w:pStyle w:val="Heading1"/>
      </w:pPr>
      <w:bookmarkStart w:id="12" w:name="O_339967"/>
      <w:bookmarkEnd w:id="12"/>
      <w:r w:rsidRPr="000B22DC">
        <w:t>Unit Sector(s)</w:t>
      </w:r>
    </w:p>
    <w:p w:rsidR="00000000" w:rsidRPr="000B22DC" w:rsidP="000B22DC">
      <w:pPr>
        <w:pStyle w:val="BodyText"/>
      </w:pPr>
      <w:r w:rsidRPr="000B22DC">
        <w:t>Sustainability</w:t>
      </w:r>
    </w:p>
    <w:p w:rsidR="00000000" w:rsidRPr="000B22DC" w:rsidP="000B22DC">
      <w:pPr>
        <w:pStyle w:val="AllowPageBreak"/>
      </w:pPr>
    </w:p>
    <w:p w:rsidR="00000000" w:rsidRPr="000B22DC" w:rsidP="000B22DC">
      <w:pPr>
        <w:pStyle w:val="Heading1"/>
      </w:pPr>
      <w:bookmarkStart w:id="13" w:name="O_339968"/>
      <w:bookmarkEnd w:id="13"/>
      <w:r w:rsidRPr="000B22DC">
        <w:t>Custom Content Section</w:t>
      </w:r>
    </w:p>
    <w:p w:rsidR="00000000" w:rsidRPr="000B22DC" w:rsidP="000B22DC">
      <w:pPr>
        <w:pStyle w:val="BodyText"/>
      </w:pPr>
      <w:r w:rsidRPr="000B22DC">
        <w:t>Not applicable.</w:t>
      </w:r>
    </w:p>
    <w:p w:rsidR="00000000" w:rsidRPr="000B22DC" w:rsidP="000B22DC"/>
    <w:sectPr w:rsidSect="000B2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1CB" w:rsidP="00680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1CB" w:rsidP="000B2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01CB" w:rsidP="000B22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01CB" w:rsidP="000B22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1CB" w:rsidP="006801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1CB" w:rsidP="000B22DC">
    <w:pPr>
      <w:pStyle w:val="Header"/>
      <w:framePr w:wrap="around"/>
    </w:pPr>
    <w:r>
      <w:fldChar w:fldCharType="begin"/>
    </w:r>
    <w:r>
      <w:instrText xml:space="preserve"> TITLE   \* MERGEFORMAT </w:instrText>
    </w:r>
    <w:r>
      <w:fldChar w:fldCharType="separate"/>
    </w:r>
    <w:r>
      <w:t>MSS015002A Develop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01CB" w:rsidP="000B22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4E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62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B6D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2DC"/>
    <w:pPr>
      <w:spacing w:before="360" w:after="60"/>
      <w:outlineLvl w:val="0"/>
    </w:pPr>
    <w:rPr>
      <w:sz w:val="32"/>
    </w:rPr>
  </w:style>
  <w:style w:type="paragraph" w:styleId="Heading2">
    <w:name w:val="heading 2"/>
    <w:basedOn w:val="HeadingBase"/>
    <w:next w:val="BodyText"/>
    <w:link w:val="Heading2Char"/>
    <w:qFormat/>
    <w:rsid w:val="000B22DC"/>
    <w:pPr>
      <w:keepLines/>
      <w:spacing w:before="240" w:after="120"/>
      <w:outlineLvl w:val="1"/>
    </w:pPr>
    <w:rPr>
      <w:sz w:val="28"/>
      <w:szCs w:val="40"/>
    </w:rPr>
  </w:style>
  <w:style w:type="paragraph" w:styleId="Heading3">
    <w:name w:val="heading 3"/>
    <w:basedOn w:val="HeadingBase"/>
    <w:next w:val="BodyText"/>
    <w:link w:val="Heading3Char"/>
    <w:qFormat/>
    <w:rsid w:val="000B22DC"/>
    <w:pPr>
      <w:spacing w:before="180" w:after="120"/>
      <w:outlineLvl w:val="2"/>
    </w:pPr>
    <w:rPr>
      <w:spacing w:val="-10"/>
      <w:kern w:val="32"/>
    </w:rPr>
  </w:style>
  <w:style w:type="paragraph" w:styleId="Heading4">
    <w:name w:val="heading 4"/>
    <w:basedOn w:val="HeadingBase"/>
    <w:next w:val="BodyText"/>
    <w:link w:val="Heading4Char"/>
    <w:qFormat/>
    <w:rsid w:val="000B22DC"/>
    <w:pPr>
      <w:spacing w:before="160" w:after="120"/>
      <w:outlineLvl w:val="3"/>
    </w:pPr>
    <w:rPr>
      <w:sz w:val="22"/>
    </w:rPr>
  </w:style>
  <w:style w:type="paragraph" w:styleId="Heading5">
    <w:name w:val="heading 5"/>
    <w:basedOn w:val="HeadingBase"/>
    <w:next w:val="Normal"/>
    <w:link w:val="Heading5Char"/>
    <w:qFormat/>
    <w:rsid w:val="000B22DC"/>
    <w:pPr>
      <w:spacing w:before="80"/>
      <w:outlineLvl w:val="4"/>
    </w:pPr>
    <w:rPr>
      <w:color w:val="918585"/>
      <w:sz w:val="20"/>
    </w:rPr>
  </w:style>
  <w:style w:type="paragraph" w:styleId="Heading6">
    <w:name w:val="heading 6"/>
    <w:basedOn w:val="HeadingBase"/>
    <w:next w:val="Normal"/>
    <w:link w:val="Heading6Char"/>
    <w:qFormat/>
    <w:rsid w:val="000B22DC"/>
    <w:pPr>
      <w:spacing w:before="60"/>
      <w:outlineLvl w:val="5"/>
    </w:pPr>
    <w:rPr>
      <w:color w:val="918585"/>
      <w:sz w:val="20"/>
    </w:rPr>
  </w:style>
  <w:style w:type="paragraph" w:styleId="Heading7">
    <w:name w:val="heading 7"/>
    <w:basedOn w:val="Normal"/>
    <w:next w:val="Normal"/>
    <w:link w:val="Heading7Char"/>
    <w:qFormat/>
    <w:rsid w:val="000B22DC"/>
    <w:pPr>
      <w:ind w:left="720"/>
      <w:outlineLvl w:val="6"/>
    </w:pPr>
    <w:rPr>
      <w:i/>
    </w:rPr>
  </w:style>
  <w:style w:type="paragraph" w:styleId="Heading8">
    <w:name w:val="heading 8"/>
    <w:basedOn w:val="Normal"/>
    <w:next w:val="Normal"/>
    <w:link w:val="Heading8Char"/>
    <w:qFormat/>
    <w:rsid w:val="000B22DC"/>
    <w:pPr>
      <w:ind w:left="720"/>
      <w:outlineLvl w:val="7"/>
    </w:pPr>
    <w:rPr>
      <w:i/>
    </w:rPr>
  </w:style>
  <w:style w:type="paragraph" w:styleId="Heading9">
    <w:name w:val="heading 9"/>
    <w:basedOn w:val="Normal"/>
    <w:next w:val="Normal"/>
    <w:link w:val="Heading9Char"/>
    <w:qFormat/>
    <w:rsid w:val="000B22DC"/>
    <w:pPr>
      <w:ind w:left="720"/>
      <w:outlineLvl w:val="8"/>
    </w:pPr>
    <w:rPr>
      <w:i/>
    </w:rPr>
  </w:style>
  <w:style w:type="character" w:default="1" w:styleId="DefaultParagraphFont">
    <w:name w:val="Default Paragraph Font"/>
    <w:uiPriority w:val="1"/>
    <w:unhideWhenUsed/>
    <w:rsid w:val="000B2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2DC"/>
  </w:style>
  <w:style w:type="character" w:customStyle="1" w:styleId="Heading1Char">
    <w:name w:val="Heading 1 Char"/>
    <w:basedOn w:val="DefaultParagraphFont"/>
    <w:link w:val="Heading1"/>
    <w:rsid w:val="000B22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B22DC"/>
    <w:rPr>
      <w:rFonts w:ascii="Times New Roman" w:eastAsia="Times New Roman" w:hAnsi="Times New Roman" w:cs="Times New Roman"/>
      <w:b/>
      <w:szCs w:val="20"/>
      <w:lang w:eastAsia="en-US"/>
    </w:rPr>
  </w:style>
  <w:style w:type="paragraph" w:styleId="BodyText">
    <w:name w:val="Body Text"/>
    <w:basedOn w:val="Normal"/>
    <w:link w:val="BodyTextChar"/>
    <w:rsid w:val="000B2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2DC"/>
    <w:rPr>
      <w:rFonts w:ascii="Times New Roman" w:eastAsia="Times New Roman" w:hAnsi="Times New Roman" w:cs="Times New Roman"/>
      <w:sz w:val="24"/>
      <w:lang w:val="en-US" w:eastAsia="en-US"/>
    </w:rPr>
  </w:style>
  <w:style w:type="paragraph" w:styleId="Footer">
    <w:name w:val="footer"/>
    <w:basedOn w:val="Normal"/>
    <w:link w:val="FooterChar"/>
    <w:rsid w:val="000B2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2DC"/>
    <w:rPr>
      <w:rFonts w:ascii="Times New Roman" w:eastAsia="Times New Roman" w:hAnsi="Times New Roman" w:cs="Times New Roman"/>
      <w:sz w:val="16"/>
      <w:lang w:val="en-US" w:eastAsia="en-US"/>
    </w:rPr>
  </w:style>
  <w:style w:type="paragraph" w:styleId="ListBullet">
    <w:name w:val="List Bullet"/>
    <w:basedOn w:val="List"/>
    <w:rsid w:val="000B22DC"/>
    <w:pPr>
      <w:numPr>
        <w:numId w:val="13"/>
      </w:numPr>
      <w:tabs>
        <w:tab w:val="clear" w:pos="340"/>
      </w:tabs>
      <w:spacing w:before="40" w:after="40"/>
    </w:pPr>
  </w:style>
  <w:style w:type="paragraph" w:styleId="ListBullet2">
    <w:name w:val="List Bullet 2"/>
    <w:basedOn w:val="List2"/>
    <w:rsid w:val="000B22DC"/>
    <w:pPr>
      <w:numPr>
        <w:numId w:val="14"/>
      </w:numPr>
      <w:tabs>
        <w:tab w:val="clear" w:pos="680"/>
      </w:tabs>
    </w:pPr>
  </w:style>
  <w:style w:type="paragraph" w:styleId="Header">
    <w:name w:val="header"/>
    <w:basedOn w:val="Normal"/>
    <w:link w:val="HeaderChar"/>
    <w:rsid w:val="000B2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2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22DC"/>
    <w:pPr>
      <w:spacing w:before="240" w:after="120"/>
      <w:outlineLvl w:val="0"/>
    </w:pPr>
    <w:rPr>
      <w:rFonts w:ascii="Times New Roman" w:hAnsi="Times New Roman"/>
      <w:b/>
      <w:sz w:val="28"/>
    </w:rPr>
  </w:style>
  <w:style w:type="paragraph" w:customStyle="1" w:styleId="AllowPageBreak">
    <w:name w:val="AllowPageBreak"/>
    <w:rsid w:val="000B22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B22DC"/>
    <w:pPr>
      <w:spacing w:before="60" w:after="60"/>
    </w:pPr>
  </w:style>
  <w:style w:type="character" w:customStyle="1" w:styleId="Heading2Char">
    <w:name w:val="Heading 2 Char"/>
    <w:basedOn w:val="DefaultParagraphFont"/>
    <w:link w:val="Heading2"/>
    <w:rsid w:val="000B2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2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B2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2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2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2DC"/>
    <w:rPr>
      <w:rFonts w:ascii="Courier New" w:eastAsia="Times New Roman" w:hAnsi="Courier New" w:cs="Times New Roman"/>
      <w:i/>
      <w:szCs w:val="20"/>
      <w:lang w:val="en-US" w:eastAsia="en-US"/>
    </w:rPr>
  </w:style>
  <w:style w:type="paragraph" w:customStyle="1" w:styleId="HeadingBase">
    <w:name w:val="Heading Base"/>
    <w:rsid w:val="000B2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2DC"/>
    <w:pPr>
      <w:tabs>
        <w:tab w:val="right" w:leader="dot" w:pos="9072"/>
      </w:tabs>
      <w:ind w:left="567"/>
    </w:pPr>
    <w:rPr>
      <w:szCs w:val="22"/>
    </w:rPr>
  </w:style>
  <w:style w:type="paragraph" w:customStyle="1" w:styleId="TOCBase">
    <w:name w:val="TOC Base"/>
    <w:rsid w:val="000B2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2DC"/>
    <w:pPr>
      <w:tabs>
        <w:tab w:val="right" w:leader="dot" w:pos="9072"/>
      </w:tabs>
      <w:spacing w:before="40" w:after="40"/>
      <w:ind w:left="284"/>
    </w:pPr>
    <w:rPr>
      <w:rFonts w:ascii="Times New Roman" w:hAnsi="Times New Roman"/>
    </w:rPr>
  </w:style>
  <w:style w:type="paragraph" w:styleId="TOC1">
    <w:name w:val="toc 1"/>
    <w:basedOn w:val="TOCBase"/>
    <w:next w:val="Normal"/>
    <w:rsid w:val="000B22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2DC"/>
    <w:pPr>
      <w:spacing w:before="5040"/>
      <w:jc w:val="center"/>
    </w:pPr>
    <w:rPr>
      <w:sz w:val="48"/>
      <w:szCs w:val="72"/>
      <w:lang w:val="en-US"/>
    </w:rPr>
  </w:style>
  <w:style w:type="character" w:customStyle="1" w:styleId="TitleChar">
    <w:name w:val="Title Char"/>
    <w:basedOn w:val="DefaultParagraphFont"/>
    <w:link w:val="Title"/>
    <w:rsid w:val="000B2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2DC"/>
    <w:pPr>
      <w:tabs>
        <w:tab w:val="left" w:pos="3600"/>
        <w:tab w:val="left" w:pos="3958"/>
      </w:tabs>
    </w:pPr>
  </w:style>
  <w:style w:type="paragraph" w:styleId="List">
    <w:name w:val="List"/>
    <w:basedOn w:val="BodyText"/>
    <w:next w:val="BodyText"/>
    <w:rsid w:val="000B22DC"/>
    <w:pPr>
      <w:tabs>
        <w:tab w:val="left" w:pos="340"/>
      </w:tabs>
      <w:spacing w:before="60" w:after="60"/>
      <w:ind w:left="340" w:hanging="340"/>
    </w:pPr>
  </w:style>
  <w:style w:type="paragraph" w:customStyle="1" w:styleId="Note">
    <w:name w:val="Note"/>
    <w:basedOn w:val="BodyText"/>
    <w:rsid w:val="000B22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2DC"/>
    <w:rPr>
      <w:b/>
      <w:spacing w:val="0"/>
    </w:rPr>
  </w:style>
  <w:style w:type="paragraph" w:customStyle="1" w:styleId="SuperTitle">
    <w:name w:val="SuperTitle"/>
    <w:basedOn w:val="Title"/>
    <w:rsid w:val="000B22DC"/>
    <w:pPr>
      <w:framePr w:wrap="auto" w:hAnchor="text" w:y="6049"/>
    </w:pPr>
    <w:rPr>
      <w:color w:val="000000"/>
      <w:sz w:val="40"/>
    </w:rPr>
  </w:style>
  <w:style w:type="paragraph" w:customStyle="1" w:styleId="TOCTitle">
    <w:name w:val="TOCTitle"/>
    <w:basedOn w:val="Heading1"/>
    <w:rsid w:val="000B22DC"/>
    <w:pPr>
      <w:spacing w:after="240"/>
      <w:jc w:val="center"/>
      <w:outlineLvl w:val="9"/>
    </w:pPr>
    <w:rPr>
      <w:caps/>
    </w:rPr>
  </w:style>
  <w:style w:type="paragraph" w:customStyle="1" w:styleId="Version">
    <w:name w:val="Version"/>
    <w:rsid w:val="000B2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2DC"/>
    <w:pPr>
      <w:keepNext w:val="0"/>
      <w:tabs>
        <w:tab w:val="right" w:pos="4176"/>
      </w:tabs>
      <w:ind w:left="198" w:hanging="198"/>
    </w:pPr>
    <w:rPr>
      <w:rFonts w:ascii="Garamond" w:hAnsi="Garamond"/>
    </w:rPr>
  </w:style>
  <w:style w:type="paragraph" w:styleId="IndexHeading">
    <w:name w:val="index heading"/>
    <w:basedOn w:val="Normal"/>
    <w:next w:val="Index1"/>
    <w:semiHidden/>
    <w:rsid w:val="000B22DC"/>
    <w:pPr>
      <w:spacing w:before="120" w:after="120"/>
    </w:pPr>
    <w:rPr>
      <w:rFonts w:ascii="Arial" w:hAnsi="Arial"/>
      <w:b/>
      <w:color w:val="918585"/>
      <w:sz w:val="24"/>
    </w:rPr>
  </w:style>
  <w:style w:type="paragraph" w:customStyle="1" w:styleId="Chapter">
    <w:name w:val="Chapter"/>
    <w:basedOn w:val="Normal"/>
    <w:rsid w:val="000B22DC"/>
    <w:pPr>
      <w:spacing w:before="240"/>
    </w:pPr>
    <w:rPr>
      <w:rFonts w:ascii="Times New Roman" w:hAnsi="Times New Roman"/>
      <w:smallCaps/>
      <w:spacing w:val="80"/>
      <w:sz w:val="28"/>
    </w:rPr>
  </w:style>
  <w:style w:type="paragraph" w:customStyle="1" w:styleId="InChapter">
    <w:name w:val="InChapter"/>
    <w:basedOn w:val="Heading3"/>
    <w:rsid w:val="000B22DC"/>
    <w:pPr>
      <w:spacing w:after="240"/>
      <w:outlineLvl w:val="9"/>
    </w:pPr>
    <w:rPr>
      <w:noProof/>
    </w:rPr>
  </w:style>
  <w:style w:type="paragraph" w:styleId="Index2">
    <w:name w:val="index 2"/>
    <w:basedOn w:val="Normal"/>
    <w:next w:val="Normal"/>
    <w:semiHidden/>
    <w:rsid w:val="000B22DC"/>
    <w:pPr>
      <w:tabs>
        <w:tab w:val="right" w:pos="4176"/>
      </w:tabs>
      <w:ind w:left="568" w:hanging="284"/>
    </w:pPr>
    <w:rPr>
      <w:rFonts w:ascii="Garamond" w:hAnsi="Garamond"/>
    </w:rPr>
  </w:style>
  <w:style w:type="paragraph" w:customStyle="1" w:styleId="Byline">
    <w:name w:val="Byline"/>
    <w:rsid w:val="000B2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2DC"/>
    <w:pPr>
      <w:tabs>
        <w:tab w:val="clear" w:pos="3600"/>
        <w:tab w:val="clear" w:pos="3958"/>
      </w:tabs>
      <w:jc w:val="right"/>
    </w:pPr>
  </w:style>
  <w:style w:type="character" w:styleId="Emphasis">
    <w:name w:val="Emphasis"/>
    <w:basedOn w:val="DefaultParagraphFont"/>
    <w:qFormat/>
    <w:rsid w:val="000B22DC"/>
    <w:rPr>
      <w:i/>
    </w:rPr>
  </w:style>
  <w:style w:type="paragraph" w:styleId="Caption">
    <w:name w:val="caption"/>
    <w:basedOn w:val="BodyText"/>
    <w:next w:val="Normal"/>
    <w:qFormat/>
    <w:rsid w:val="000B22DC"/>
    <w:pPr>
      <w:framePr w:w="2268" w:hSpace="181" w:vSpace="181" w:wrap="around" w:vAnchor="text" w:hAnchor="page" w:x="1135" w:y="285" w:anchorLock="1"/>
    </w:pPr>
    <w:rPr>
      <w:i/>
    </w:rPr>
  </w:style>
  <w:style w:type="paragraph" w:customStyle="1" w:styleId="MiniTOCTitle">
    <w:name w:val="MiniTOCTitle"/>
    <w:basedOn w:val="Heading4"/>
    <w:rsid w:val="000B22DC"/>
    <w:pPr>
      <w:spacing w:before="240"/>
      <w:outlineLvl w:val="9"/>
    </w:pPr>
    <w:rPr>
      <w:noProof/>
      <w:sz w:val="24"/>
    </w:rPr>
  </w:style>
  <w:style w:type="paragraph" w:customStyle="1" w:styleId="MiniTOCItem">
    <w:name w:val="MiniTOCItem"/>
    <w:basedOn w:val="ListBullet"/>
    <w:rsid w:val="000B22DC"/>
    <w:pPr>
      <w:numPr>
        <w:numId w:val="0"/>
      </w:numPr>
      <w:tabs>
        <w:tab w:val="right" w:leader="dot" w:pos="6521"/>
      </w:tabs>
      <w:spacing w:before="0" w:after="0"/>
    </w:pPr>
  </w:style>
  <w:style w:type="paragraph" w:customStyle="1" w:styleId="TOFTitle">
    <w:name w:val="TOFTitle"/>
    <w:basedOn w:val="TOCTitle"/>
    <w:rsid w:val="000B22DC"/>
  </w:style>
  <w:style w:type="paragraph" w:styleId="TableofFigures">
    <w:name w:val="table of figures"/>
    <w:basedOn w:val="Normal"/>
    <w:next w:val="Normal"/>
    <w:semiHidden/>
    <w:rsid w:val="000B22DC"/>
    <w:pPr>
      <w:tabs>
        <w:tab w:val="right" w:leader="dot" w:pos="9072"/>
      </w:tabs>
      <w:ind w:left="970" w:hanging="403"/>
    </w:pPr>
    <w:rPr>
      <w:rFonts w:ascii="Times New Roman" w:hAnsi="Times New Roman"/>
      <w:b/>
    </w:rPr>
  </w:style>
  <w:style w:type="paragraph" w:styleId="ListNumber">
    <w:name w:val="List Number"/>
    <w:basedOn w:val="List"/>
    <w:rsid w:val="000B22DC"/>
    <w:pPr>
      <w:numPr>
        <w:numId w:val="11"/>
      </w:numPr>
    </w:pPr>
  </w:style>
  <w:style w:type="character" w:customStyle="1" w:styleId="WingdingSymbols">
    <w:name w:val="Wingding Symbols"/>
    <w:rsid w:val="000B22DC"/>
    <w:rPr>
      <w:rFonts w:ascii="Wingdings" w:hAnsi="Wingdings"/>
    </w:rPr>
  </w:style>
  <w:style w:type="paragraph" w:customStyle="1" w:styleId="TableHeading">
    <w:name w:val="Table Heading"/>
    <w:basedOn w:val="HeadingBase"/>
    <w:rsid w:val="000B22DC"/>
    <w:pPr>
      <w:keepLines/>
      <w:pBdr>
        <w:bottom w:val="single" w:sz="6" w:space="1" w:color="918585"/>
      </w:pBdr>
      <w:spacing w:before="240"/>
    </w:pPr>
  </w:style>
  <w:style w:type="character" w:customStyle="1" w:styleId="HotSpot">
    <w:name w:val="HotSpot"/>
    <w:rsid w:val="000B22DC"/>
    <w:rPr>
      <w:color w:val="0033CC"/>
      <w:u w:val="none"/>
    </w:rPr>
  </w:style>
  <w:style w:type="paragraph" w:customStyle="1" w:styleId="BodyTextRight">
    <w:name w:val="Body Text Right"/>
    <w:basedOn w:val="BodyText"/>
    <w:rsid w:val="000B22DC"/>
    <w:pPr>
      <w:spacing w:before="0" w:after="0"/>
      <w:jc w:val="right"/>
    </w:pPr>
  </w:style>
  <w:style w:type="paragraph" w:styleId="Index3">
    <w:name w:val="index 3"/>
    <w:basedOn w:val="ListNumber2"/>
    <w:next w:val="Normal"/>
    <w:semiHidden/>
    <w:rsid w:val="000B22DC"/>
    <w:pPr>
      <w:numPr>
        <w:numId w:val="0"/>
      </w:numPr>
      <w:tabs>
        <w:tab w:val="right" w:leader="dot" w:pos="4176"/>
      </w:tabs>
    </w:pPr>
  </w:style>
  <w:style w:type="paragraph" w:styleId="ListNumber2">
    <w:name w:val="List Number 2"/>
    <w:basedOn w:val="List2"/>
    <w:rsid w:val="000B22DC"/>
    <w:pPr>
      <w:numPr>
        <w:numId w:val="10"/>
      </w:numPr>
      <w:tabs>
        <w:tab w:val="clear" w:pos="1060"/>
      </w:tabs>
    </w:pPr>
  </w:style>
  <w:style w:type="paragraph" w:customStyle="1" w:styleId="MarginNote">
    <w:name w:val="Margin Note"/>
    <w:basedOn w:val="BodyText"/>
    <w:rsid w:val="000B2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2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2DC"/>
    <w:rPr>
      <w:sz w:val="32"/>
    </w:rPr>
  </w:style>
  <w:style w:type="paragraph" w:customStyle="1" w:styleId="HeadingProcedure">
    <w:name w:val="Heading Procedure"/>
    <w:basedOn w:val="HeadingBase"/>
    <w:next w:val="Normal"/>
    <w:rsid w:val="000B22DC"/>
    <w:pPr>
      <w:tabs>
        <w:tab w:val="left" w:pos="0"/>
      </w:tabs>
      <w:spacing w:before="120" w:after="60"/>
    </w:pPr>
    <w:rPr>
      <w:i/>
      <w:color w:val="918585"/>
      <w:sz w:val="22"/>
    </w:rPr>
  </w:style>
  <w:style w:type="paragraph" w:styleId="ListContinue">
    <w:name w:val="List Continue"/>
    <w:basedOn w:val="List"/>
    <w:rsid w:val="000B22DC"/>
    <w:pPr>
      <w:ind w:firstLine="0"/>
    </w:pPr>
  </w:style>
  <w:style w:type="paragraph" w:customStyle="1" w:styleId="ListNote">
    <w:name w:val="List Note"/>
    <w:basedOn w:val="List"/>
    <w:rsid w:val="000B22DC"/>
    <w:pPr>
      <w:pBdr>
        <w:top w:val="single" w:sz="6" w:space="2" w:color="918585"/>
        <w:bottom w:val="single" w:sz="6" w:space="2" w:color="918585"/>
      </w:pBdr>
      <w:tabs>
        <w:tab w:val="left" w:pos="1021"/>
      </w:tabs>
      <w:ind w:firstLine="0"/>
    </w:pPr>
  </w:style>
  <w:style w:type="paragraph" w:customStyle="1" w:styleId="Warning">
    <w:name w:val="Warning"/>
    <w:basedOn w:val="BodyText"/>
    <w:rsid w:val="000B22DC"/>
    <w:pPr>
      <w:shd w:val="clear" w:color="auto" w:fill="D9D9D9"/>
      <w:tabs>
        <w:tab w:val="left" w:pos="992"/>
      </w:tabs>
      <w:ind w:left="119" w:right="119"/>
    </w:pPr>
    <w:rPr>
      <w:sz w:val="20"/>
    </w:rPr>
  </w:style>
  <w:style w:type="paragraph" w:customStyle="1" w:styleId="MarginIcons">
    <w:name w:val="Margin Icons"/>
    <w:basedOn w:val="BodyText"/>
    <w:rsid w:val="000B2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2DC"/>
    <w:rPr>
      <w:rFonts w:ascii="Courier New" w:hAnsi="Courier New"/>
    </w:rPr>
  </w:style>
  <w:style w:type="paragraph" w:customStyle="1" w:styleId="NoteBullet">
    <w:name w:val="Note Bullet"/>
    <w:basedOn w:val="Note"/>
    <w:rsid w:val="000B22DC"/>
    <w:pPr>
      <w:tabs>
        <w:tab w:val="clear" w:pos="680"/>
      </w:tabs>
      <w:spacing w:before="60" w:after="60"/>
    </w:pPr>
  </w:style>
  <w:style w:type="paragraph" w:customStyle="1" w:styleId="SubHeading2">
    <w:name w:val="SubHeading2"/>
    <w:basedOn w:val="HeadingBase"/>
    <w:rsid w:val="000B22DC"/>
    <w:pPr>
      <w:spacing w:before="240" w:after="60"/>
    </w:pPr>
    <w:rPr>
      <w:sz w:val="20"/>
    </w:rPr>
  </w:style>
  <w:style w:type="paragraph" w:customStyle="1" w:styleId="SubHeading1">
    <w:name w:val="SubHeading1"/>
    <w:basedOn w:val="HeadingBase"/>
    <w:rsid w:val="000B22DC"/>
    <w:pPr>
      <w:spacing w:before="240" w:after="60"/>
    </w:pPr>
    <w:rPr>
      <w:color w:val="918585"/>
      <w:sz w:val="22"/>
    </w:rPr>
  </w:style>
  <w:style w:type="paragraph" w:customStyle="1" w:styleId="SideHeading">
    <w:name w:val="Side Heading"/>
    <w:basedOn w:val="HeadingBase"/>
    <w:rsid w:val="000B2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2DC"/>
    <w:pPr>
      <w:numPr>
        <w:numId w:val="12"/>
      </w:numPr>
    </w:pPr>
  </w:style>
  <w:style w:type="paragraph" w:styleId="PlainText">
    <w:name w:val="Plain Text"/>
    <w:basedOn w:val="Normal"/>
    <w:link w:val="PlainTextChar"/>
    <w:rsid w:val="000B22DC"/>
    <w:rPr>
      <w:sz w:val="20"/>
    </w:rPr>
  </w:style>
  <w:style w:type="character" w:customStyle="1" w:styleId="PlainTextChar">
    <w:name w:val="Plain Text Char"/>
    <w:basedOn w:val="DefaultParagraphFont"/>
    <w:link w:val="PlainText"/>
    <w:rsid w:val="000B22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22DC"/>
    <w:rPr>
      <w:b/>
      <w:smallCaps/>
    </w:rPr>
  </w:style>
  <w:style w:type="paragraph" w:customStyle="1" w:styleId="TableListNumber">
    <w:name w:val="Table List Number"/>
    <w:basedOn w:val="ListNumber"/>
    <w:rsid w:val="000B22DC"/>
    <w:pPr>
      <w:numPr>
        <w:numId w:val="0"/>
      </w:numPr>
    </w:pPr>
  </w:style>
  <w:style w:type="paragraph" w:styleId="TOC4">
    <w:name w:val="toc 4"/>
    <w:basedOn w:val="TOCBase"/>
    <w:next w:val="Normal"/>
    <w:semiHidden/>
    <w:rsid w:val="000B22DC"/>
    <w:pPr>
      <w:tabs>
        <w:tab w:val="right" w:leader="dot" w:pos="9071"/>
      </w:tabs>
      <w:ind w:left="1701"/>
    </w:pPr>
  </w:style>
  <w:style w:type="paragraph" w:customStyle="1" w:styleId="ListAlpha">
    <w:name w:val="List Alpha"/>
    <w:basedOn w:val="List"/>
    <w:rsid w:val="000B22DC"/>
    <w:pPr>
      <w:numPr>
        <w:numId w:val="9"/>
      </w:numPr>
    </w:pPr>
  </w:style>
  <w:style w:type="paragraph" w:customStyle="1" w:styleId="ListAlpha2">
    <w:name w:val="List Alpha 2"/>
    <w:basedOn w:val="List2"/>
    <w:rsid w:val="000B22DC"/>
    <w:pPr>
      <w:numPr>
        <w:numId w:val="8"/>
      </w:numPr>
    </w:pPr>
  </w:style>
  <w:style w:type="paragraph" w:styleId="List2">
    <w:name w:val="List 2"/>
    <w:basedOn w:val="BodyText"/>
    <w:rsid w:val="000B22DC"/>
    <w:pPr>
      <w:tabs>
        <w:tab w:val="left" w:pos="680"/>
      </w:tabs>
      <w:spacing w:before="60" w:after="60"/>
      <w:ind w:left="680" w:hanging="340"/>
    </w:pPr>
  </w:style>
  <w:style w:type="paragraph" w:styleId="List3">
    <w:name w:val="List 3"/>
    <w:basedOn w:val="BodyText"/>
    <w:rsid w:val="000B22DC"/>
    <w:pPr>
      <w:tabs>
        <w:tab w:val="left" w:pos="1021"/>
      </w:tabs>
      <w:spacing w:before="60" w:after="60"/>
      <w:ind w:left="1020" w:hanging="340"/>
    </w:pPr>
  </w:style>
  <w:style w:type="paragraph" w:styleId="List4">
    <w:name w:val="List 4"/>
    <w:basedOn w:val="BodyText"/>
    <w:rsid w:val="000B22DC"/>
    <w:pPr>
      <w:tabs>
        <w:tab w:val="left" w:pos="1361"/>
      </w:tabs>
      <w:spacing w:before="60" w:after="60"/>
      <w:ind w:left="1361" w:hanging="340"/>
    </w:pPr>
  </w:style>
  <w:style w:type="paragraph" w:styleId="List5">
    <w:name w:val="List 5"/>
    <w:basedOn w:val="BodyText"/>
    <w:rsid w:val="000B22DC"/>
    <w:pPr>
      <w:tabs>
        <w:tab w:val="left" w:pos="1701"/>
      </w:tabs>
      <w:spacing w:before="60" w:after="60"/>
      <w:ind w:left="1701" w:hanging="340"/>
    </w:pPr>
  </w:style>
  <w:style w:type="paragraph" w:styleId="ListBullet3">
    <w:name w:val="List Bullet 3"/>
    <w:basedOn w:val="List3"/>
    <w:rsid w:val="000B22DC"/>
    <w:pPr>
      <w:numPr>
        <w:numId w:val="15"/>
      </w:numPr>
      <w:tabs>
        <w:tab w:val="clear" w:pos="1021"/>
      </w:tabs>
      <w:ind w:left="1037" w:hanging="357"/>
    </w:pPr>
  </w:style>
  <w:style w:type="paragraph" w:styleId="ListBullet4">
    <w:name w:val="List Bullet 4"/>
    <w:basedOn w:val="List4"/>
    <w:rsid w:val="000B22DC"/>
    <w:pPr>
      <w:numPr>
        <w:numId w:val="3"/>
      </w:numPr>
    </w:pPr>
  </w:style>
  <w:style w:type="paragraph" w:styleId="ListBullet5">
    <w:name w:val="List Bullet 5"/>
    <w:basedOn w:val="List5"/>
    <w:rsid w:val="000B22DC"/>
    <w:pPr>
      <w:numPr>
        <w:numId w:val="4"/>
      </w:numPr>
    </w:pPr>
  </w:style>
  <w:style w:type="paragraph" w:styleId="ListContinue2">
    <w:name w:val="List Continue 2"/>
    <w:basedOn w:val="List2"/>
    <w:rsid w:val="000B22DC"/>
    <w:pPr>
      <w:ind w:firstLine="0"/>
    </w:pPr>
  </w:style>
  <w:style w:type="paragraph" w:styleId="ListContinue3">
    <w:name w:val="List Continue 3"/>
    <w:basedOn w:val="List3"/>
    <w:rsid w:val="000B22DC"/>
    <w:pPr>
      <w:ind w:left="1021" w:firstLine="0"/>
    </w:pPr>
  </w:style>
  <w:style w:type="paragraph" w:styleId="ListContinue4">
    <w:name w:val="List Continue 4"/>
    <w:basedOn w:val="List4"/>
    <w:rsid w:val="000B22DC"/>
    <w:pPr>
      <w:ind w:firstLine="0"/>
    </w:pPr>
  </w:style>
  <w:style w:type="paragraph" w:styleId="ListContinue5">
    <w:name w:val="List Continue 5"/>
    <w:basedOn w:val="List5"/>
    <w:rsid w:val="000B22DC"/>
    <w:pPr>
      <w:ind w:firstLine="0"/>
    </w:pPr>
  </w:style>
  <w:style w:type="paragraph" w:styleId="ListNumber3">
    <w:name w:val="List Number 3"/>
    <w:basedOn w:val="List3"/>
    <w:rsid w:val="000B22DC"/>
    <w:pPr>
      <w:numPr>
        <w:numId w:val="5"/>
      </w:numPr>
    </w:pPr>
  </w:style>
  <w:style w:type="paragraph" w:styleId="ListNumber4">
    <w:name w:val="List Number 4"/>
    <w:basedOn w:val="List4"/>
    <w:rsid w:val="000B22DC"/>
    <w:pPr>
      <w:numPr>
        <w:numId w:val="6"/>
      </w:numPr>
    </w:pPr>
  </w:style>
  <w:style w:type="paragraph" w:styleId="ListNumber5">
    <w:name w:val="List Number 5"/>
    <w:basedOn w:val="List5"/>
    <w:rsid w:val="000B22DC"/>
    <w:pPr>
      <w:numPr>
        <w:numId w:val="7"/>
      </w:numPr>
    </w:pPr>
  </w:style>
  <w:style w:type="paragraph" w:styleId="BlockText">
    <w:name w:val="Block Text"/>
    <w:basedOn w:val="Normal"/>
    <w:rsid w:val="000B22DC"/>
    <w:pPr>
      <w:spacing w:after="120"/>
      <w:ind w:left="1440" w:right="1440"/>
    </w:pPr>
  </w:style>
  <w:style w:type="character" w:customStyle="1" w:styleId="Subscript">
    <w:name w:val="Subscript"/>
    <w:basedOn w:val="DefaultParagraphFont"/>
    <w:rsid w:val="000B22DC"/>
    <w:rPr>
      <w:sz w:val="16"/>
      <w:vertAlign w:val="subscript"/>
    </w:rPr>
  </w:style>
  <w:style w:type="character" w:customStyle="1" w:styleId="Superscript">
    <w:name w:val="Superscript"/>
    <w:basedOn w:val="DefaultParagraphFont"/>
    <w:rsid w:val="000B22DC"/>
    <w:rPr>
      <w:sz w:val="16"/>
      <w:vertAlign w:val="superscript"/>
    </w:rPr>
  </w:style>
  <w:style w:type="character" w:customStyle="1" w:styleId="Symbols">
    <w:name w:val="Symbols"/>
    <w:basedOn w:val="DefaultParagraphFont"/>
    <w:rsid w:val="000B22DC"/>
    <w:rPr>
      <w:rFonts w:ascii="Symbol" w:hAnsi="Symbol"/>
    </w:rPr>
  </w:style>
  <w:style w:type="character" w:customStyle="1" w:styleId="MenuOptions">
    <w:name w:val="Menu Options"/>
    <w:basedOn w:val="DefaultParagraphFont"/>
    <w:rsid w:val="000B22DC"/>
    <w:rPr>
      <w:rFonts w:ascii="Arial Narrow" w:hAnsi="Arial Narrow"/>
      <w:smallCaps/>
    </w:rPr>
  </w:style>
  <w:style w:type="character" w:customStyle="1" w:styleId="Buttons">
    <w:name w:val="Buttons"/>
    <w:basedOn w:val="DefaultParagraphFont"/>
    <w:rsid w:val="000B22DC"/>
    <w:rPr>
      <w:b/>
    </w:rPr>
  </w:style>
  <w:style w:type="character" w:customStyle="1" w:styleId="Underlined">
    <w:name w:val="Underlined"/>
    <w:basedOn w:val="DefaultParagraphFont"/>
    <w:rsid w:val="000B22DC"/>
    <w:rPr>
      <w:u w:val="single"/>
    </w:rPr>
  </w:style>
  <w:style w:type="paragraph" w:customStyle="1" w:styleId="TableBodyTextRight">
    <w:name w:val="Table Body Text Right"/>
    <w:basedOn w:val="TableBodyText"/>
    <w:rsid w:val="000B22DC"/>
    <w:pPr>
      <w:widowControl w:val="0"/>
      <w:autoSpaceDE w:val="0"/>
      <w:autoSpaceDN w:val="0"/>
      <w:adjustRightInd w:val="0"/>
      <w:jc w:val="right"/>
    </w:pPr>
    <w:rPr>
      <w:rFonts w:cs="Arial"/>
      <w:szCs w:val="18"/>
    </w:rPr>
  </w:style>
  <w:style w:type="paragraph" w:customStyle="1" w:styleId="CopyrightText">
    <w:name w:val="Copyright Text"/>
    <w:basedOn w:val="BodyText"/>
    <w:rsid w:val="000B22DC"/>
    <w:rPr>
      <w:sz w:val="18"/>
    </w:rPr>
  </w:style>
  <w:style w:type="paragraph" w:customStyle="1" w:styleId="BodySmallRight">
    <w:name w:val="Body Small Right"/>
    <w:basedOn w:val="BodyTextRight"/>
    <w:rsid w:val="000B22DC"/>
    <w:rPr>
      <w:sz w:val="18"/>
      <w:szCs w:val="18"/>
    </w:rPr>
  </w:style>
  <w:style w:type="paragraph" w:customStyle="1" w:styleId="MarginEdition">
    <w:name w:val="Margin Edition"/>
    <w:basedOn w:val="MarginNote"/>
    <w:rsid w:val="000B22DC"/>
    <w:pPr>
      <w:spacing w:before="0" w:after="0"/>
    </w:pPr>
    <w:rPr>
      <w:rFonts w:ascii="Times New Roman" w:hAnsi="Times New Roman"/>
      <w:color w:val="999999"/>
    </w:rPr>
  </w:style>
  <w:style w:type="paragraph" w:customStyle="1" w:styleId="Spacer">
    <w:name w:val="Spacer"/>
    <w:basedOn w:val="Normal"/>
    <w:rsid w:val="000B22DC"/>
    <w:rPr>
      <w:sz w:val="2"/>
      <w:szCs w:val="2"/>
    </w:rPr>
  </w:style>
  <w:style w:type="character" w:customStyle="1" w:styleId="Small">
    <w:name w:val="Small"/>
    <w:basedOn w:val="DefaultParagraphFont"/>
    <w:rsid w:val="000B22DC"/>
    <w:rPr>
      <w:sz w:val="16"/>
    </w:rPr>
  </w:style>
  <w:style w:type="paragraph" w:customStyle="1" w:styleId="WideTable">
    <w:name w:val="Wide Table"/>
    <w:basedOn w:val="Normal"/>
    <w:rsid w:val="000B22DC"/>
    <w:pPr>
      <w:ind w:left="-1418"/>
    </w:pPr>
    <w:rPr>
      <w:sz w:val="2"/>
      <w:szCs w:val="2"/>
    </w:rPr>
  </w:style>
  <w:style w:type="character" w:styleId="PageNumber">
    <w:name w:val="page number"/>
    <w:basedOn w:val="DefaultParagraphFont"/>
    <w:rsid w:val="000B22DC"/>
  </w:style>
  <w:style w:type="paragraph" w:styleId="Quote">
    <w:name w:val="Quote"/>
    <w:basedOn w:val="Heading1"/>
    <w:link w:val="QuoteChar"/>
    <w:qFormat/>
    <w:rsid w:val="000B22DC"/>
    <w:rPr>
      <w:b w:val="0"/>
      <w:sz w:val="72"/>
      <w:szCs w:val="72"/>
      <w:lang w:val="en-NZ"/>
    </w:rPr>
  </w:style>
  <w:style w:type="character" w:customStyle="1" w:styleId="QuoteChar">
    <w:name w:val="Quote Char"/>
    <w:basedOn w:val="DefaultParagraphFont"/>
    <w:link w:val="Quote"/>
    <w:rsid w:val="000B2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2DC"/>
    <w:pPr>
      <w:pageBreakBefore/>
    </w:pPr>
  </w:style>
  <w:style w:type="paragraph" w:customStyle="1" w:styleId="Border">
    <w:name w:val="Border"/>
    <w:basedOn w:val="Normal"/>
    <w:qFormat/>
    <w:rsid w:val="000B2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2DC"/>
    <w:rPr>
      <w:b/>
      <w:bCs/>
      <w:i/>
      <w:iCs/>
      <w:color w:val="auto"/>
    </w:rPr>
  </w:style>
  <w:style w:type="paragraph" w:styleId="IntenseQuote">
    <w:name w:val="Intense Quote"/>
    <w:basedOn w:val="Normal"/>
    <w:next w:val="Normal"/>
    <w:link w:val="IntenseQuoteChar"/>
    <w:uiPriority w:val="30"/>
    <w:qFormat/>
    <w:rsid w:val="000B2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2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22DC"/>
    <w:rPr>
      <w:smallCaps/>
      <w:color w:val="auto"/>
      <w:u w:val="single"/>
    </w:rPr>
  </w:style>
  <w:style w:type="character" w:styleId="IntenseReference">
    <w:name w:val="Intense Reference"/>
    <w:basedOn w:val="DefaultParagraphFont"/>
    <w:uiPriority w:val="32"/>
    <w:qFormat/>
    <w:rsid w:val="000B22DC"/>
    <w:rPr>
      <w:b/>
      <w:bCs/>
      <w:smallCaps/>
      <w:color w:val="auto"/>
      <w:spacing w:val="5"/>
      <w:u w:val="single"/>
    </w:rPr>
  </w:style>
  <w:style w:type="paragraph" w:customStyle="1" w:styleId="2ColumnHeading">
    <w:name w:val="2Column Heading"/>
    <w:basedOn w:val="BodyText"/>
    <w:qFormat/>
    <w:rsid w:val="000B22DC"/>
    <w:pPr>
      <w:spacing w:after="60"/>
      <w:ind w:left="-2268"/>
    </w:pPr>
    <w:rPr>
      <w:b/>
    </w:rPr>
  </w:style>
  <w:style w:type="paragraph" w:customStyle="1" w:styleId="Heading1TOC">
    <w:name w:val="Heading1 TOC"/>
    <w:basedOn w:val="Normal"/>
    <w:qFormat/>
    <w:rsid w:val="000B22DC"/>
    <w:pPr>
      <w:spacing w:before="240" w:after="120"/>
    </w:pPr>
    <w:rPr>
      <w:rFonts w:ascii="Times New Roman" w:hAnsi="Times New Roman"/>
      <w:b/>
      <w:sz w:val="32"/>
    </w:rPr>
  </w:style>
  <w:style w:type="paragraph" w:customStyle="1" w:styleId="Heading2TOC">
    <w:name w:val="Heading2 TOC"/>
    <w:basedOn w:val="Normal"/>
    <w:qFormat/>
    <w:rsid w:val="000B22DC"/>
    <w:pPr>
      <w:spacing w:before="240" w:after="60"/>
    </w:pPr>
    <w:rPr>
      <w:rFonts w:ascii="Times New Roman" w:hAnsi="Times New Roman"/>
      <w:b/>
      <w:sz w:val="28"/>
    </w:rPr>
  </w:style>
  <w:style w:type="character" w:customStyle="1" w:styleId="Underline">
    <w:name w:val="Underline"/>
    <w:basedOn w:val="DefaultParagraphFont"/>
    <w:qFormat/>
    <w:rsid w:val="000B22DC"/>
    <w:rPr>
      <w:u w:val="single"/>
    </w:rPr>
  </w:style>
  <w:style w:type="character" w:customStyle="1" w:styleId="BoldandItalics">
    <w:name w:val="Bold and Italics"/>
    <w:qFormat/>
    <w:rsid w:val="000B22DC"/>
    <w:rPr>
      <w:b/>
      <w:i/>
      <w:u w:val="none"/>
    </w:rPr>
  </w:style>
  <w:style w:type="paragraph" w:styleId="BalloonText">
    <w:name w:val="Balloon Text"/>
    <w:basedOn w:val="Normal"/>
    <w:link w:val="BalloonTextChar"/>
    <w:rsid w:val="000B22DC"/>
    <w:rPr>
      <w:rFonts w:ascii="Tahoma" w:hAnsi="Tahoma" w:cs="Tahoma"/>
      <w:sz w:val="16"/>
      <w:szCs w:val="16"/>
    </w:rPr>
  </w:style>
  <w:style w:type="character" w:customStyle="1" w:styleId="BalloonTextChar">
    <w:name w:val="Balloon Text Char"/>
    <w:basedOn w:val="DefaultParagraphFont"/>
    <w:link w:val="BalloonText"/>
    <w:rsid w:val="000B22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2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6797</Characters>
  <Application>Microsoft Office Word</Application>
  <DocSecurity>0</DocSecurity>
  <Lines>244</Lines>
  <Paragraphs>133</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MSS015002A Develop strategies for more sustainable use of resources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