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AB2" w:rsidP="00494A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MSS408010 Analyse data for relevance to organisational learning</w:t>
      </w:r>
      <w:r>
        <w:fldChar w:fldCharType="end"/>
      </w:r>
    </w:p>
    <w:p w:rsidR="00494AB2" w:rsidP="00494AB2">
      <w:pPr>
        <w:pStyle w:val="Version"/>
        <w:sectPr w:rsidSect="00FD20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0E6" w:rsidP="00FD20E6">
      <w:pPr>
        <w:pStyle w:val="SuperHeading"/>
      </w:pPr>
      <w:r w:rsidRPr="00FD20E6">
        <w:t>MSS408010 Ana</w:t>
      </w:r>
      <w:r w:rsidRPr="00FD20E6">
        <w:t>lyse data for relevance to organisational learning</w:t>
      </w:r>
    </w:p>
    <w:p w:rsidR="00000000" w:rsidRPr="00FD20E6" w:rsidP="00FD20E6">
      <w:pPr>
        <w:pStyle w:val="Heading1"/>
      </w:pPr>
      <w:bookmarkStart w:id="1" w:name="O_1034055"/>
      <w:bookmarkEnd w:id="1"/>
      <w:r w:rsidRPr="00FD20E6">
        <w:t>Modification History</w:t>
      </w:r>
    </w:p>
    <w:p w:rsidR="00000000" w:rsidRPr="00FD20E6" w:rsidP="00494AB2">
      <w:pPr>
        <w:pStyle w:val="BodyText"/>
      </w:pPr>
      <w:r w:rsidRPr="00FD20E6">
        <w:t xml:space="preserve">Release 1. Unit code changed. Application changed. Performance criteria changed. Range of conditions removed. Assessment requirements changed. Supersedes and is </w:t>
      </w:r>
      <w:r w:rsidRPr="00FD20E6">
        <w:t>equivalent to MSS408008 Analyse data for relevance to organisational learning.</w:t>
      </w:r>
    </w:p>
    <w:p w:rsidR="00000000" w:rsidRPr="00FD20E6" w:rsidP="00FD20E6">
      <w:pPr>
        <w:pStyle w:val="Heading1"/>
      </w:pPr>
      <w:bookmarkStart w:id="2" w:name="O_1034056"/>
      <w:bookmarkEnd w:id="2"/>
      <w:r w:rsidRPr="00FD20E6">
        <w:t>Application</w:t>
      </w:r>
    </w:p>
    <w:p w:rsidR="00000000" w:rsidRPr="00FD20E6" w:rsidP="00494AB2">
      <w:pPr>
        <w:pStyle w:val="BodyText"/>
      </w:pPr>
      <w:r w:rsidRPr="00FD20E6">
        <w:t>This unit describes the skills and knowledge required to analyse data generated from formal information monitoring and management systems, such as</w:t>
      </w:r>
      <w:r w:rsidRPr="00FD20E6">
        <w:t xml:space="preserve"> statistical process control (SPC) and six sigma, or Systems Control and Data Acquisition (SCADA) software and determining its relevance for organisational learning.</w:t>
      </w:r>
    </w:p>
    <w:p w:rsidR="00000000" w:rsidRPr="00FD20E6" w:rsidP="00494AB2">
      <w:pPr>
        <w:pStyle w:val="BodyText"/>
      </w:pPr>
      <w:r w:rsidRPr="00FD20E6">
        <w:t xml:space="preserve">This unit applies to managers, team leaders and people with a similar sphere of influence </w:t>
      </w:r>
      <w:r w:rsidRPr="00FD20E6">
        <w:t xml:space="preserve">and scope of authority and responsibility. It covers the capturing of knowledge from data generated within organisation systems and takes a largely quantitative view of information. The unit applies to individuals who are familiar with the application and </w:t>
      </w:r>
      <w:r w:rsidRPr="00FD20E6">
        <w:t>use of statistics in operations.</w:t>
      </w:r>
    </w:p>
    <w:p w:rsidR="00000000" w:rsidRPr="00FD20E6" w:rsidP="00494AB2">
      <w:pPr>
        <w:pStyle w:val="BodyText"/>
      </w:pPr>
      <w:r w:rsidRPr="00FD20E6">
        <w:t>This unit may also be applied to service organisations applying competitive systems and practices principles.</w:t>
      </w:r>
    </w:p>
    <w:p w:rsidR="00000000" w:rsidRPr="00FD20E6" w:rsidP="00494AB2">
      <w:pPr>
        <w:pStyle w:val="BodyText"/>
      </w:pPr>
      <w:r w:rsidRPr="00FD20E6">
        <w:t>No licensing or certification requirements exist at the time of publication. Relevant legislation, industry stand</w:t>
      </w:r>
      <w:r w:rsidRPr="00FD20E6">
        <w:t>ards and codes of practice within Australia must be applied.</w:t>
      </w:r>
    </w:p>
    <w:p w:rsidR="00000000" w:rsidRPr="00FD20E6" w:rsidP="00FD20E6">
      <w:pPr>
        <w:pStyle w:val="Heading1"/>
      </w:pPr>
      <w:bookmarkStart w:id="3" w:name="O_1034057"/>
      <w:bookmarkEnd w:id="3"/>
      <w:r w:rsidRPr="00FD20E6">
        <w:t>Pre-requisite Unit</w:t>
      </w:r>
    </w:p>
    <w:p w:rsidR="00000000" w:rsidRPr="00FD20E6" w:rsidP="00FD20E6">
      <w:pPr>
        <w:pStyle w:val="Heading1"/>
      </w:pPr>
      <w:bookmarkStart w:id="4" w:name="O_1034058"/>
      <w:bookmarkEnd w:id="4"/>
      <w:r w:rsidRPr="00FD20E6">
        <w:t>Competency Field</w:t>
      </w:r>
    </w:p>
    <w:p w:rsidR="00000000" w:rsidRPr="00FD20E6" w:rsidP="00494AB2">
      <w:pPr>
        <w:pStyle w:val="BodyText"/>
      </w:pPr>
      <w:r w:rsidRPr="00FD20E6">
        <w:t>Competitive systems and practices</w:t>
      </w:r>
    </w:p>
    <w:p w:rsidR="00000000" w:rsidRPr="00FD20E6" w:rsidP="00FD20E6">
      <w:pPr>
        <w:pStyle w:val="Heading1"/>
      </w:pPr>
      <w:bookmarkStart w:id="5" w:name="O_1034059"/>
      <w:bookmarkEnd w:id="5"/>
      <w:r w:rsidRPr="00FD20E6">
        <w:t>Unit Sector</w:t>
      </w:r>
    </w:p>
    <w:p w:rsidR="00000000" w:rsidRPr="00FD20E6" w:rsidP="00FD20E6">
      <w:pPr>
        <w:pStyle w:val="Heading1"/>
      </w:pPr>
      <w:bookmarkStart w:id="6" w:name="O_1034060"/>
      <w:bookmarkEnd w:id="6"/>
      <w:r w:rsidRPr="00FD20E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0E6" w:rsidP="00FD20E6">
            <w:pPr>
              <w:pStyle w:val="BodyText"/>
            </w:pPr>
            <w:r w:rsidRPr="00FD20E6">
              <w:rPr>
                <w:rStyle w:val="SpecialBold"/>
              </w:rPr>
              <w:t>Eleme</w:t>
            </w:r>
            <w:r w:rsidRPr="00FD20E6">
              <w:rPr>
                <w:rStyle w:val="SpecialBold"/>
              </w:rPr>
              <w:t>nts</w:t>
            </w:r>
          </w:p>
          <w:p w:rsidR="00000000" w:rsidRPr="00FD20E6" w:rsidP="00FD20E6">
            <w:pPr>
              <w:pStyle w:val="BodyText"/>
            </w:pPr>
            <w:r w:rsidRPr="00FD20E6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0E6" w:rsidP="00FD20E6">
            <w:pPr>
              <w:pStyle w:val="BodyText"/>
            </w:pPr>
            <w:r w:rsidRPr="00FD20E6">
              <w:rPr>
                <w:rStyle w:val="SpecialBold"/>
              </w:rPr>
              <w:t>Performance Criteria</w:t>
            </w:r>
          </w:p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Performance criteria describe the performance needed to demonstrate achievement of the element.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1. Identify learning from own organisation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Obtain data from appropriate data systems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Read and interpret data for discontinuities, trends and signs of assignable cause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Examine selected data events to determine root causes of data events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Communicate root causes of data events to stakeholders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2. Identify learning from value stream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Identify data which is or could be available from value stream members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Identify data which might be useful but is not available and seek access to it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Obtain, read and interpret available data for discontinuities, trends and signs of assignable cause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Examine selected data events to determine root causes of data events in liaison with value stream personnel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Communicate root causes of data events to stakeholders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3. Capture 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Review root causes to determine implications for organisationa</w:t>
            </w:r>
            <w:r w:rsidRPr="00FD20E6">
              <w:t>l learning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Ensure learning is captured by organisation’s systems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Obtain involvement and required approvals from process and system owners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Check that learning flows to all stakeholders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4. Apply 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Review management systems for their impact on organisational learning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Brief process and system owners on changes and obtain required approvals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Check learning is used in daily operations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Review use of learning in liaison with value stream personnel and update in knowledge system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Identify implications for training and procedures</w:t>
            </w:r>
          </w:p>
        </w:tc>
      </w:tr>
      <w:tr w:rsidTr="00494A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0E6">
            <w:pPr>
              <w:pStyle w:val="BodyText"/>
              <w:rPr>
                <w:lang w:val="en-NZ"/>
              </w:rPr>
            </w:pPr>
            <w:r w:rsidRPr="00FD20E6">
              <w:t>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0E6" w:rsidP="00FD20E6">
            <w:pPr>
              <w:pStyle w:val="BodyText"/>
            </w:pPr>
            <w:r w:rsidRPr="00FD20E6">
              <w:t>Recommend improvements to value stream and knowledge system</w:t>
            </w:r>
          </w:p>
        </w:tc>
      </w:tr>
    </w:tbl>
    <w:p w:rsidR="00000000" w:rsidRPr="00FD20E6" w:rsidP="00FD20E6">
      <w:pPr>
        <w:pStyle w:val="BodyText"/>
      </w:pPr>
    </w:p>
    <w:p w:rsidR="00000000" w:rsidRPr="00FD20E6" w:rsidP="00FD20E6">
      <w:pPr>
        <w:pStyle w:val="AllowPageBreak"/>
      </w:pPr>
    </w:p>
    <w:p w:rsidR="00000000" w:rsidRPr="00FD20E6" w:rsidP="00FD20E6">
      <w:pPr>
        <w:pStyle w:val="Heading1"/>
      </w:pPr>
      <w:bookmarkStart w:id="7" w:name="O_1034061"/>
      <w:bookmarkEnd w:id="7"/>
      <w:r w:rsidRPr="00FD20E6">
        <w:t>Foundation Skills</w:t>
      </w:r>
    </w:p>
    <w:p w:rsidR="00000000" w:rsidRPr="00FD20E6" w:rsidP="00494AB2">
      <w:pPr>
        <w:pStyle w:val="BodyText"/>
      </w:pPr>
      <w:r w:rsidRPr="00FD20E6">
        <w:t>Foundation skills essential to performance are explicit in the performance criteria of this unit of competency.</w:t>
      </w:r>
    </w:p>
    <w:p w:rsidR="00000000" w:rsidRPr="00FD20E6" w:rsidP="00FD20E6">
      <w:pPr>
        <w:pStyle w:val="Heading1"/>
      </w:pPr>
      <w:bookmarkStart w:id="8" w:name="O_1034062"/>
      <w:bookmarkEnd w:id="8"/>
      <w:r w:rsidRPr="00FD20E6">
        <w:t>Range of Conditions</w:t>
      </w:r>
    </w:p>
    <w:p w:rsidR="00000000" w:rsidRPr="00FD20E6" w:rsidP="00FD20E6">
      <w:pPr>
        <w:pStyle w:val="Heading1"/>
      </w:pPr>
      <w:bookmarkStart w:id="9" w:name="O_1034063"/>
      <w:bookmarkEnd w:id="9"/>
      <w:r w:rsidRPr="00FD20E6">
        <w:t>Unit Mapping Information</w:t>
      </w:r>
    </w:p>
    <w:p w:rsidR="00000000" w:rsidRPr="00FD20E6" w:rsidP="00494AB2">
      <w:pPr>
        <w:pStyle w:val="BodyText"/>
      </w:pPr>
      <w:r w:rsidRPr="00FD20E6">
        <w:t>Supersedes and is equivalent to MSS408008 Analyse data for rel</w:t>
      </w:r>
      <w:r w:rsidRPr="00FD20E6">
        <w:t>evance to organisational learning.</w:t>
      </w:r>
    </w:p>
    <w:p w:rsidR="00000000" w:rsidRPr="00FD20E6" w:rsidP="00FD20E6">
      <w:pPr>
        <w:pStyle w:val="Heading1"/>
      </w:pPr>
      <w:bookmarkStart w:id="10" w:name="O_1034070"/>
      <w:bookmarkEnd w:id="10"/>
      <w:r w:rsidRPr="00FD20E6">
        <w:t>Links</w:t>
      </w:r>
    </w:p>
    <w:p w:rsidR="00000000" w:rsidRPr="00FD20E6" w:rsidP="00494AB2">
      <w:pPr>
        <w:pStyle w:val="BodyText"/>
      </w:pPr>
      <w:r w:rsidRPr="00FD20E6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0045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D20E6" w:rsidP="00494AB2">
      <w:pPr>
        <w:pStyle w:val="BodyText"/>
        <w:sectPr w:rsidSect="00FD20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20E6" w:rsidP="00FD20E6">
      <w:pPr>
        <w:pStyle w:val="SuperHeading"/>
      </w:pPr>
      <w:r w:rsidRPr="00FD20E6">
        <w:t>Assessment Requirements for MSS408010 Analyse data for relevance to organisational learning</w:t>
      </w:r>
    </w:p>
    <w:p w:rsidR="00000000" w:rsidRPr="00FD20E6" w:rsidP="00FD20E6">
      <w:pPr>
        <w:pStyle w:val="Heading1"/>
      </w:pPr>
      <w:bookmarkStart w:id="11" w:name="O_1034065"/>
      <w:bookmarkEnd w:id="11"/>
      <w:r w:rsidRPr="00FD20E6">
        <w:t>Modification History</w:t>
      </w:r>
    </w:p>
    <w:p w:rsidR="00000000" w:rsidRPr="00FD20E6" w:rsidP="00494AB2">
      <w:pPr>
        <w:pStyle w:val="BodyText"/>
      </w:pPr>
      <w:r w:rsidRPr="00FD20E6">
        <w:t>Release 1. Unit code changed. Application changed. Performance criteria changed</w:t>
      </w:r>
      <w:r w:rsidRPr="00FD20E6">
        <w:t>. Range of conditions removed. Assessment requirements changed. Supersedes and is equivalent to MSS408008 Analyse data for relevance to organisational learning.</w:t>
      </w:r>
    </w:p>
    <w:p w:rsidR="00000000" w:rsidRPr="00FD20E6" w:rsidP="00FD20E6">
      <w:pPr>
        <w:pStyle w:val="Heading1"/>
      </w:pPr>
      <w:bookmarkStart w:id="12" w:name="O_1034066"/>
      <w:bookmarkEnd w:id="12"/>
      <w:r w:rsidRPr="00FD20E6">
        <w:t>Performance Evidence</w:t>
      </w:r>
    </w:p>
    <w:p w:rsidR="00000000" w:rsidRPr="00FD20E6" w:rsidP="00494AB2">
      <w:pPr>
        <w:pStyle w:val="BodyText"/>
      </w:pPr>
      <w:r w:rsidRPr="00FD20E6">
        <w:t xml:space="preserve">There must be evidence the candidate has completed the </w:t>
      </w:r>
      <w:r w:rsidRPr="00FD20E6">
        <w:t>tasks outlined in the elements and performance criteria of this unit, and:</w:t>
      </w:r>
    </w:p>
    <w:p w:rsidR="00000000" w:rsidRPr="00FD20E6" w:rsidP="00FD20E6">
      <w:pPr>
        <w:pStyle w:val="ListBullet"/>
      </w:pPr>
      <w:r w:rsidRPr="00FD20E6">
        <w:t>analysed data from at least 1 data system and applied it to organisational learning.</w:t>
      </w:r>
    </w:p>
    <w:p w:rsidR="00000000" w:rsidRPr="00FD20E6" w:rsidP="00FD20E6">
      <w:pPr>
        <w:pStyle w:val="AllowPageBreak"/>
      </w:pPr>
    </w:p>
    <w:p w:rsidR="00000000" w:rsidRPr="00FD20E6" w:rsidP="00FD20E6">
      <w:pPr>
        <w:pStyle w:val="Heading1"/>
      </w:pPr>
      <w:bookmarkStart w:id="13" w:name="O_1034067"/>
      <w:bookmarkEnd w:id="13"/>
      <w:r w:rsidRPr="00FD20E6">
        <w:t>Knowledge Evidence</w:t>
      </w:r>
    </w:p>
    <w:p w:rsidR="00000000" w:rsidRPr="00FD20E6" w:rsidP="00494AB2">
      <w:pPr>
        <w:pStyle w:val="BodyText"/>
      </w:pPr>
      <w:r w:rsidRPr="00FD20E6">
        <w:t>There must be evidence the candidate has knowledge of:</w:t>
      </w:r>
    </w:p>
    <w:p w:rsidR="00000000" w:rsidRPr="00FD20E6" w:rsidP="00FD20E6">
      <w:pPr>
        <w:pStyle w:val="ListBullet"/>
      </w:pPr>
      <w:r w:rsidRPr="00FD20E6">
        <w:t>sources of data within the organisation and the value stream</w:t>
      </w:r>
    </w:p>
    <w:p w:rsidR="00000000" w:rsidRPr="00FD20E6" w:rsidP="00FD20E6">
      <w:pPr>
        <w:pStyle w:val="ListBullet"/>
      </w:pPr>
      <w:r w:rsidRPr="00FD20E6">
        <w:t>methods of analysing data for learnings</w:t>
      </w:r>
    </w:p>
    <w:p w:rsidR="00000000" w:rsidRPr="00FD20E6" w:rsidP="00FD20E6">
      <w:pPr>
        <w:pStyle w:val="ListBullet"/>
      </w:pPr>
      <w:r w:rsidRPr="00FD20E6">
        <w:t>methods of capturing data and the learnings from it</w:t>
      </w:r>
    </w:p>
    <w:p w:rsidR="00000000" w:rsidRPr="00FD20E6" w:rsidP="00FD20E6">
      <w:pPr>
        <w:pStyle w:val="ListBullet"/>
      </w:pPr>
      <w:r w:rsidRPr="00FD20E6">
        <w:t>competitive systems and practices tools relevant to the process, section and value stream</w:t>
      </w:r>
    </w:p>
    <w:p w:rsidR="00000000" w:rsidRPr="00FD20E6" w:rsidP="00FD20E6">
      <w:pPr>
        <w:pStyle w:val="ListBullet"/>
      </w:pPr>
      <w:r w:rsidRPr="00FD20E6">
        <w:t>kaizen and ka</w:t>
      </w:r>
      <w:r w:rsidRPr="00FD20E6">
        <w:t>izen blitz processes</w:t>
      </w:r>
    </w:p>
    <w:p w:rsidR="00000000" w:rsidRPr="00FD20E6" w:rsidP="00FD20E6">
      <w:pPr>
        <w:pStyle w:val="ListBullet"/>
      </w:pPr>
      <w:r w:rsidRPr="00FD20E6">
        <w:t>communication modes.</w:t>
      </w:r>
    </w:p>
    <w:p w:rsidR="00000000" w:rsidRPr="00FD20E6" w:rsidP="00FD20E6">
      <w:pPr>
        <w:pStyle w:val="AllowPageBreak"/>
      </w:pPr>
    </w:p>
    <w:p w:rsidR="00000000" w:rsidRPr="00FD20E6" w:rsidP="00FD20E6">
      <w:pPr>
        <w:pStyle w:val="Heading1"/>
      </w:pPr>
      <w:bookmarkStart w:id="14" w:name="O_1034068"/>
      <w:bookmarkEnd w:id="14"/>
      <w:r w:rsidRPr="00FD20E6">
        <w:t>Assessment Conditions</w:t>
      </w:r>
    </w:p>
    <w:p w:rsidR="00000000" w:rsidRPr="00FD20E6" w:rsidP="00494AB2">
      <w:pPr>
        <w:pStyle w:val="BodyText"/>
      </w:pPr>
      <w:r w:rsidRPr="00FD20E6">
        <w:t>Skills must have been demonstrated in the workplace or in a simulated environment that reflects workplace conditions, contingencies, facilities, equipment and resources.</w:t>
      </w:r>
    </w:p>
    <w:p w:rsidR="00000000" w:rsidRPr="00FD20E6" w:rsidP="00494AB2">
      <w:pPr>
        <w:pStyle w:val="BodyText"/>
      </w:pPr>
      <w:r w:rsidRPr="00FD20E6">
        <w:t>Ass</w:t>
      </w:r>
      <w:r w:rsidRPr="00FD20E6">
        <w:t>essors must satisfy the NVR/AQTF mandatory competency requirements for assessors.</w:t>
      </w:r>
    </w:p>
    <w:p w:rsidR="00000000" w:rsidRPr="00FD20E6" w:rsidP="00FD20E6">
      <w:pPr>
        <w:pStyle w:val="Heading1"/>
      </w:pPr>
      <w:bookmarkStart w:id="15" w:name="O_1034071"/>
      <w:bookmarkEnd w:id="15"/>
      <w:r w:rsidRPr="00FD20E6">
        <w:t>Links</w:t>
      </w:r>
    </w:p>
    <w:p w:rsidR="00000000" w:rsidRPr="00FD20E6" w:rsidP="00494AB2">
      <w:pPr>
        <w:pStyle w:val="BodyText"/>
      </w:pPr>
      <w:r w:rsidRPr="00FD20E6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0045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D20E6" w:rsidP="00FD20E6"/>
    <w:sectPr w:rsidSect="00FD20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0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0E6" w:rsidRPr="00494AB2" w:rsidP="00494A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0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AB2" w:rsidP="00FD20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4AB2" w:rsidP="00FD20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94AB2" w:rsidP="00FD20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0E6" w:rsidP="00FD20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4AB2">
      <w:t>Approved</w:t>
    </w:r>
    <w:r w:rsidR="00494A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4A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4AB2">
      <w:rPr>
        <w:noProof/>
      </w:rPr>
      <w:t>4</w:t>
    </w:r>
    <w:r>
      <w:rPr>
        <w:noProof/>
      </w:rPr>
      <w:fldChar w:fldCharType="end"/>
    </w:r>
  </w:p>
  <w:p w:rsidR="00FD20E6" w:rsidP="00FD20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4A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4AB2">
      <w:t>Manufacturing Industry Skills Alliance</w:t>
    </w:r>
    <w:r w:rsidR="00494AB2">
      <w:fldChar w:fldCharType="end"/>
    </w:r>
  </w:p>
  <w:p w:rsidR="00FD20E6" w:rsidP="00FD20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0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A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0E6" w:rsidRPr="00494AB2" w:rsidP="00494A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0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AB2" w:rsidRPr="002D2AF8" w:rsidP="00FD20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MSS408010 Analyse data for relevance to organisational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94AB2" w:rsidP="00FD20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0E6" w:rsidRPr="002D2AF8" w:rsidP="00FD20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4AB2">
      <w:t>MSS408010 Analyse data for relevance to organisational learning</w:t>
    </w:r>
    <w:r w:rsidR="00494A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4AB2">
      <w:rPr>
        <w:noProof/>
      </w:rPr>
      <w:t>1 March 2025</w:t>
    </w:r>
    <w:r>
      <w:fldChar w:fldCharType="end"/>
    </w:r>
  </w:p>
  <w:p w:rsidR="00FD20E6" w:rsidP="00FD20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4A8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F87B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0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0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0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0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0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0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0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0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0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0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0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0E6"/>
  </w:style>
  <w:style w:type="character" w:customStyle="1" w:styleId="Heading1Char">
    <w:name w:val="Heading 1 Char"/>
    <w:basedOn w:val="DefaultParagraphFont"/>
    <w:link w:val="Heading1"/>
    <w:rsid w:val="00FD20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0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0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0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20E6"/>
    <w:rPr>
      <w:b/>
      <w:spacing w:val="0"/>
    </w:rPr>
  </w:style>
  <w:style w:type="paragraph" w:customStyle="1" w:styleId="SuperHeading">
    <w:name w:val="SuperHeading"/>
    <w:basedOn w:val="Normal"/>
    <w:rsid w:val="00FD20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0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0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0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0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0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0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0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0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0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0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0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0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0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0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0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0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0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0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0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0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0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0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0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0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0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0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0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0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0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0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20E6"/>
    <w:rPr>
      <w:i/>
    </w:rPr>
  </w:style>
  <w:style w:type="paragraph" w:styleId="Caption">
    <w:name w:val="caption"/>
    <w:basedOn w:val="BodyText"/>
    <w:next w:val="Normal"/>
    <w:qFormat/>
    <w:rsid w:val="00FD20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0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0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0E6"/>
  </w:style>
  <w:style w:type="paragraph" w:styleId="TableofFigures">
    <w:name w:val="table of figures"/>
    <w:basedOn w:val="Normal"/>
    <w:next w:val="Normal"/>
    <w:semiHidden/>
    <w:rsid w:val="00FD20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0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20E6"/>
    <w:rPr>
      <w:rFonts w:ascii="Wingdings" w:hAnsi="Wingdings"/>
    </w:rPr>
  </w:style>
  <w:style w:type="paragraph" w:customStyle="1" w:styleId="TableHeading">
    <w:name w:val="Table Heading"/>
    <w:basedOn w:val="HeadingBase"/>
    <w:rsid w:val="00FD20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0E6"/>
    <w:rPr>
      <w:color w:val="0033CC"/>
      <w:u w:val="none"/>
    </w:rPr>
  </w:style>
  <w:style w:type="paragraph" w:customStyle="1" w:styleId="BodyTextRight">
    <w:name w:val="Body Text Right"/>
    <w:basedOn w:val="BodyText"/>
    <w:rsid w:val="00FD20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0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0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0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0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0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0E6"/>
    <w:rPr>
      <w:sz w:val="32"/>
    </w:rPr>
  </w:style>
  <w:style w:type="paragraph" w:customStyle="1" w:styleId="HeadingProcedure">
    <w:name w:val="Heading Procedure"/>
    <w:basedOn w:val="HeadingBase"/>
    <w:next w:val="Normal"/>
    <w:rsid w:val="00FD20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0E6"/>
    <w:pPr>
      <w:spacing w:before="60" w:after="60"/>
    </w:pPr>
  </w:style>
  <w:style w:type="paragraph" w:styleId="ListContinue">
    <w:name w:val="List Continue"/>
    <w:basedOn w:val="List"/>
    <w:rsid w:val="00FD20E6"/>
    <w:pPr>
      <w:ind w:firstLine="0"/>
    </w:pPr>
  </w:style>
  <w:style w:type="paragraph" w:customStyle="1" w:styleId="ListNote">
    <w:name w:val="List Note"/>
    <w:basedOn w:val="List"/>
    <w:rsid w:val="00FD20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0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0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0E6"/>
    <w:rPr>
      <w:rFonts w:ascii="Courier New" w:hAnsi="Courier New"/>
    </w:rPr>
  </w:style>
  <w:style w:type="paragraph" w:customStyle="1" w:styleId="NoteBullet">
    <w:name w:val="Note Bullet"/>
    <w:basedOn w:val="Note"/>
    <w:rsid w:val="00FD20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0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0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0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0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20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0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0E6"/>
    <w:rPr>
      <w:b/>
      <w:smallCaps/>
    </w:rPr>
  </w:style>
  <w:style w:type="paragraph" w:customStyle="1" w:styleId="TableListNumber">
    <w:name w:val="Table List Number"/>
    <w:basedOn w:val="ListNumber"/>
    <w:rsid w:val="00FD20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0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0E6"/>
    <w:pPr>
      <w:numPr>
        <w:numId w:val="8"/>
      </w:numPr>
    </w:pPr>
  </w:style>
  <w:style w:type="paragraph" w:customStyle="1" w:styleId="ListAlpha2">
    <w:name w:val="List Alpha 2"/>
    <w:basedOn w:val="List2"/>
    <w:rsid w:val="00FD20E6"/>
    <w:pPr>
      <w:numPr>
        <w:numId w:val="7"/>
      </w:numPr>
    </w:pPr>
  </w:style>
  <w:style w:type="paragraph" w:styleId="List2">
    <w:name w:val="List 2"/>
    <w:basedOn w:val="BodyText"/>
    <w:rsid w:val="00FD20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0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0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0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0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0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20E6"/>
    <w:pPr>
      <w:numPr>
        <w:numId w:val="3"/>
      </w:numPr>
    </w:pPr>
  </w:style>
  <w:style w:type="paragraph" w:styleId="ListContinue2">
    <w:name w:val="List Continue 2"/>
    <w:basedOn w:val="List2"/>
    <w:rsid w:val="00FD20E6"/>
    <w:pPr>
      <w:ind w:firstLine="0"/>
    </w:pPr>
  </w:style>
  <w:style w:type="paragraph" w:styleId="ListContinue3">
    <w:name w:val="List Continue 3"/>
    <w:basedOn w:val="List3"/>
    <w:rsid w:val="00FD20E6"/>
    <w:pPr>
      <w:ind w:left="1021" w:firstLine="0"/>
    </w:pPr>
  </w:style>
  <w:style w:type="paragraph" w:styleId="ListContinue4">
    <w:name w:val="List Continue 4"/>
    <w:basedOn w:val="List4"/>
    <w:rsid w:val="00FD20E6"/>
    <w:pPr>
      <w:ind w:firstLine="0"/>
    </w:pPr>
  </w:style>
  <w:style w:type="paragraph" w:styleId="ListContinue5">
    <w:name w:val="List Continue 5"/>
    <w:basedOn w:val="List5"/>
    <w:rsid w:val="00FD20E6"/>
    <w:pPr>
      <w:ind w:firstLine="0"/>
    </w:pPr>
  </w:style>
  <w:style w:type="paragraph" w:styleId="ListNumber3">
    <w:name w:val="List Number 3"/>
    <w:basedOn w:val="List3"/>
    <w:rsid w:val="00FD20E6"/>
    <w:pPr>
      <w:numPr>
        <w:numId w:val="4"/>
      </w:numPr>
    </w:pPr>
  </w:style>
  <w:style w:type="paragraph" w:styleId="ListNumber4">
    <w:name w:val="List Number 4"/>
    <w:basedOn w:val="List4"/>
    <w:rsid w:val="00FD20E6"/>
    <w:pPr>
      <w:numPr>
        <w:numId w:val="5"/>
      </w:numPr>
    </w:pPr>
  </w:style>
  <w:style w:type="paragraph" w:styleId="ListNumber5">
    <w:name w:val="List Number 5"/>
    <w:basedOn w:val="List5"/>
    <w:rsid w:val="00FD20E6"/>
    <w:pPr>
      <w:numPr>
        <w:numId w:val="6"/>
      </w:numPr>
    </w:pPr>
  </w:style>
  <w:style w:type="paragraph" w:styleId="BlockText">
    <w:name w:val="Block Text"/>
    <w:basedOn w:val="Normal"/>
    <w:rsid w:val="00FD20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0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0E6"/>
    <w:rPr>
      <w:sz w:val="16"/>
      <w:vertAlign w:val="superscript"/>
    </w:rPr>
  </w:style>
  <w:style w:type="character" w:customStyle="1" w:styleId="Symbols">
    <w:name w:val="Symbols"/>
    <w:basedOn w:val="DefaultParagraphFont"/>
    <w:rsid w:val="00FD20E6"/>
    <w:rPr>
      <w:rFonts w:ascii="Symbol" w:hAnsi="Symbol"/>
    </w:rPr>
  </w:style>
  <w:style w:type="character" w:customStyle="1" w:styleId="MenuOptions">
    <w:name w:val="Menu Options"/>
    <w:basedOn w:val="DefaultParagraphFont"/>
    <w:rsid w:val="00FD20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0E6"/>
    <w:rPr>
      <w:b/>
    </w:rPr>
  </w:style>
  <w:style w:type="character" w:customStyle="1" w:styleId="Underlined">
    <w:name w:val="Underlined"/>
    <w:basedOn w:val="DefaultParagraphFont"/>
    <w:rsid w:val="00FD20E6"/>
    <w:rPr>
      <w:u w:val="single"/>
    </w:rPr>
  </w:style>
  <w:style w:type="paragraph" w:customStyle="1" w:styleId="TableBodyTextRight">
    <w:name w:val="Table Body Text Right"/>
    <w:basedOn w:val="TableBodyText"/>
    <w:rsid w:val="00FD20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0E6"/>
    <w:rPr>
      <w:sz w:val="18"/>
    </w:rPr>
  </w:style>
  <w:style w:type="paragraph" w:customStyle="1" w:styleId="BodySmallRight">
    <w:name w:val="Body Small Right"/>
    <w:basedOn w:val="BodyTextRight"/>
    <w:rsid w:val="00FD20E6"/>
    <w:rPr>
      <w:sz w:val="18"/>
      <w:szCs w:val="18"/>
    </w:rPr>
  </w:style>
  <w:style w:type="paragraph" w:customStyle="1" w:styleId="MarginEdition">
    <w:name w:val="Margin Edition"/>
    <w:basedOn w:val="MarginNote"/>
    <w:rsid w:val="00FD20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0E6"/>
    <w:rPr>
      <w:sz w:val="2"/>
      <w:szCs w:val="2"/>
    </w:rPr>
  </w:style>
  <w:style w:type="character" w:customStyle="1" w:styleId="Small">
    <w:name w:val="Small"/>
    <w:basedOn w:val="DefaultParagraphFont"/>
    <w:rsid w:val="00FD20E6"/>
    <w:rPr>
      <w:sz w:val="16"/>
    </w:rPr>
  </w:style>
  <w:style w:type="paragraph" w:customStyle="1" w:styleId="WideTable">
    <w:name w:val="Wide Table"/>
    <w:basedOn w:val="Normal"/>
    <w:rsid w:val="00FD20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0E6"/>
  </w:style>
  <w:style w:type="paragraph" w:styleId="Quote">
    <w:name w:val="Quote"/>
    <w:basedOn w:val="Heading1"/>
    <w:link w:val="QuoteChar"/>
    <w:qFormat/>
    <w:rsid w:val="00FD20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0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0E6"/>
    <w:pPr>
      <w:pageBreakBefore/>
    </w:pPr>
  </w:style>
  <w:style w:type="paragraph" w:customStyle="1" w:styleId="Border">
    <w:name w:val="Border"/>
    <w:basedOn w:val="Normal"/>
    <w:qFormat/>
    <w:rsid w:val="00FD20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0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0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0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0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0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0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0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0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0E6"/>
    <w:rPr>
      <w:u w:val="single"/>
    </w:rPr>
  </w:style>
  <w:style w:type="character" w:customStyle="1" w:styleId="BoldandItalics">
    <w:name w:val="Bold and Italics"/>
    <w:qFormat/>
    <w:rsid w:val="00FD20E6"/>
    <w:rPr>
      <w:b/>
      <w:i/>
      <w:u w:val="none"/>
    </w:rPr>
  </w:style>
  <w:style w:type="paragraph" w:styleId="BalloonText">
    <w:name w:val="Balloon Text"/>
    <w:basedOn w:val="Normal"/>
    <w:link w:val="BalloonTextChar"/>
    <w:rsid w:val="00FD20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0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0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0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0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0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0E6"/>
    <w:pPr>
      <w:spacing w:before="0" w:after="0"/>
    </w:pPr>
  </w:style>
  <w:style w:type="paragraph" w:customStyle="1" w:styleId="BodyTextBold">
    <w:name w:val="Body Text Bold"/>
    <w:basedOn w:val="BodyText"/>
    <w:qFormat/>
    <w:rsid w:val="00FD20E6"/>
    <w:rPr>
      <w:b/>
    </w:rPr>
  </w:style>
  <w:style w:type="character" w:styleId="Hyperlink">
    <w:name w:val="Hyperlink"/>
    <w:basedOn w:val="DefaultParagraphFont"/>
    <w:uiPriority w:val="99"/>
    <w:unhideWhenUsed/>
    <w:rsid w:val="00494A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4626</Characters>
  <Application>Microsoft Office Word</Application>
  <DocSecurity>0</DocSecurity>
  <Lines>165</Lines>
  <Paragraphs>105</Paragraphs>
  <ScaleCrop>false</ScaleCrop>
  <Company>Author-it Software Corporation Ltd.</Company>
  <LinksUpToDate>false</LinksUpToDate>
  <CharactersWithSpaces>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MSS408010 Analyse data for relevance to organisational learning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2025-03-01T10:01:00Z</dcterms:created>
  <dcterms:modified xsi:type="dcterms:W3CDTF">2025-03-01T10:01:00Z</dcterms:modified>
</cp:coreProperties>
</file>