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0288" w:rsidP="00280288">
      <w:pPr>
        <w:pStyle w:val="Title"/>
      </w:pPr>
      <w:r>
        <w:fldChar w:fldCharType="begin"/>
      </w:r>
      <w:r>
        <w:instrText xml:space="preserve"> TITLE   \* MERGEFORMAT </w:instrText>
      </w:r>
      <w:r>
        <w:fldChar w:fldCharType="separate"/>
      </w:r>
      <w:r>
        <w:t>MSS407007 Respond to a major non-conformance</w:t>
      </w:r>
      <w:r>
        <w:fldChar w:fldCharType="end"/>
      </w:r>
    </w:p>
    <w:p w:rsidR="00280288" w:rsidP="00280288">
      <w:pPr>
        <w:pStyle w:val="Version"/>
        <w:sectPr w:rsidSect="000F33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3361" w:rsidP="000F3361">
      <w:pPr>
        <w:pStyle w:val="SuperHeading"/>
      </w:pPr>
      <w:r w:rsidRPr="000F3361">
        <w:t>MSS407007 Respond to a major non-conformance</w:t>
      </w:r>
    </w:p>
    <w:p w:rsidR="00000000" w:rsidRPr="000F3361" w:rsidP="000F3361">
      <w:pPr>
        <w:pStyle w:val="Heading1"/>
      </w:pPr>
      <w:bookmarkStart w:id="1" w:name="O_921747"/>
      <w:bookmarkEnd w:id="1"/>
      <w:r w:rsidRPr="000F3361">
        <w:t>Modification History</w:t>
      </w:r>
    </w:p>
    <w:p w:rsidR="00000000" w:rsidRPr="000F3361" w:rsidP="000F3361">
      <w:pPr>
        <w:pStyle w:val="BodyText"/>
      </w:pPr>
      <w:r w:rsidRPr="000F3361">
        <w:t>Release 1. Supersedes and is equivalent to MSS407007A Respond to a major non-conformance</w:t>
      </w:r>
    </w:p>
    <w:p w:rsidR="00000000" w:rsidRPr="000F3361" w:rsidP="000F3361">
      <w:pPr>
        <w:pStyle w:val="AllowPageBreak"/>
      </w:pPr>
    </w:p>
    <w:p w:rsidR="00000000" w:rsidRPr="000F3361" w:rsidP="000F3361">
      <w:pPr>
        <w:pStyle w:val="Heading1"/>
      </w:pPr>
      <w:bookmarkStart w:id="2" w:name="O_921755"/>
      <w:bookmarkEnd w:id="2"/>
      <w:r w:rsidRPr="000F3361">
        <w:t>Application</w:t>
      </w:r>
    </w:p>
    <w:p w:rsidR="00000000" w:rsidRPr="000F3361" w:rsidP="000F3361">
      <w:pPr>
        <w:pStyle w:val="BodyText"/>
      </w:pPr>
      <w:r w:rsidRPr="000F3361">
        <w:t>This unit of competency covers the skills and knowledge required to lead a response at a team or area level to a majo</w:t>
      </w:r>
      <w:r w:rsidRPr="000F3361">
        <w:t>r non-conformance which could have severe business impacts.</w:t>
      </w:r>
    </w:p>
    <w:p w:rsidR="00000000" w:rsidRPr="000F3361" w:rsidP="000F3361">
      <w:pPr>
        <w:pStyle w:val="BodyText"/>
      </w:pPr>
    </w:p>
    <w:p w:rsidR="00000000" w:rsidRPr="000F3361" w:rsidP="000F3361">
      <w:pPr>
        <w:pStyle w:val="BodyText"/>
      </w:pPr>
      <w:r w:rsidRPr="000F3361">
        <w:t xml:space="preserve">The unit can be applied to subsections of an organisation, such as a team, area or department, or in the case of a small or medium sized enterprise (SME), to the whole organisation. </w:t>
      </w:r>
    </w:p>
    <w:p w:rsidR="00000000" w:rsidRPr="000F3361" w:rsidP="000F3361">
      <w:pPr>
        <w:pStyle w:val="BodyText"/>
      </w:pPr>
    </w:p>
    <w:p w:rsidR="00000000" w:rsidRPr="000F3361" w:rsidP="000F3361">
      <w:pPr>
        <w:pStyle w:val="BodyText"/>
      </w:pPr>
      <w:r w:rsidRPr="000F3361">
        <w:t>This unit a</w:t>
      </w:r>
      <w:r w:rsidRPr="000F3361">
        <w:t>pplies to team leaders and people with a similar sphere of influence and scope of authority and responsibility and covers the skills required to respond to a situation where people, processes, equipment or systems fail to meet requirements (there is a majo</w:t>
      </w:r>
      <w:r w:rsidRPr="000F3361">
        <w:t xml:space="preserve">r non-conformance) for whatever reason, and this will have significant business consequences. The non-conformance may be anywhere in the value stream, not necessarily in the team, department or area which needs to respond. Many teams, departments or areas </w:t>
      </w:r>
      <w:r w:rsidRPr="000F3361">
        <w:t xml:space="preserve">may need to respond. However, this unit applies to the skills needed to lead a single team, department or area response. </w:t>
      </w:r>
    </w:p>
    <w:p w:rsidR="00000000" w:rsidRPr="000F3361" w:rsidP="000F3361">
      <w:pPr>
        <w:pStyle w:val="BodyText"/>
      </w:pPr>
    </w:p>
    <w:p w:rsidR="00000000" w:rsidRPr="000F3361" w:rsidP="000F3361">
      <w:pPr>
        <w:pStyle w:val="BodyText"/>
      </w:pPr>
      <w:r w:rsidRPr="000F3361">
        <w:t>This unit is not primarily about identification of the cause of the non-conformance but rather about skills for appropriate responses</w:t>
      </w:r>
      <w:r w:rsidRPr="000F3361">
        <w:t xml:space="preserve"> to contain the situation, including not allowing it to accelerate or cascade. It is also about skills to minimise the adverse consequences while doing what can be done at the team, department or area level to remedy the situation. </w:t>
      </w:r>
    </w:p>
    <w:p w:rsidR="00000000" w:rsidRPr="000F3361" w:rsidP="000F3361">
      <w:pPr>
        <w:pStyle w:val="BodyText"/>
      </w:pPr>
    </w:p>
    <w:p w:rsidR="00000000" w:rsidRPr="000F3361" w:rsidP="000F3361">
      <w:pPr>
        <w:pStyle w:val="BodyText"/>
      </w:pPr>
      <w:r w:rsidRPr="000F3361">
        <w:t>This unit does not cov</w:t>
      </w:r>
      <w:r w:rsidRPr="000F3361">
        <w:t>er the specialist skills required to contain/remediate an emergency non-conformance, such as a fire or explosion. Relevant emergency management skills from other Training Packages should be accessed for these skills.</w:t>
      </w:r>
    </w:p>
    <w:p w:rsidR="00000000" w:rsidRPr="000F3361" w:rsidP="000F3361">
      <w:pPr>
        <w:pStyle w:val="BodyText"/>
      </w:pPr>
    </w:p>
    <w:p w:rsidR="00000000" w:rsidRPr="000F3361" w:rsidP="000F3361">
      <w:pPr>
        <w:pStyle w:val="BodyText"/>
      </w:pPr>
      <w:r w:rsidRPr="000F3361">
        <w:t>This unit may be also applied to servi</w:t>
      </w:r>
      <w:r w:rsidRPr="000F3361">
        <w:t>ce organisations applying competitive systems and practices principles.</w:t>
      </w:r>
    </w:p>
    <w:p w:rsidR="00000000" w:rsidRPr="000F3361" w:rsidP="000F3361">
      <w:pPr>
        <w:pStyle w:val="BodyText"/>
      </w:pPr>
    </w:p>
    <w:p w:rsidR="00000000" w:rsidRPr="000F3361" w:rsidP="000F3361">
      <w:pPr>
        <w:pStyle w:val="BodyText"/>
      </w:pPr>
      <w:r w:rsidRPr="000F3361">
        <w:t>No licensing, legislative or certification requirements apply to this unit at the time of publication.</w:t>
      </w:r>
    </w:p>
    <w:p w:rsidR="00000000" w:rsidRPr="000F3361" w:rsidP="000F3361">
      <w:pPr>
        <w:pStyle w:val="AllowPageBreak"/>
      </w:pPr>
    </w:p>
    <w:p w:rsidR="00000000" w:rsidRPr="000F3361" w:rsidP="000F3361">
      <w:pPr>
        <w:pStyle w:val="Heading1"/>
      </w:pPr>
      <w:bookmarkStart w:id="3" w:name="O_921754"/>
      <w:bookmarkEnd w:id="3"/>
      <w:r w:rsidRPr="000F3361">
        <w:t>Pre-requisite Unit</w:t>
      </w:r>
    </w:p>
    <w:p w:rsidR="00000000" w:rsidRPr="000F3361" w:rsidP="000F3361">
      <w:pPr>
        <w:pStyle w:val="BodyText"/>
      </w:pPr>
      <w:r w:rsidRPr="000F3361">
        <w:t>Nil</w:t>
      </w:r>
    </w:p>
    <w:p w:rsidR="00000000" w:rsidRPr="000F3361" w:rsidP="000F3361">
      <w:pPr>
        <w:pStyle w:val="AllowPageBreak"/>
      </w:pPr>
    </w:p>
    <w:p w:rsidR="00000000" w:rsidRPr="000F3361" w:rsidP="000F3361">
      <w:pPr>
        <w:pStyle w:val="Heading1"/>
      </w:pPr>
      <w:bookmarkStart w:id="4" w:name="O_921753"/>
      <w:bookmarkEnd w:id="4"/>
      <w:r w:rsidRPr="000F3361">
        <w:t>Competency Field</w:t>
      </w:r>
    </w:p>
    <w:p w:rsidR="00000000" w:rsidRPr="000F3361" w:rsidP="000F3361">
      <w:pPr>
        <w:pStyle w:val="BodyText"/>
      </w:pPr>
      <w:r w:rsidRPr="000F3361">
        <w:t>Compet</w:t>
      </w:r>
      <w:r w:rsidRPr="000F3361">
        <w:t>itive systems and practices</w:t>
      </w:r>
    </w:p>
    <w:p w:rsidR="00000000" w:rsidRPr="000F3361" w:rsidP="000F3361">
      <w:pPr>
        <w:pStyle w:val="AllowPageBreak"/>
      </w:pPr>
    </w:p>
    <w:p w:rsidR="00000000" w:rsidRPr="000F3361" w:rsidP="000F3361">
      <w:pPr>
        <w:pStyle w:val="Heading1"/>
      </w:pPr>
      <w:bookmarkStart w:id="5" w:name="O_921752"/>
      <w:bookmarkEnd w:id="5"/>
      <w:r w:rsidRPr="000F3361">
        <w:t>Unit Sector</w:t>
      </w:r>
    </w:p>
    <w:p w:rsidR="00000000" w:rsidRPr="000F3361" w:rsidP="000F3361">
      <w:pPr>
        <w:pStyle w:val="BodyText"/>
      </w:pPr>
      <w:r w:rsidRPr="000F3361">
        <w:t>Not applicable</w:t>
      </w:r>
    </w:p>
    <w:p w:rsidR="00000000" w:rsidRPr="000F3361" w:rsidP="000F3361">
      <w:pPr>
        <w:pStyle w:val="AllowPageBreak"/>
      </w:pPr>
    </w:p>
    <w:p w:rsidR="00000000" w:rsidRPr="000F3361" w:rsidP="000F3361">
      <w:pPr>
        <w:pStyle w:val="Heading1"/>
      </w:pPr>
      <w:bookmarkStart w:id="6" w:name="O_921751"/>
      <w:bookmarkEnd w:id="6"/>
      <w:r w:rsidRPr="000F336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F336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Performance criteria describe the performance needed to demonstrate achievement of the element.</w:t>
            </w: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3361" w:rsidP="000F3361">
            <w:pPr>
              <w:pStyle w:val="BodyText"/>
            </w:pPr>
            <w:r w:rsidRPr="000F3361">
              <w:t>1</w:t>
            </w:r>
          </w:p>
        </w:tc>
        <w:tc>
          <w:tcPr>
            <w:tcW w:w="1962" w:type="dxa"/>
            <w:vMerge w:val="restart"/>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rPr>
                <w:rStyle w:val="SpecialBold"/>
              </w:rPr>
              <w:t>Define extent and nature of non-conformance</w:t>
            </w: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1.1</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Identify target performance prior to non-conformance.</w:t>
            </w: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1.2</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Determine commencement and expected duration of</w:t>
            </w:r>
            <w:r w:rsidRPr="000F3361">
              <w:t xml:space="preserve"> non-conformance.</w:t>
            </w: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1.3</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Determine impact of non-conformance on target performance.</w:t>
            </w: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1.4</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Determine impact of non-conformance on sustainability (ecology, economy and social) performance.</w:t>
            </w: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1.5</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Determine impact of non-conformance on maintenance performance.</w:t>
            </w: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1.6</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Liaise with customers to determine minimum acceptable performance during period of non-conformance.</w:t>
            </w: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1.7</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Define non-conformance in te</w:t>
            </w:r>
            <w:r w:rsidRPr="000F3361">
              <w:t>rms of customer requirements and target performance.</w:t>
            </w:r>
          </w:p>
        </w:tc>
      </w:tr>
      <w:tr w:rsidTr="000F33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3361">
            <w:pPr>
              <w:pStyle w:val="BodyText"/>
              <w:rPr>
                <w:lang w:val="en-NZ"/>
              </w:rPr>
            </w:pP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3361" w:rsidP="000F3361">
            <w:pPr>
              <w:pStyle w:val="BodyText"/>
            </w:pPr>
            <w:r w:rsidRPr="000F3361">
              <w:t>2</w:t>
            </w:r>
          </w:p>
        </w:tc>
        <w:tc>
          <w:tcPr>
            <w:tcW w:w="1962" w:type="dxa"/>
            <w:vMerge w:val="restart"/>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rPr>
                <w:rStyle w:val="SpecialBold"/>
              </w:rPr>
              <w:t>Determine priorities and actions</w:t>
            </w: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2.1</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Develop possible responses appropriate to the situation.</w:t>
            </w: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2.2</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Determine possible timing of possible responses.</w:t>
            </w: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2.3</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Identify required resourc</w:t>
            </w:r>
            <w:r w:rsidRPr="000F3361">
              <w:t>es for the responses developed.</w:t>
            </w: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2.4</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Evaluate possible responses and select or shortlist responses.</w:t>
            </w: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2.5</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Select responses and obtain necessary approvals.</w:t>
            </w: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2.6</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Organise resources, as appropriate.</w:t>
            </w:r>
          </w:p>
        </w:tc>
      </w:tr>
      <w:tr w:rsidTr="000F33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3361">
            <w:pPr>
              <w:pStyle w:val="BodyText"/>
              <w:rPr>
                <w:lang w:val="en-NZ"/>
              </w:rPr>
            </w:pP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3361" w:rsidP="000F3361">
            <w:pPr>
              <w:pStyle w:val="BodyText"/>
            </w:pPr>
            <w:r w:rsidRPr="000F3361">
              <w:t>3</w:t>
            </w:r>
          </w:p>
        </w:tc>
        <w:tc>
          <w:tcPr>
            <w:tcW w:w="1962" w:type="dxa"/>
            <w:vMerge w:val="restart"/>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rPr>
                <w:rStyle w:val="SpecialBold"/>
              </w:rPr>
              <w:t>Identify information needs</w:t>
            </w: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3.1</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Determine the information needs of stakeholders.</w:t>
            </w: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3.2</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Identify the sources of required information.</w:t>
            </w: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3.3</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Arrange to collect required information.</w:t>
            </w: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3.4</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Obtain authorisation to disseminate information.</w:t>
            </w: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3.5</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Report information to stakeholders, as appropriate.</w:t>
            </w:r>
          </w:p>
        </w:tc>
      </w:tr>
      <w:tr w:rsidTr="000F33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3361">
            <w:pPr>
              <w:pStyle w:val="BodyText"/>
              <w:rPr>
                <w:lang w:val="en-NZ"/>
              </w:rPr>
            </w:pP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3361" w:rsidP="000F3361">
            <w:pPr>
              <w:pStyle w:val="BodyText"/>
            </w:pPr>
            <w:r w:rsidRPr="000F3361">
              <w:t>4</w:t>
            </w:r>
          </w:p>
        </w:tc>
        <w:tc>
          <w:tcPr>
            <w:tcW w:w="1962" w:type="dxa"/>
            <w:vMerge w:val="restart"/>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rPr>
                <w:rStyle w:val="SpecialBold"/>
              </w:rPr>
              <w:t>Implement response</w:t>
            </w: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4.1</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Initiate response and establish data and information collection procedures.</w:t>
            </w: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4.2</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Analyse data and other information as it comes to hand.</w:t>
            </w: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4.3</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Determine progress of response to achieving required outcomes.</w:t>
            </w: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4.4</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Modify response, including deployment of resources, as required, to better achieve desired outcomes.</w:t>
            </w:r>
          </w:p>
        </w:tc>
      </w:tr>
      <w:tr w:rsidTr="000F33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3361">
            <w:pPr>
              <w:pStyle w:val="BodyText"/>
              <w:rPr>
                <w:lang w:val="en-NZ"/>
              </w:rPr>
            </w:pP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3361" w:rsidP="000F3361">
            <w:pPr>
              <w:pStyle w:val="BodyText"/>
            </w:pPr>
            <w:r w:rsidRPr="000F3361">
              <w:t>5</w:t>
            </w:r>
          </w:p>
        </w:tc>
        <w:tc>
          <w:tcPr>
            <w:tcW w:w="1962" w:type="dxa"/>
            <w:vMerge w:val="restart"/>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rPr>
                <w:rStyle w:val="SpecialBold"/>
              </w:rPr>
              <w:t>Establish plan to return to normal conformance</w:t>
            </w: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5.1</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Determine root cause of non-conformance and analyse to determine likely preventative measures.</w:t>
            </w: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5.2</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Develop remedial plan to eliminate root cause.</w:t>
            </w: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5.3</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Obtain sign-off from process/system owner for planned action.</w:t>
            </w: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5.4</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Implement remedial plan and establish normal conformance.</w:t>
            </w:r>
          </w:p>
        </w:tc>
      </w:tr>
      <w:tr w:rsidTr="000F33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3361">
            <w:pPr>
              <w:pStyle w:val="BodyText"/>
              <w:rPr>
                <w:lang w:val="en-NZ"/>
              </w:rPr>
            </w:pP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3361" w:rsidP="000F3361">
            <w:pPr>
              <w:pStyle w:val="BodyText"/>
            </w:pPr>
            <w:r w:rsidRPr="000F3361">
              <w:t>6</w:t>
            </w:r>
          </w:p>
        </w:tc>
        <w:tc>
          <w:tcPr>
            <w:tcW w:w="1962" w:type="dxa"/>
            <w:vMerge w:val="restart"/>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rPr>
                <w:rStyle w:val="SpecialBold"/>
              </w:rPr>
              <w:t>Conclude and review response</w:t>
            </w: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6.1</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Conduct a debrief and complete reports as required.</w:t>
            </w: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6.2</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Evaluate and review response and procedures.</w:t>
            </w: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6.3</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Evaluate and document effectiveness of the response function and its interaction/communication with stakeholders.</w:t>
            </w: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6.4</w:t>
            </w:r>
          </w:p>
        </w:tc>
        <w:tc>
          <w:tcPr>
            <w:tcW w:w="561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Recommend improvements to prevent a recurrence and improve response for other non-conformances.</w:t>
            </w:r>
          </w:p>
        </w:tc>
      </w:tr>
      <w:tr w:rsidTr="000F33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6.5</w:t>
            </w:r>
          </w:p>
        </w:tc>
        <w:tc>
          <w:tcPr>
            <w:tcW w:w="5610" w:type="dxa"/>
            <w:tcBorders>
              <w:top w:val="nil"/>
              <w:left w:val="nil"/>
              <w:bottom w:val="nil"/>
              <w:right w:val="nil"/>
            </w:tcBorders>
            <w:tcMar>
              <w:top w:w="0" w:type="dxa"/>
              <w:left w:w="62" w:type="dxa"/>
              <w:bottom w:w="0" w:type="dxa"/>
              <w:right w:w="62" w:type="dxa"/>
            </w:tcMar>
          </w:tcPr>
          <w:p w:rsidR="00000000" w:rsidRPr="000F3361" w:rsidP="000F3361">
            <w:pPr>
              <w:pStyle w:val="BodyText"/>
            </w:pPr>
            <w:r w:rsidRPr="000F3361">
              <w:t>Communicate reports in accordance with company procedures.</w:t>
            </w:r>
          </w:p>
        </w:tc>
      </w:tr>
    </w:tbl>
    <w:p w:rsidR="00000000" w:rsidRPr="000F3361" w:rsidP="000F3361">
      <w:pPr>
        <w:pStyle w:val="BodyText"/>
      </w:pPr>
    </w:p>
    <w:p w:rsidR="00000000" w:rsidRPr="000F3361" w:rsidP="000F3361">
      <w:pPr>
        <w:pStyle w:val="AllowPageBreak"/>
      </w:pPr>
    </w:p>
    <w:p w:rsidR="00000000" w:rsidRPr="000F3361" w:rsidP="000F3361">
      <w:pPr>
        <w:pStyle w:val="Heading1"/>
      </w:pPr>
      <w:bookmarkStart w:id="7" w:name="O_921750"/>
      <w:bookmarkEnd w:id="7"/>
      <w:r w:rsidRPr="000F3361">
        <w:t>Foundation Skills</w:t>
      </w:r>
    </w:p>
    <w:p w:rsidR="00000000" w:rsidRPr="000F3361" w:rsidP="000F3361">
      <w:pPr>
        <w:pStyle w:val="BodyText"/>
      </w:pPr>
      <w:r w:rsidRPr="000F3361">
        <w:t>This section describes those required skills (language, literacy and numeracy) that are essential to performance.</w:t>
      </w:r>
    </w:p>
    <w:p w:rsidR="00000000" w:rsidRPr="000F3361" w:rsidP="000F3361">
      <w:pPr>
        <w:pStyle w:val="BodyText"/>
      </w:pPr>
    </w:p>
    <w:p w:rsidR="00000000" w:rsidRPr="000F3361" w:rsidP="000F3361">
      <w:pPr>
        <w:pStyle w:val="BodyText"/>
      </w:pPr>
      <w:r w:rsidRPr="000F3361">
        <w:t>Foundation skills essential to performance ar</w:t>
      </w:r>
      <w:r w:rsidRPr="000F3361">
        <w:t>e explicit in the performance criteria of this unit of competency.</w:t>
      </w:r>
    </w:p>
    <w:p w:rsidR="00000000" w:rsidRPr="000F3361" w:rsidP="000F3361">
      <w:pPr>
        <w:pStyle w:val="AllowPageBreak"/>
      </w:pPr>
    </w:p>
    <w:p w:rsidR="00000000" w:rsidRPr="000F3361" w:rsidP="000F3361">
      <w:pPr>
        <w:pStyle w:val="Heading1"/>
      </w:pPr>
      <w:bookmarkStart w:id="8" w:name="O_921749"/>
      <w:bookmarkEnd w:id="8"/>
      <w:r w:rsidRPr="000F3361">
        <w:t>Range of Conditions</w:t>
      </w:r>
    </w:p>
    <w:tbl>
      <w:tblPr>
        <w:tblW w:w="0" w:type="auto"/>
        <w:tblLayout w:type="fixed"/>
        <w:tblCellMar>
          <w:left w:w="62" w:type="dxa"/>
          <w:right w:w="62" w:type="dxa"/>
        </w:tblCellMar>
        <w:tblLook w:val="0000"/>
      </w:tblPr>
      <w:tblGrid>
        <w:gridCol w:w="2214"/>
        <w:gridCol w:w="6858"/>
      </w:tblGrid>
      <w:tr w:rsidTr="000F336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t>This field allows for different work environments and conditions that may affect performance. Essential operating conditions that may be present (depend</w:t>
            </w:r>
            <w:r w:rsidRPr="000F3361">
              <w:t>ing on the work situation, needs of the candidate, accessibility of the item, and local industry and regional contexts) are included.</w:t>
            </w:r>
          </w:p>
        </w:tc>
      </w:tr>
      <w:tr w:rsidTr="000F3361">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rPr>
                <w:rStyle w:val="SpecialBold"/>
              </w:rPr>
              <w:t>Competitive systems and practices include one or more of:</w:t>
            </w:r>
          </w:p>
        </w:tc>
        <w:tc>
          <w:tcPr>
            <w:tcW w:w="6858" w:type="dxa"/>
            <w:tcBorders>
              <w:top w:val="nil"/>
              <w:left w:val="nil"/>
              <w:bottom w:val="nil"/>
              <w:right w:val="nil"/>
            </w:tcBorders>
            <w:tcMar>
              <w:top w:w="0" w:type="dxa"/>
              <w:left w:w="62" w:type="dxa"/>
              <w:bottom w:w="0" w:type="dxa"/>
              <w:right w:w="62" w:type="dxa"/>
            </w:tcMar>
          </w:tcPr>
          <w:p w:rsidR="00000000" w:rsidRPr="000F3361" w:rsidP="000F3361">
            <w:pPr>
              <w:pStyle w:val="ListBullet"/>
            </w:pPr>
            <w:r w:rsidRPr="000F3361">
              <w:t>lean operations</w:t>
            </w:r>
          </w:p>
          <w:p w:rsidR="00000000" w:rsidRPr="000F3361" w:rsidP="000F3361">
            <w:pPr>
              <w:pStyle w:val="ListBullet"/>
            </w:pPr>
            <w:r w:rsidRPr="000F3361">
              <w:t>agile operations</w:t>
            </w:r>
          </w:p>
          <w:p w:rsidR="00000000" w:rsidRPr="000F3361" w:rsidP="000F3361">
            <w:pPr>
              <w:pStyle w:val="ListBullet"/>
            </w:pPr>
            <w:r w:rsidRPr="000F3361">
              <w:t>preventative and predictive maintenance approaches</w:t>
            </w:r>
          </w:p>
          <w:p w:rsidR="00000000" w:rsidRPr="000F3361" w:rsidP="000F3361">
            <w:pPr>
              <w:pStyle w:val="ListBullet"/>
            </w:pPr>
            <w:r w:rsidRPr="000F3361">
              <w:t>statistical process control systems, including six sigma and three sigma</w:t>
            </w:r>
          </w:p>
          <w:p w:rsidR="00000000" w:rsidRPr="000F3361" w:rsidP="000F3361">
            <w:pPr>
              <w:pStyle w:val="ListBullet"/>
            </w:pPr>
            <w:r w:rsidRPr="000F3361">
              <w:t>Just in Time (JIT), kanban and other pull-related operations control systems</w:t>
            </w:r>
          </w:p>
          <w:p w:rsidR="00000000" w:rsidRPr="000F3361" w:rsidP="000F3361">
            <w:pPr>
              <w:pStyle w:val="ListBullet"/>
            </w:pPr>
            <w:r w:rsidRPr="000F3361">
              <w:t>supply, value, and demand chain monitoring and analysis</w:t>
            </w:r>
          </w:p>
          <w:p w:rsidR="00000000" w:rsidRPr="000F3361" w:rsidP="000F3361">
            <w:pPr>
              <w:pStyle w:val="ListBullet"/>
            </w:pPr>
            <w:r w:rsidRPr="000F3361">
              <w:t xml:space="preserve">5S </w:t>
            </w:r>
          </w:p>
          <w:p w:rsidR="00000000" w:rsidRPr="000F3361" w:rsidP="000F3361">
            <w:pPr>
              <w:pStyle w:val="ListBullet"/>
            </w:pPr>
            <w:r w:rsidRPr="000F3361">
              <w:t>continuous improvement (kaizen)</w:t>
            </w:r>
          </w:p>
          <w:p w:rsidR="00000000" w:rsidRPr="000F3361" w:rsidP="000F3361">
            <w:pPr>
              <w:pStyle w:val="ListBullet"/>
            </w:pPr>
            <w:r w:rsidRPr="000F3361">
              <w:t>breakthrough improvement (kaizen blitz)</w:t>
            </w:r>
          </w:p>
          <w:p w:rsidR="00000000" w:rsidRPr="000F3361" w:rsidP="000F3361">
            <w:pPr>
              <w:pStyle w:val="ListBullet"/>
            </w:pPr>
            <w:r w:rsidRPr="000F3361">
              <w:t>cause/effect diagrams</w:t>
            </w:r>
          </w:p>
          <w:p w:rsidR="00000000" w:rsidRPr="000F3361" w:rsidP="000F3361">
            <w:pPr>
              <w:pStyle w:val="ListBullet"/>
            </w:pPr>
            <w:r w:rsidRPr="000F3361">
              <w:t>overall equipment effectiveness (OEE)</w:t>
            </w:r>
          </w:p>
          <w:p w:rsidR="00000000" w:rsidRPr="000F3361" w:rsidP="000F3361">
            <w:pPr>
              <w:pStyle w:val="ListBullet"/>
            </w:pPr>
            <w:r w:rsidRPr="000F3361">
              <w:t>takt time</w:t>
            </w:r>
          </w:p>
          <w:p w:rsidR="00000000" w:rsidRPr="000F3361" w:rsidP="000F3361">
            <w:pPr>
              <w:pStyle w:val="ListBullet"/>
            </w:pPr>
            <w:r w:rsidRPr="000F3361">
              <w:t>process mapping</w:t>
            </w:r>
          </w:p>
          <w:p w:rsidR="00000000" w:rsidRPr="000F3361" w:rsidP="000F3361">
            <w:pPr>
              <w:pStyle w:val="ListBullet"/>
            </w:pPr>
            <w:r w:rsidRPr="000F3361">
              <w:t xml:space="preserve">problem solving </w:t>
            </w:r>
          </w:p>
          <w:p w:rsidR="00000000" w:rsidRPr="000F3361" w:rsidP="000F3361">
            <w:pPr>
              <w:pStyle w:val="ListBullet"/>
            </w:pPr>
            <w:r w:rsidRPr="000F3361">
              <w:t>run charts</w:t>
            </w:r>
          </w:p>
          <w:p w:rsidR="00000000" w:rsidRPr="000F3361" w:rsidP="000F3361">
            <w:pPr>
              <w:pStyle w:val="ListBullet"/>
            </w:pPr>
            <w:r w:rsidRPr="000F3361">
              <w:t>standard procedures</w:t>
            </w:r>
          </w:p>
          <w:p w:rsidR="00000000" w:rsidRPr="000F3361" w:rsidP="000F3361">
            <w:pPr>
              <w:pStyle w:val="ListBullet"/>
            </w:pPr>
            <w:r w:rsidRPr="000F3361">
              <w:t>current reality tree.</w:t>
            </w:r>
          </w:p>
          <w:p w:rsidR="00000000" w:rsidP="000F3361">
            <w:pPr>
              <w:pStyle w:val="BodyText"/>
              <w:rPr>
                <w:lang w:val="en-NZ"/>
              </w:rPr>
            </w:pPr>
          </w:p>
        </w:tc>
      </w:tr>
      <w:tr w:rsidTr="000F3361">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rPr>
                <w:rStyle w:val="SpecialBold"/>
              </w:rPr>
              <w:t>Major non-conformance includes one or more of:</w:t>
            </w:r>
          </w:p>
        </w:tc>
        <w:tc>
          <w:tcPr>
            <w:tcW w:w="6858" w:type="dxa"/>
            <w:tcBorders>
              <w:top w:val="nil"/>
              <w:left w:val="nil"/>
              <w:bottom w:val="nil"/>
              <w:right w:val="nil"/>
            </w:tcBorders>
            <w:tcMar>
              <w:top w:w="0" w:type="dxa"/>
              <w:left w:w="62" w:type="dxa"/>
              <w:bottom w:w="0" w:type="dxa"/>
              <w:right w:w="62" w:type="dxa"/>
            </w:tcMar>
          </w:tcPr>
          <w:p w:rsidR="00000000" w:rsidRPr="000F3361" w:rsidP="000F3361">
            <w:pPr>
              <w:pStyle w:val="ListBullet"/>
            </w:pPr>
            <w:r w:rsidRPr="000F3361">
              <w:t>a failure to receive a delivery</w:t>
            </w:r>
          </w:p>
          <w:p w:rsidR="00000000" w:rsidRPr="000F3361" w:rsidP="000F3361">
            <w:pPr>
              <w:pStyle w:val="ListBullet"/>
            </w:pPr>
            <w:r w:rsidRPr="000F3361">
              <w:t>receiving a delivery which is out of specification</w:t>
            </w:r>
          </w:p>
          <w:p w:rsidR="00000000" w:rsidRPr="000F3361" w:rsidP="000F3361">
            <w:pPr>
              <w:pStyle w:val="ListBullet"/>
            </w:pPr>
            <w:r w:rsidRPr="000F3361">
              <w:t>a failure of the transport system to make deliveries to customers or from suppliers</w:t>
            </w:r>
          </w:p>
          <w:p w:rsidR="00000000" w:rsidRPr="000F3361" w:rsidP="000F3361">
            <w:pPr>
              <w:pStyle w:val="ListBullet"/>
            </w:pPr>
            <w:r w:rsidRPr="000F3361">
              <w:t>a problem in the process which fails to p</w:t>
            </w:r>
            <w:r w:rsidRPr="000F3361">
              <w:t>roduce product or only produces non-conforming product</w:t>
            </w:r>
          </w:p>
          <w:p w:rsidR="00000000" w:rsidRPr="000F3361" w:rsidP="000F3361">
            <w:pPr>
              <w:pStyle w:val="ListBullet"/>
            </w:pPr>
            <w:r w:rsidRPr="000F3361">
              <w:t>a major incident, such as a fire or loss of containment</w:t>
            </w:r>
          </w:p>
          <w:p w:rsidR="00000000" w:rsidRPr="000F3361" w:rsidP="000F3361">
            <w:pPr>
              <w:pStyle w:val="ListBullet"/>
            </w:pPr>
            <w:r w:rsidRPr="000F3361">
              <w:t>a breakdown of critical plant/equipment</w:t>
            </w:r>
          </w:p>
          <w:p w:rsidR="00000000" w:rsidRPr="000F3361" w:rsidP="000F3361">
            <w:pPr>
              <w:pStyle w:val="ListBullet"/>
            </w:pPr>
            <w:r w:rsidRPr="000F3361">
              <w:t>a commercial or legal problem which affects the ability to produce to requirements</w:t>
            </w:r>
          </w:p>
          <w:p w:rsidR="00000000" w:rsidRPr="000F3361" w:rsidP="000F3361">
            <w:pPr>
              <w:pStyle w:val="ListBullet"/>
            </w:pPr>
            <w:r w:rsidRPr="000F3361">
              <w:t xml:space="preserve">excessive absences of </w:t>
            </w:r>
            <w:r w:rsidRPr="000F3361">
              <w:t>key personnel due to illness or transport breakdown</w:t>
            </w:r>
          </w:p>
          <w:p w:rsidR="00000000" w:rsidRPr="000F3361" w:rsidP="000F3361">
            <w:pPr>
              <w:pStyle w:val="ListBullet"/>
            </w:pPr>
            <w:r w:rsidRPr="000F3361">
              <w:t>a security situation preventing key personnel from performing their duties and/or deliveries being made</w:t>
            </w:r>
          </w:p>
          <w:p w:rsidR="00000000" w:rsidRPr="000F3361" w:rsidP="000F3361">
            <w:pPr>
              <w:pStyle w:val="ListBullet"/>
            </w:pPr>
            <w:r w:rsidRPr="000F3361">
              <w:t>a major supply shortage or price increase.</w:t>
            </w:r>
          </w:p>
          <w:p w:rsidR="00000000" w:rsidP="000F3361">
            <w:pPr>
              <w:pStyle w:val="BodyText"/>
              <w:rPr>
                <w:lang w:val="en-NZ"/>
              </w:rPr>
            </w:pPr>
          </w:p>
        </w:tc>
      </w:tr>
      <w:tr w:rsidTr="000F3361">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rPr>
                <w:rStyle w:val="SpecialBold"/>
              </w:rPr>
              <w:t>Business impacts include one or more of:</w:t>
            </w:r>
          </w:p>
        </w:tc>
        <w:tc>
          <w:tcPr>
            <w:tcW w:w="6858" w:type="dxa"/>
            <w:tcBorders>
              <w:top w:val="nil"/>
              <w:left w:val="nil"/>
              <w:bottom w:val="nil"/>
              <w:right w:val="nil"/>
            </w:tcBorders>
            <w:tcMar>
              <w:top w:w="0" w:type="dxa"/>
              <w:left w:w="62" w:type="dxa"/>
              <w:bottom w:w="0" w:type="dxa"/>
              <w:right w:w="62" w:type="dxa"/>
            </w:tcMar>
          </w:tcPr>
          <w:p w:rsidR="00000000" w:rsidRPr="000F3361" w:rsidP="000F3361">
            <w:pPr>
              <w:pStyle w:val="ListBullet"/>
            </w:pPr>
            <w:r w:rsidRPr="000F3361">
              <w:t>sudden increase in defect rates</w:t>
            </w:r>
          </w:p>
          <w:p w:rsidR="00000000" w:rsidRPr="000F3361" w:rsidP="000F3361">
            <w:pPr>
              <w:pStyle w:val="ListBullet"/>
            </w:pPr>
            <w:r w:rsidRPr="000F3361">
              <w:t>loss of supply of materials or components</w:t>
            </w:r>
          </w:p>
          <w:p w:rsidR="00000000" w:rsidRPr="000F3361" w:rsidP="000F3361">
            <w:pPr>
              <w:pStyle w:val="ListBullet"/>
            </w:pPr>
            <w:r w:rsidRPr="000F3361">
              <w:t>loss or severe restriction of operational capability</w:t>
            </w:r>
          </w:p>
          <w:p w:rsidR="00000000" w:rsidRPr="000F3361" w:rsidP="000F3361">
            <w:pPr>
              <w:pStyle w:val="ListBullet"/>
            </w:pPr>
            <w:r w:rsidRPr="000F3361">
              <w:t>loss of transport from process</w:t>
            </w:r>
          </w:p>
          <w:p w:rsidR="00000000" w:rsidRPr="000F3361" w:rsidP="000F3361">
            <w:pPr>
              <w:pStyle w:val="ListBullet"/>
            </w:pPr>
            <w:r w:rsidRPr="000F3361">
              <w:t>increases in fuel energy costs</w:t>
            </w:r>
          </w:p>
          <w:p w:rsidR="00000000" w:rsidRPr="000F3361" w:rsidP="000F3361">
            <w:pPr>
              <w:pStyle w:val="ListBullet"/>
            </w:pPr>
            <w:r w:rsidRPr="000F3361">
              <w:t>increases in the cost of finance/capital.</w:t>
            </w:r>
          </w:p>
          <w:p w:rsidR="00000000" w:rsidP="000F3361">
            <w:pPr>
              <w:pStyle w:val="BodyText"/>
              <w:rPr>
                <w:lang w:val="en-NZ"/>
              </w:rPr>
            </w:pPr>
          </w:p>
        </w:tc>
      </w:tr>
      <w:tr w:rsidTr="000F3361">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rPr>
                <w:rStyle w:val="SpecialBold"/>
              </w:rPr>
              <w:t>Performance includes on</w:t>
            </w:r>
            <w:r w:rsidRPr="000F3361">
              <w:rPr>
                <w:rStyle w:val="SpecialBold"/>
              </w:rPr>
              <w:t>e or more of:</w:t>
            </w:r>
          </w:p>
        </w:tc>
        <w:tc>
          <w:tcPr>
            <w:tcW w:w="6858" w:type="dxa"/>
            <w:tcBorders>
              <w:top w:val="nil"/>
              <w:left w:val="nil"/>
              <w:bottom w:val="nil"/>
              <w:right w:val="nil"/>
            </w:tcBorders>
            <w:tcMar>
              <w:top w:w="0" w:type="dxa"/>
              <w:left w:w="62" w:type="dxa"/>
              <w:bottom w:w="0" w:type="dxa"/>
              <w:right w:w="62" w:type="dxa"/>
            </w:tcMar>
          </w:tcPr>
          <w:p w:rsidR="00000000" w:rsidRPr="000F3361" w:rsidP="000F3361">
            <w:pPr>
              <w:pStyle w:val="ListBullet"/>
            </w:pPr>
            <w:r w:rsidRPr="000F3361">
              <w:t>production volume</w:t>
            </w:r>
          </w:p>
          <w:p w:rsidR="00000000" w:rsidRPr="000F3361" w:rsidP="000F3361">
            <w:pPr>
              <w:pStyle w:val="ListBullet"/>
            </w:pPr>
            <w:r w:rsidRPr="000F3361">
              <w:t>product quality</w:t>
            </w:r>
          </w:p>
          <w:p w:rsidR="00000000" w:rsidRPr="000F3361" w:rsidP="000F3361">
            <w:pPr>
              <w:pStyle w:val="ListBullet"/>
            </w:pPr>
            <w:r w:rsidRPr="000F3361">
              <w:t>production cost</w:t>
            </w:r>
          </w:p>
          <w:p w:rsidR="00000000" w:rsidRPr="000F3361" w:rsidP="000F3361">
            <w:pPr>
              <w:pStyle w:val="ListBullet"/>
            </w:pPr>
            <w:r w:rsidRPr="000F3361">
              <w:t>sustainability and similar measures as appropriate at the team level.</w:t>
            </w:r>
          </w:p>
          <w:p w:rsidR="00000000" w:rsidP="000F3361">
            <w:pPr>
              <w:pStyle w:val="BodyText"/>
              <w:rPr>
                <w:lang w:val="en-NZ"/>
              </w:rPr>
            </w:pPr>
          </w:p>
        </w:tc>
      </w:tr>
      <w:tr w:rsidTr="000F3361">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rPr>
                <w:rStyle w:val="SpecialBold"/>
              </w:rPr>
              <w:t>Response to minimise the impact of the non-conformance on the customer includes one or more of:</w:t>
            </w:r>
          </w:p>
        </w:tc>
        <w:tc>
          <w:tcPr>
            <w:tcW w:w="6858" w:type="dxa"/>
            <w:tcBorders>
              <w:top w:val="nil"/>
              <w:left w:val="nil"/>
              <w:bottom w:val="nil"/>
              <w:right w:val="nil"/>
            </w:tcBorders>
            <w:tcMar>
              <w:top w:w="0" w:type="dxa"/>
              <w:left w:w="62" w:type="dxa"/>
              <w:bottom w:w="0" w:type="dxa"/>
              <w:right w:w="62" w:type="dxa"/>
            </w:tcMar>
          </w:tcPr>
          <w:p w:rsidR="00000000" w:rsidRPr="000F3361" w:rsidP="000F3361">
            <w:pPr>
              <w:pStyle w:val="ListBullet"/>
            </w:pPr>
            <w:r w:rsidRPr="000F3361">
              <w:t>supply from another source</w:t>
            </w:r>
          </w:p>
          <w:p w:rsidR="00000000" w:rsidRPr="000F3361" w:rsidP="000F3361">
            <w:pPr>
              <w:pStyle w:val="ListBullet"/>
            </w:pPr>
            <w:r w:rsidRPr="000F3361">
              <w:t>production from other areas</w:t>
            </w:r>
          </w:p>
          <w:p w:rsidR="00000000" w:rsidRPr="000F3361" w:rsidP="000F3361">
            <w:pPr>
              <w:pStyle w:val="ListBullet"/>
            </w:pPr>
            <w:r w:rsidRPr="000F3361">
              <w:t>agreements for reduced supply</w:t>
            </w:r>
          </w:p>
          <w:p w:rsidR="00000000" w:rsidRPr="000F3361" w:rsidP="000F3361">
            <w:pPr>
              <w:pStyle w:val="ListBullet"/>
            </w:pPr>
            <w:r w:rsidRPr="000F3361">
              <w:t>agreements to accept different quality</w:t>
            </w:r>
          </w:p>
          <w:p w:rsidR="00000000" w:rsidRPr="000F3361" w:rsidP="000F3361">
            <w:pPr>
              <w:pStyle w:val="ListBullet"/>
            </w:pPr>
            <w:r w:rsidRPr="000F3361">
              <w:t>short-term responses to cover immediate situation</w:t>
            </w:r>
          </w:p>
          <w:p w:rsidR="00000000" w:rsidRPr="000F3361" w:rsidP="000F3361">
            <w:pPr>
              <w:pStyle w:val="ListBullet"/>
            </w:pPr>
            <w:r w:rsidRPr="000F3361">
              <w:t>different long and medium-term response</w:t>
            </w:r>
          </w:p>
          <w:p w:rsidR="00000000" w:rsidRPr="000F3361" w:rsidP="000F3361">
            <w:pPr>
              <w:pStyle w:val="ListBullet"/>
            </w:pPr>
            <w:r w:rsidRPr="000F3361">
              <w:t>transition strategies where there are diff</w:t>
            </w:r>
            <w:r w:rsidRPr="000F3361">
              <w:t>erent strategies at different phases of the response.</w:t>
            </w:r>
          </w:p>
          <w:p w:rsidR="00000000" w:rsidP="000F3361">
            <w:pPr>
              <w:pStyle w:val="BodyText"/>
              <w:rPr>
                <w:lang w:val="en-NZ"/>
              </w:rPr>
            </w:pPr>
          </w:p>
        </w:tc>
      </w:tr>
      <w:tr w:rsidTr="000F3361">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rPr>
                <w:rStyle w:val="SpecialBold"/>
              </w:rPr>
              <w:t>Timing of responses include one or more of:</w:t>
            </w:r>
          </w:p>
        </w:tc>
        <w:tc>
          <w:tcPr>
            <w:tcW w:w="6858" w:type="dxa"/>
            <w:tcBorders>
              <w:top w:val="nil"/>
              <w:left w:val="nil"/>
              <w:bottom w:val="nil"/>
              <w:right w:val="nil"/>
            </w:tcBorders>
            <w:tcMar>
              <w:top w:w="0" w:type="dxa"/>
              <w:left w:w="62" w:type="dxa"/>
              <w:bottom w:w="0" w:type="dxa"/>
              <w:right w:w="62" w:type="dxa"/>
            </w:tcMar>
          </w:tcPr>
          <w:p w:rsidR="00000000" w:rsidRPr="000F3361" w:rsidP="000F3361">
            <w:pPr>
              <w:pStyle w:val="ListBullet"/>
            </w:pPr>
            <w:r w:rsidRPr="000F3361">
              <w:t>implementation following initial containment/stabilisation of situation (e.g. where the non-conformance is a major incident, such as a fire or loss of cont</w:t>
            </w:r>
            <w:r w:rsidRPr="000F3361">
              <w:t>ainment)</w:t>
            </w:r>
          </w:p>
          <w:p w:rsidR="00000000" w:rsidRPr="000F3361" w:rsidP="000F3361">
            <w:pPr>
              <w:pStyle w:val="ListBullet"/>
            </w:pPr>
            <w:r w:rsidRPr="000F3361">
              <w:t>immediate initiation but delayed implementation (e.g. where the non-conformance is a breakdown of critical plant/equipment which will require repair/replacement before implementation)</w:t>
            </w:r>
          </w:p>
          <w:p w:rsidR="00000000" w:rsidRPr="000F3361" w:rsidP="000F3361">
            <w:pPr>
              <w:pStyle w:val="ListBullet"/>
            </w:pPr>
            <w:r w:rsidRPr="000F3361">
              <w:t>immediate implementation (e.g. when the non-conformance does no</w:t>
            </w:r>
            <w:r w:rsidRPr="000F3361">
              <w:t>t prevent the response from starting or there is an alternative which bypasses the non-conformance).</w:t>
            </w:r>
          </w:p>
          <w:p w:rsidR="00000000" w:rsidP="000F3361">
            <w:pPr>
              <w:pStyle w:val="BodyText"/>
              <w:rPr>
                <w:lang w:val="en-NZ"/>
              </w:rPr>
            </w:pPr>
          </w:p>
        </w:tc>
      </w:tr>
      <w:tr w:rsidTr="000F3361">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rPr>
                <w:rStyle w:val="SpecialBold"/>
              </w:rPr>
              <w:t>Stakeholders include one or more of:</w:t>
            </w:r>
          </w:p>
        </w:tc>
        <w:tc>
          <w:tcPr>
            <w:tcW w:w="6858" w:type="dxa"/>
            <w:tcBorders>
              <w:top w:val="nil"/>
              <w:left w:val="nil"/>
              <w:bottom w:val="nil"/>
              <w:right w:val="nil"/>
            </w:tcBorders>
            <w:tcMar>
              <w:top w:w="0" w:type="dxa"/>
              <w:left w:w="62" w:type="dxa"/>
              <w:bottom w:w="0" w:type="dxa"/>
              <w:right w:w="62" w:type="dxa"/>
            </w:tcMar>
          </w:tcPr>
          <w:p w:rsidR="00000000" w:rsidRPr="000F3361" w:rsidP="000F3361">
            <w:pPr>
              <w:pStyle w:val="ListBullet"/>
            </w:pPr>
            <w:r w:rsidRPr="000F3361">
              <w:t>work team members</w:t>
            </w:r>
          </w:p>
          <w:p w:rsidR="00000000" w:rsidRPr="000F3361" w:rsidP="000F3361">
            <w:pPr>
              <w:pStyle w:val="ListBullet"/>
            </w:pPr>
            <w:r w:rsidRPr="000F3361">
              <w:t>value stream members</w:t>
            </w:r>
          </w:p>
          <w:p w:rsidR="00000000" w:rsidRPr="000F3361" w:rsidP="000F3361">
            <w:pPr>
              <w:pStyle w:val="ListBullet"/>
            </w:pPr>
            <w:r w:rsidRPr="000F3361">
              <w:t>other stakeholders internal and external to the team/organisation who are impacted by the non-conformance.</w:t>
            </w:r>
          </w:p>
          <w:p w:rsidR="00000000" w:rsidP="000F3361">
            <w:pPr>
              <w:pStyle w:val="BodyText"/>
              <w:rPr>
                <w:lang w:val="en-NZ"/>
              </w:rPr>
            </w:pPr>
          </w:p>
        </w:tc>
      </w:tr>
      <w:tr w:rsidTr="000F3361">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0F3361">
            <w:pPr>
              <w:pStyle w:val="BodyText"/>
              <w:rPr>
                <w:lang w:val="en-NZ"/>
              </w:rPr>
            </w:pPr>
            <w:r w:rsidRPr="000F3361">
              <w:rPr>
                <w:rStyle w:val="SpecialBold"/>
              </w:rPr>
              <w:t>Team leader includes one or more of:</w:t>
            </w:r>
          </w:p>
        </w:tc>
        <w:tc>
          <w:tcPr>
            <w:tcW w:w="6858" w:type="dxa"/>
            <w:tcBorders>
              <w:top w:val="nil"/>
              <w:left w:val="nil"/>
              <w:bottom w:val="nil"/>
              <w:right w:val="nil"/>
            </w:tcBorders>
            <w:tcMar>
              <w:top w:w="0" w:type="dxa"/>
              <w:left w:w="62" w:type="dxa"/>
              <w:bottom w:w="0" w:type="dxa"/>
              <w:right w:w="62" w:type="dxa"/>
            </w:tcMar>
          </w:tcPr>
          <w:p w:rsidR="00000000" w:rsidRPr="000F3361" w:rsidP="000F3361">
            <w:pPr>
              <w:pStyle w:val="ListBullet"/>
            </w:pPr>
            <w:r w:rsidRPr="000F3361">
              <w:t>a person who has a formal, permanent role</w:t>
            </w:r>
          </w:p>
          <w:p w:rsidR="00000000" w:rsidRPr="000F3361" w:rsidP="000F3361">
            <w:pPr>
              <w:pStyle w:val="ListBullet"/>
            </w:pPr>
            <w:r w:rsidRPr="000F3361">
              <w:t>a person who has an ad hoc role in facilitating the function of a t</w:t>
            </w:r>
            <w:r w:rsidRPr="000F3361">
              <w:t>eam in a workplace.</w:t>
            </w:r>
          </w:p>
          <w:p w:rsidR="00000000" w:rsidRPr="000F3361" w:rsidP="000F3361">
            <w:pPr>
              <w:pStyle w:val="BodyText"/>
            </w:pPr>
          </w:p>
        </w:tc>
      </w:tr>
    </w:tbl>
    <w:p w:rsidR="00000000" w:rsidRPr="000F3361" w:rsidP="000F3361">
      <w:pPr>
        <w:pStyle w:val="BodyText"/>
      </w:pPr>
    </w:p>
    <w:p w:rsidR="00000000" w:rsidRPr="000F3361" w:rsidP="000F3361">
      <w:pPr>
        <w:pStyle w:val="AllowPageBreak"/>
      </w:pPr>
    </w:p>
    <w:p w:rsidR="00000000" w:rsidRPr="000F3361" w:rsidP="000F3361">
      <w:pPr>
        <w:pStyle w:val="Heading1"/>
      </w:pPr>
      <w:bookmarkStart w:id="9" w:name="O_921748"/>
      <w:bookmarkEnd w:id="9"/>
      <w:r w:rsidRPr="000F3361">
        <w:t>Unit Mapping Information</w:t>
      </w:r>
    </w:p>
    <w:p w:rsidR="00000000" w:rsidRPr="000F3361" w:rsidP="000F3361">
      <w:pPr>
        <w:pStyle w:val="BodyText"/>
      </w:pPr>
      <w:r w:rsidRPr="000F3361">
        <w:t>Release 1. Supersedes and is equivalent to MSS407007A Respond to a major non-conformance</w:t>
      </w:r>
    </w:p>
    <w:p w:rsidR="00000000" w:rsidRPr="000F3361" w:rsidP="000F3361">
      <w:pPr>
        <w:pStyle w:val="AllowPageBreak"/>
      </w:pPr>
    </w:p>
    <w:p w:rsidR="00000000" w:rsidRPr="000F3361" w:rsidP="000F3361">
      <w:pPr>
        <w:pStyle w:val="Heading1"/>
      </w:pPr>
      <w:bookmarkStart w:id="10" w:name="O_921741"/>
      <w:bookmarkEnd w:id="10"/>
      <w:r w:rsidRPr="000F3361">
        <w:t>Links</w:t>
      </w:r>
    </w:p>
    <w:p w:rsidR="00000000" w:rsidRPr="000F3361" w:rsidP="000F3361">
      <w:pPr>
        <w:pStyle w:val="BodyText"/>
      </w:pPr>
      <w:r w:rsidRPr="000F3361">
        <w:t>Companion Volume implementation guides are found in VETNet - https://vetnet.education.gov.au/Pages/TrainingDocs.aspx?q=5b04f318-804f-4dc0-9463-c3fb9a3fe998</w:t>
      </w:r>
    </w:p>
    <w:p w:rsidR="00000000" w:rsidRPr="000F3361" w:rsidP="000F3361"/>
    <w:sectPr w:rsidSect="000F33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3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361" w:rsidRPr="00280288" w:rsidP="002802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3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288" w:rsidP="000F33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80288" w:rsidP="000F336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0288" w:rsidP="000F33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3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2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3361" w:rsidRPr="00280288" w:rsidP="002802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3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288" w:rsidRPr="002D2AF8" w:rsidP="000F3361">
    <w:pPr>
      <w:pStyle w:val="Header"/>
      <w:framePr w:wrap="around"/>
    </w:pPr>
    <w:r>
      <w:fldChar w:fldCharType="begin"/>
    </w:r>
    <w:r>
      <w:instrText xml:space="preserve"> TITLE   \* MERGEFORMAT </w:instrText>
    </w:r>
    <w:r>
      <w:fldChar w:fldCharType="separate"/>
    </w:r>
    <w:r>
      <w:t>MSS407007 Respond to a major non-conformance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280288" w:rsidP="000F33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7C3A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9C22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3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361"/>
    <w:pPr>
      <w:spacing w:before="360" w:after="60"/>
      <w:outlineLvl w:val="0"/>
    </w:pPr>
    <w:rPr>
      <w:sz w:val="32"/>
    </w:rPr>
  </w:style>
  <w:style w:type="paragraph" w:styleId="Heading2">
    <w:name w:val="heading 2"/>
    <w:basedOn w:val="HeadingBase"/>
    <w:next w:val="BodyText"/>
    <w:link w:val="Heading2Char"/>
    <w:qFormat/>
    <w:rsid w:val="000F3361"/>
    <w:pPr>
      <w:keepLines/>
      <w:spacing w:before="240" w:after="120"/>
      <w:outlineLvl w:val="1"/>
    </w:pPr>
    <w:rPr>
      <w:sz w:val="28"/>
      <w:szCs w:val="40"/>
    </w:rPr>
  </w:style>
  <w:style w:type="paragraph" w:styleId="Heading3">
    <w:name w:val="heading 3"/>
    <w:basedOn w:val="HeadingBase"/>
    <w:next w:val="BodyText"/>
    <w:link w:val="Heading3Char"/>
    <w:qFormat/>
    <w:rsid w:val="000F3361"/>
    <w:pPr>
      <w:spacing w:before="180" w:after="120"/>
      <w:outlineLvl w:val="2"/>
    </w:pPr>
    <w:rPr>
      <w:spacing w:val="-10"/>
      <w:kern w:val="32"/>
    </w:rPr>
  </w:style>
  <w:style w:type="paragraph" w:styleId="Heading4">
    <w:name w:val="heading 4"/>
    <w:basedOn w:val="HeadingBase"/>
    <w:next w:val="BodyText"/>
    <w:link w:val="Heading4Char"/>
    <w:qFormat/>
    <w:rsid w:val="000F3361"/>
    <w:pPr>
      <w:spacing w:before="160" w:after="120"/>
      <w:outlineLvl w:val="3"/>
    </w:pPr>
    <w:rPr>
      <w:sz w:val="22"/>
    </w:rPr>
  </w:style>
  <w:style w:type="paragraph" w:styleId="Heading5">
    <w:name w:val="heading 5"/>
    <w:basedOn w:val="HeadingBase"/>
    <w:next w:val="Normal"/>
    <w:link w:val="Heading5Char"/>
    <w:qFormat/>
    <w:rsid w:val="000F3361"/>
    <w:pPr>
      <w:spacing w:before="80"/>
      <w:outlineLvl w:val="4"/>
    </w:pPr>
    <w:rPr>
      <w:color w:val="918585"/>
      <w:sz w:val="20"/>
    </w:rPr>
  </w:style>
  <w:style w:type="paragraph" w:styleId="Heading6">
    <w:name w:val="heading 6"/>
    <w:basedOn w:val="HeadingBase"/>
    <w:next w:val="Normal"/>
    <w:link w:val="Heading6Char"/>
    <w:qFormat/>
    <w:rsid w:val="000F3361"/>
    <w:pPr>
      <w:spacing w:before="60"/>
      <w:outlineLvl w:val="5"/>
    </w:pPr>
    <w:rPr>
      <w:color w:val="918585"/>
      <w:sz w:val="20"/>
    </w:rPr>
  </w:style>
  <w:style w:type="paragraph" w:styleId="Heading7">
    <w:name w:val="heading 7"/>
    <w:basedOn w:val="Normal"/>
    <w:next w:val="Normal"/>
    <w:link w:val="Heading7Char"/>
    <w:qFormat/>
    <w:rsid w:val="000F3361"/>
    <w:pPr>
      <w:ind w:left="720"/>
      <w:outlineLvl w:val="6"/>
    </w:pPr>
    <w:rPr>
      <w:i/>
    </w:rPr>
  </w:style>
  <w:style w:type="paragraph" w:styleId="Heading8">
    <w:name w:val="heading 8"/>
    <w:basedOn w:val="Normal"/>
    <w:next w:val="Normal"/>
    <w:link w:val="Heading8Char"/>
    <w:qFormat/>
    <w:rsid w:val="000F3361"/>
    <w:pPr>
      <w:ind w:left="720"/>
      <w:outlineLvl w:val="7"/>
    </w:pPr>
    <w:rPr>
      <w:i/>
    </w:rPr>
  </w:style>
  <w:style w:type="paragraph" w:styleId="Heading9">
    <w:name w:val="heading 9"/>
    <w:basedOn w:val="Normal"/>
    <w:next w:val="Normal"/>
    <w:link w:val="Heading9Char"/>
    <w:qFormat/>
    <w:rsid w:val="000F3361"/>
    <w:pPr>
      <w:ind w:left="720"/>
      <w:outlineLvl w:val="8"/>
    </w:pPr>
    <w:rPr>
      <w:i/>
    </w:rPr>
  </w:style>
  <w:style w:type="character" w:default="1" w:styleId="DefaultParagraphFont">
    <w:name w:val="Default Paragraph Font"/>
    <w:uiPriority w:val="1"/>
    <w:unhideWhenUsed/>
    <w:rsid w:val="000F33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361"/>
  </w:style>
  <w:style w:type="character" w:customStyle="1" w:styleId="Heading1Char">
    <w:name w:val="Heading 1 Char"/>
    <w:basedOn w:val="DefaultParagraphFont"/>
    <w:link w:val="Heading1"/>
    <w:rsid w:val="000F3361"/>
    <w:rPr>
      <w:rFonts w:ascii="Times New Roman" w:eastAsia="Times New Roman" w:hAnsi="Times New Roman" w:cs="Times New Roman"/>
      <w:b/>
      <w:sz w:val="32"/>
      <w:szCs w:val="20"/>
      <w:lang w:eastAsia="en-US"/>
    </w:rPr>
  </w:style>
  <w:style w:type="paragraph" w:styleId="BodyText">
    <w:name w:val="Body Text"/>
    <w:basedOn w:val="Normal"/>
    <w:link w:val="BodyTextChar"/>
    <w:rsid w:val="000F33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3361"/>
    <w:rPr>
      <w:rFonts w:ascii="Times New Roman" w:eastAsia="Times New Roman" w:hAnsi="Times New Roman" w:cs="Times New Roman"/>
      <w:sz w:val="24"/>
      <w:lang w:eastAsia="en-US"/>
    </w:rPr>
  </w:style>
  <w:style w:type="paragraph" w:styleId="ListBullet">
    <w:name w:val="List Bullet"/>
    <w:basedOn w:val="List"/>
    <w:rsid w:val="000F3361"/>
    <w:pPr>
      <w:numPr>
        <w:numId w:val="12"/>
      </w:numPr>
      <w:tabs>
        <w:tab w:val="clear" w:pos="340"/>
      </w:tabs>
      <w:spacing w:before="40" w:after="40"/>
    </w:pPr>
  </w:style>
  <w:style w:type="character" w:customStyle="1" w:styleId="SpecialBold">
    <w:name w:val="Special Bold"/>
    <w:basedOn w:val="DefaultParagraphFont"/>
    <w:rsid w:val="000F3361"/>
    <w:rPr>
      <w:b/>
      <w:spacing w:val="0"/>
    </w:rPr>
  </w:style>
  <w:style w:type="paragraph" w:customStyle="1" w:styleId="SuperHeading">
    <w:name w:val="SuperHeading"/>
    <w:basedOn w:val="Normal"/>
    <w:rsid w:val="000F3361"/>
    <w:pPr>
      <w:spacing w:before="240" w:after="120"/>
      <w:outlineLvl w:val="0"/>
    </w:pPr>
    <w:rPr>
      <w:rFonts w:ascii="Times New Roman" w:hAnsi="Times New Roman"/>
      <w:b/>
      <w:sz w:val="32"/>
    </w:rPr>
  </w:style>
  <w:style w:type="paragraph" w:customStyle="1" w:styleId="AllowPageBreak">
    <w:name w:val="AllowPageBreak"/>
    <w:rsid w:val="000F33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33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3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33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3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3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3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3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361"/>
    <w:rPr>
      <w:rFonts w:ascii="Courier New" w:eastAsia="Times New Roman" w:hAnsi="Courier New" w:cs="Times New Roman"/>
      <w:i/>
      <w:szCs w:val="20"/>
      <w:lang w:eastAsia="en-US"/>
    </w:rPr>
  </w:style>
  <w:style w:type="paragraph" w:customStyle="1" w:styleId="HeadingBase">
    <w:name w:val="Heading Base"/>
    <w:rsid w:val="000F33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361"/>
    <w:pPr>
      <w:tabs>
        <w:tab w:val="right" w:leader="dot" w:pos="9072"/>
      </w:tabs>
      <w:ind w:left="567"/>
    </w:pPr>
    <w:rPr>
      <w:szCs w:val="22"/>
    </w:rPr>
  </w:style>
  <w:style w:type="paragraph" w:customStyle="1" w:styleId="TOCBase">
    <w:name w:val="TOC Base"/>
    <w:rsid w:val="000F33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361"/>
    <w:pPr>
      <w:tabs>
        <w:tab w:val="right" w:leader="dot" w:pos="9072"/>
      </w:tabs>
      <w:spacing w:before="40" w:after="40"/>
      <w:ind w:left="284"/>
    </w:pPr>
    <w:rPr>
      <w:rFonts w:ascii="Times New Roman" w:hAnsi="Times New Roman"/>
    </w:rPr>
  </w:style>
  <w:style w:type="paragraph" w:styleId="TOC1">
    <w:name w:val="toc 1"/>
    <w:basedOn w:val="TOCBase"/>
    <w:next w:val="Normal"/>
    <w:rsid w:val="000F33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33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361"/>
    <w:rPr>
      <w:rFonts w:ascii="Times New Roman" w:eastAsia="Times New Roman" w:hAnsi="Times New Roman" w:cs="Times New Roman"/>
      <w:sz w:val="16"/>
      <w:lang w:eastAsia="en-US"/>
    </w:rPr>
  </w:style>
  <w:style w:type="paragraph" w:styleId="Title">
    <w:name w:val="Title"/>
    <w:basedOn w:val="HeadingBase"/>
    <w:link w:val="TitleChar"/>
    <w:qFormat/>
    <w:rsid w:val="000F3361"/>
    <w:pPr>
      <w:spacing w:before="5040"/>
      <w:jc w:val="center"/>
    </w:pPr>
    <w:rPr>
      <w:sz w:val="48"/>
      <w:szCs w:val="72"/>
      <w:lang w:val="en-US"/>
    </w:rPr>
  </w:style>
  <w:style w:type="character" w:customStyle="1" w:styleId="TitleChar">
    <w:name w:val="Title Char"/>
    <w:basedOn w:val="DefaultParagraphFont"/>
    <w:link w:val="Title"/>
    <w:rsid w:val="000F33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361"/>
    <w:pPr>
      <w:tabs>
        <w:tab w:val="left" w:pos="3600"/>
        <w:tab w:val="left" w:pos="3958"/>
      </w:tabs>
    </w:pPr>
  </w:style>
  <w:style w:type="paragraph" w:styleId="List">
    <w:name w:val="List"/>
    <w:basedOn w:val="BodyText"/>
    <w:next w:val="BodyText"/>
    <w:rsid w:val="000F3361"/>
    <w:pPr>
      <w:tabs>
        <w:tab w:val="left" w:pos="340"/>
      </w:tabs>
      <w:spacing w:before="60" w:after="60"/>
      <w:ind w:left="340" w:hanging="340"/>
    </w:pPr>
  </w:style>
  <w:style w:type="paragraph" w:customStyle="1" w:styleId="Note">
    <w:name w:val="Note"/>
    <w:basedOn w:val="BodyText"/>
    <w:rsid w:val="000F33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3361"/>
    <w:pPr>
      <w:framePr w:wrap="auto" w:hAnchor="text" w:y="6049"/>
    </w:pPr>
    <w:rPr>
      <w:color w:val="000000"/>
      <w:sz w:val="40"/>
    </w:rPr>
  </w:style>
  <w:style w:type="paragraph" w:customStyle="1" w:styleId="TOCTitle">
    <w:name w:val="TOCTitle"/>
    <w:basedOn w:val="Heading1"/>
    <w:rsid w:val="000F3361"/>
    <w:pPr>
      <w:spacing w:after="240"/>
      <w:jc w:val="center"/>
      <w:outlineLvl w:val="9"/>
    </w:pPr>
    <w:rPr>
      <w:caps/>
    </w:rPr>
  </w:style>
  <w:style w:type="paragraph" w:customStyle="1" w:styleId="Version">
    <w:name w:val="Version"/>
    <w:rsid w:val="000F33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3361"/>
    <w:pPr>
      <w:numPr>
        <w:numId w:val="13"/>
      </w:numPr>
      <w:tabs>
        <w:tab w:val="clear" w:pos="680"/>
      </w:tabs>
    </w:pPr>
  </w:style>
  <w:style w:type="paragraph" w:styleId="Index1">
    <w:name w:val="index 1"/>
    <w:basedOn w:val="Normal"/>
    <w:next w:val="Normal"/>
    <w:semiHidden/>
    <w:rsid w:val="000F3361"/>
    <w:pPr>
      <w:keepNext w:val="0"/>
      <w:tabs>
        <w:tab w:val="right" w:pos="4176"/>
      </w:tabs>
      <w:ind w:left="198" w:hanging="198"/>
    </w:pPr>
    <w:rPr>
      <w:rFonts w:ascii="Garamond" w:hAnsi="Garamond"/>
    </w:rPr>
  </w:style>
  <w:style w:type="paragraph" w:styleId="IndexHeading">
    <w:name w:val="index heading"/>
    <w:basedOn w:val="Normal"/>
    <w:next w:val="Index1"/>
    <w:semiHidden/>
    <w:rsid w:val="000F3361"/>
    <w:pPr>
      <w:spacing w:before="120" w:after="120"/>
    </w:pPr>
    <w:rPr>
      <w:rFonts w:ascii="Arial" w:hAnsi="Arial"/>
      <w:b/>
      <w:color w:val="918585"/>
      <w:sz w:val="24"/>
    </w:rPr>
  </w:style>
  <w:style w:type="paragraph" w:styleId="Header">
    <w:name w:val="header"/>
    <w:basedOn w:val="Normal"/>
    <w:link w:val="HeaderChar"/>
    <w:rsid w:val="000F33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361"/>
    <w:rPr>
      <w:rFonts w:ascii="Times New Roman" w:eastAsia="Times New Roman" w:hAnsi="Times New Roman" w:cs="Times New Roman"/>
      <w:sz w:val="16"/>
      <w:szCs w:val="20"/>
      <w:lang w:val="en-GB" w:eastAsia="en-US"/>
    </w:rPr>
  </w:style>
  <w:style w:type="paragraph" w:customStyle="1" w:styleId="Chapter">
    <w:name w:val="Chapter"/>
    <w:basedOn w:val="Normal"/>
    <w:rsid w:val="000F3361"/>
    <w:pPr>
      <w:spacing w:before="240"/>
    </w:pPr>
    <w:rPr>
      <w:rFonts w:ascii="Times New Roman" w:hAnsi="Times New Roman"/>
      <w:smallCaps/>
      <w:spacing w:val="80"/>
      <w:sz w:val="28"/>
    </w:rPr>
  </w:style>
  <w:style w:type="paragraph" w:customStyle="1" w:styleId="InChapter">
    <w:name w:val="InChapter"/>
    <w:basedOn w:val="Heading3"/>
    <w:rsid w:val="000F3361"/>
    <w:pPr>
      <w:spacing w:after="240"/>
      <w:outlineLvl w:val="9"/>
    </w:pPr>
    <w:rPr>
      <w:noProof/>
    </w:rPr>
  </w:style>
  <w:style w:type="paragraph" w:styleId="Index2">
    <w:name w:val="index 2"/>
    <w:basedOn w:val="Normal"/>
    <w:next w:val="Normal"/>
    <w:semiHidden/>
    <w:rsid w:val="000F3361"/>
    <w:pPr>
      <w:tabs>
        <w:tab w:val="right" w:pos="4176"/>
      </w:tabs>
      <w:ind w:left="568" w:hanging="284"/>
    </w:pPr>
    <w:rPr>
      <w:rFonts w:ascii="Garamond" w:hAnsi="Garamond"/>
    </w:rPr>
  </w:style>
  <w:style w:type="paragraph" w:customStyle="1" w:styleId="Byline">
    <w:name w:val="Byline"/>
    <w:rsid w:val="000F33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361"/>
    <w:pPr>
      <w:tabs>
        <w:tab w:val="clear" w:pos="3600"/>
        <w:tab w:val="clear" w:pos="3958"/>
      </w:tabs>
      <w:jc w:val="right"/>
    </w:pPr>
  </w:style>
  <w:style w:type="character" w:styleId="Emphasis">
    <w:name w:val="Emphasis"/>
    <w:basedOn w:val="DefaultParagraphFont"/>
    <w:qFormat/>
    <w:rsid w:val="000F3361"/>
    <w:rPr>
      <w:i/>
    </w:rPr>
  </w:style>
  <w:style w:type="paragraph" w:styleId="Caption">
    <w:name w:val="caption"/>
    <w:basedOn w:val="BodyText"/>
    <w:next w:val="Normal"/>
    <w:qFormat/>
    <w:rsid w:val="000F3361"/>
    <w:pPr>
      <w:framePr w:w="2268" w:hSpace="181" w:vSpace="181" w:wrap="around" w:vAnchor="text" w:hAnchor="page" w:x="1135" w:y="285" w:anchorLock="1"/>
    </w:pPr>
    <w:rPr>
      <w:i/>
    </w:rPr>
  </w:style>
  <w:style w:type="paragraph" w:customStyle="1" w:styleId="MiniTOCTitle">
    <w:name w:val="MiniTOCTitle"/>
    <w:basedOn w:val="Heading4"/>
    <w:rsid w:val="000F3361"/>
    <w:pPr>
      <w:spacing w:before="240"/>
      <w:outlineLvl w:val="9"/>
    </w:pPr>
    <w:rPr>
      <w:noProof/>
      <w:sz w:val="24"/>
    </w:rPr>
  </w:style>
  <w:style w:type="paragraph" w:customStyle="1" w:styleId="MiniTOCItem">
    <w:name w:val="MiniTOCItem"/>
    <w:basedOn w:val="ListBullet"/>
    <w:rsid w:val="000F3361"/>
    <w:pPr>
      <w:numPr>
        <w:numId w:val="0"/>
      </w:numPr>
      <w:tabs>
        <w:tab w:val="right" w:leader="dot" w:pos="6521"/>
      </w:tabs>
      <w:spacing w:before="0" w:after="0"/>
    </w:pPr>
  </w:style>
  <w:style w:type="paragraph" w:customStyle="1" w:styleId="TOFTitle">
    <w:name w:val="TOFTitle"/>
    <w:basedOn w:val="TOCTitle"/>
    <w:rsid w:val="000F3361"/>
  </w:style>
  <w:style w:type="paragraph" w:styleId="TableofFigures">
    <w:name w:val="table of figures"/>
    <w:basedOn w:val="Normal"/>
    <w:next w:val="Normal"/>
    <w:semiHidden/>
    <w:rsid w:val="000F3361"/>
    <w:pPr>
      <w:tabs>
        <w:tab w:val="right" w:leader="dot" w:pos="9072"/>
      </w:tabs>
      <w:ind w:left="970" w:hanging="403"/>
    </w:pPr>
    <w:rPr>
      <w:rFonts w:ascii="Times New Roman" w:hAnsi="Times New Roman"/>
      <w:b/>
    </w:rPr>
  </w:style>
  <w:style w:type="paragraph" w:styleId="ListNumber">
    <w:name w:val="List Number"/>
    <w:basedOn w:val="List"/>
    <w:rsid w:val="000F3361"/>
    <w:pPr>
      <w:numPr>
        <w:numId w:val="10"/>
      </w:numPr>
    </w:pPr>
  </w:style>
  <w:style w:type="character" w:customStyle="1" w:styleId="WingdingSymbols">
    <w:name w:val="Wingding Symbols"/>
    <w:rsid w:val="000F3361"/>
    <w:rPr>
      <w:rFonts w:ascii="Wingdings" w:hAnsi="Wingdings"/>
    </w:rPr>
  </w:style>
  <w:style w:type="paragraph" w:customStyle="1" w:styleId="TableHeading">
    <w:name w:val="Table Heading"/>
    <w:basedOn w:val="HeadingBase"/>
    <w:rsid w:val="000F3361"/>
    <w:pPr>
      <w:keepLines/>
      <w:pBdr>
        <w:bottom w:val="single" w:sz="6" w:space="1" w:color="918585"/>
      </w:pBdr>
      <w:spacing w:before="240"/>
    </w:pPr>
  </w:style>
  <w:style w:type="character" w:customStyle="1" w:styleId="HotSpot">
    <w:name w:val="HotSpot"/>
    <w:rsid w:val="000F3361"/>
    <w:rPr>
      <w:color w:val="0033CC"/>
      <w:u w:val="none"/>
    </w:rPr>
  </w:style>
  <w:style w:type="paragraph" w:customStyle="1" w:styleId="BodyTextRight">
    <w:name w:val="Body Text Right"/>
    <w:basedOn w:val="BodyText"/>
    <w:rsid w:val="000F3361"/>
    <w:pPr>
      <w:spacing w:before="0" w:after="0"/>
      <w:jc w:val="right"/>
    </w:pPr>
  </w:style>
  <w:style w:type="paragraph" w:styleId="Index3">
    <w:name w:val="index 3"/>
    <w:basedOn w:val="ListNumber2"/>
    <w:next w:val="Normal"/>
    <w:semiHidden/>
    <w:rsid w:val="000F3361"/>
    <w:pPr>
      <w:numPr>
        <w:numId w:val="0"/>
      </w:numPr>
      <w:tabs>
        <w:tab w:val="right" w:leader="dot" w:pos="4176"/>
      </w:tabs>
    </w:pPr>
  </w:style>
  <w:style w:type="paragraph" w:styleId="ListNumber2">
    <w:name w:val="List Number 2"/>
    <w:basedOn w:val="List2"/>
    <w:rsid w:val="000F3361"/>
    <w:pPr>
      <w:numPr>
        <w:numId w:val="9"/>
      </w:numPr>
      <w:tabs>
        <w:tab w:val="clear" w:pos="1060"/>
      </w:tabs>
    </w:pPr>
  </w:style>
  <w:style w:type="paragraph" w:customStyle="1" w:styleId="MarginNote">
    <w:name w:val="Margin Note"/>
    <w:basedOn w:val="BodyText"/>
    <w:rsid w:val="000F33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3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3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361"/>
    <w:rPr>
      <w:sz w:val="32"/>
    </w:rPr>
  </w:style>
  <w:style w:type="paragraph" w:customStyle="1" w:styleId="HeadingProcedure">
    <w:name w:val="Heading Procedure"/>
    <w:basedOn w:val="HeadingBase"/>
    <w:next w:val="Normal"/>
    <w:rsid w:val="000F3361"/>
    <w:pPr>
      <w:tabs>
        <w:tab w:val="left" w:pos="0"/>
      </w:tabs>
      <w:spacing w:before="120" w:after="60"/>
    </w:pPr>
    <w:rPr>
      <w:i/>
      <w:color w:val="918585"/>
      <w:sz w:val="22"/>
    </w:rPr>
  </w:style>
  <w:style w:type="paragraph" w:customStyle="1" w:styleId="TableBodyText">
    <w:name w:val="Table Body Text"/>
    <w:basedOn w:val="BodyText"/>
    <w:rsid w:val="000F3361"/>
    <w:pPr>
      <w:spacing w:before="60" w:after="60"/>
    </w:pPr>
  </w:style>
  <w:style w:type="paragraph" w:styleId="ListContinue">
    <w:name w:val="List Continue"/>
    <w:basedOn w:val="List"/>
    <w:rsid w:val="000F3361"/>
    <w:pPr>
      <w:ind w:firstLine="0"/>
    </w:pPr>
  </w:style>
  <w:style w:type="paragraph" w:customStyle="1" w:styleId="ListNote">
    <w:name w:val="List Note"/>
    <w:basedOn w:val="List"/>
    <w:rsid w:val="000F3361"/>
    <w:pPr>
      <w:pBdr>
        <w:top w:val="single" w:sz="6" w:space="2" w:color="918585"/>
        <w:bottom w:val="single" w:sz="6" w:space="2" w:color="918585"/>
      </w:pBdr>
      <w:tabs>
        <w:tab w:val="left" w:pos="1021"/>
      </w:tabs>
      <w:ind w:firstLine="0"/>
    </w:pPr>
  </w:style>
  <w:style w:type="paragraph" w:customStyle="1" w:styleId="Warning">
    <w:name w:val="Warning"/>
    <w:basedOn w:val="BodyText"/>
    <w:rsid w:val="000F3361"/>
    <w:pPr>
      <w:shd w:val="clear" w:color="auto" w:fill="D9D9D9"/>
      <w:tabs>
        <w:tab w:val="left" w:pos="992"/>
      </w:tabs>
      <w:ind w:left="119" w:right="119"/>
    </w:pPr>
    <w:rPr>
      <w:sz w:val="20"/>
    </w:rPr>
  </w:style>
  <w:style w:type="paragraph" w:customStyle="1" w:styleId="MarginIcons">
    <w:name w:val="Margin Icons"/>
    <w:basedOn w:val="BodyText"/>
    <w:rsid w:val="000F33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361"/>
    <w:rPr>
      <w:rFonts w:ascii="Courier New" w:hAnsi="Courier New"/>
    </w:rPr>
  </w:style>
  <w:style w:type="paragraph" w:customStyle="1" w:styleId="NoteBullet">
    <w:name w:val="Note Bullet"/>
    <w:basedOn w:val="Note"/>
    <w:rsid w:val="000F3361"/>
    <w:pPr>
      <w:tabs>
        <w:tab w:val="clear" w:pos="680"/>
      </w:tabs>
      <w:spacing w:before="60" w:after="60"/>
    </w:pPr>
  </w:style>
  <w:style w:type="paragraph" w:customStyle="1" w:styleId="SubHeading2">
    <w:name w:val="SubHeading2"/>
    <w:basedOn w:val="HeadingBase"/>
    <w:rsid w:val="000F3361"/>
    <w:pPr>
      <w:spacing w:before="240" w:after="60"/>
    </w:pPr>
    <w:rPr>
      <w:sz w:val="20"/>
    </w:rPr>
  </w:style>
  <w:style w:type="paragraph" w:customStyle="1" w:styleId="SubHeading1">
    <w:name w:val="SubHeading1"/>
    <w:basedOn w:val="HeadingBase"/>
    <w:rsid w:val="000F3361"/>
    <w:pPr>
      <w:spacing w:before="240" w:after="60"/>
    </w:pPr>
    <w:rPr>
      <w:color w:val="918585"/>
      <w:sz w:val="22"/>
    </w:rPr>
  </w:style>
  <w:style w:type="paragraph" w:customStyle="1" w:styleId="SideHeading">
    <w:name w:val="Side Heading"/>
    <w:basedOn w:val="HeadingBase"/>
    <w:rsid w:val="000F33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361"/>
    <w:pPr>
      <w:tabs>
        <w:tab w:val="num" w:pos="360"/>
      </w:tabs>
    </w:pPr>
  </w:style>
  <w:style w:type="paragraph" w:styleId="PlainText">
    <w:name w:val="Plain Text"/>
    <w:basedOn w:val="Normal"/>
    <w:link w:val="PlainTextChar"/>
    <w:rsid w:val="000F3361"/>
    <w:rPr>
      <w:sz w:val="20"/>
    </w:rPr>
  </w:style>
  <w:style w:type="character" w:customStyle="1" w:styleId="PlainTextChar">
    <w:name w:val="Plain Text Char"/>
    <w:basedOn w:val="DefaultParagraphFont"/>
    <w:link w:val="PlainText"/>
    <w:rsid w:val="000F3361"/>
    <w:rPr>
      <w:rFonts w:ascii="Courier New" w:eastAsia="Times New Roman" w:hAnsi="Courier New" w:cs="Times New Roman"/>
      <w:sz w:val="20"/>
      <w:szCs w:val="20"/>
      <w:lang w:eastAsia="en-US"/>
    </w:rPr>
  </w:style>
  <w:style w:type="character" w:customStyle="1" w:styleId="MenuOption">
    <w:name w:val="Menu Option"/>
    <w:basedOn w:val="DefaultParagraphFont"/>
    <w:rsid w:val="000F3361"/>
    <w:rPr>
      <w:b/>
      <w:smallCaps/>
    </w:rPr>
  </w:style>
  <w:style w:type="paragraph" w:customStyle="1" w:styleId="TableListNumber">
    <w:name w:val="Table List Number"/>
    <w:basedOn w:val="ListNumber"/>
    <w:rsid w:val="000F3361"/>
    <w:pPr>
      <w:numPr>
        <w:numId w:val="0"/>
      </w:numPr>
    </w:pPr>
  </w:style>
  <w:style w:type="paragraph" w:styleId="TOC4">
    <w:name w:val="toc 4"/>
    <w:basedOn w:val="TOCBase"/>
    <w:next w:val="Normal"/>
    <w:semiHidden/>
    <w:rsid w:val="000F3361"/>
    <w:pPr>
      <w:tabs>
        <w:tab w:val="right" w:leader="dot" w:pos="9071"/>
      </w:tabs>
      <w:ind w:left="1701"/>
    </w:pPr>
  </w:style>
  <w:style w:type="paragraph" w:customStyle="1" w:styleId="ListAlpha">
    <w:name w:val="List Alpha"/>
    <w:basedOn w:val="List"/>
    <w:rsid w:val="000F3361"/>
    <w:pPr>
      <w:numPr>
        <w:numId w:val="8"/>
      </w:numPr>
    </w:pPr>
  </w:style>
  <w:style w:type="paragraph" w:customStyle="1" w:styleId="ListAlpha2">
    <w:name w:val="List Alpha 2"/>
    <w:basedOn w:val="List2"/>
    <w:rsid w:val="000F3361"/>
    <w:pPr>
      <w:numPr>
        <w:numId w:val="7"/>
      </w:numPr>
    </w:pPr>
  </w:style>
  <w:style w:type="paragraph" w:styleId="List2">
    <w:name w:val="List 2"/>
    <w:basedOn w:val="BodyText"/>
    <w:rsid w:val="000F3361"/>
    <w:pPr>
      <w:tabs>
        <w:tab w:val="left" w:pos="680"/>
      </w:tabs>
      <w:spacing w:before="60" w:after="60"/>
      <w:ind w:left="680" w:hanging="340"/>
    </w:pPr>
  </w:style>
  <w:style w:type="paragraph" w:styleId="List3">
    <w:name w:val="List 3"/>
    <w:basedOn w:val="BodyText"/>
    <w:rsid w:val="000F3361"/>
    <w:pPr>
      <w:tabs>
        <w:tab w:val="left" w:pos="1021"/>
      </w:tabs>
      <w:spacing w:before="60" w:after="60"/>
      <w:ind w:left="1020" w:hanging="340"/>
    </w:pPr>
  </w:style>
  <w:style w:type="paragraph" w:styleId="List4">
    <w:name w:val="List 4"/>
    <w:basedOn w:val="BodyText"/>
    <w:rsid w:val="000F3361"/>
    <w:pPr>
      <w:tabs>
        <w:tab w:val="left" w:pos="1361"/>
      </w:tabs>
      <w:spacing w:before="60" w:after="60"/>
      <w:ind w:left="1361" w:hanging="340"/>
    </w:pPr>
  </w:style>
  <w:style w:type="paragraph" w:styleId="List5">
    <w:name w:val="List 5"/>
    <w:basedOn w:val="BodyText"/>
    <w:rsid w:val="000F3361"/>
    <w:pPr>
      <w:tabs>
        <w:tab w:val="left" w:pos="1701"/>
      </w:tabs>
      <w:spacing w:before="60" w:after="60"/>
      <w:ind w:left="1701" w:hanging="340"/>
    </w:pPr>
  </w:style>
  <w:style w:type="paragraph" w:styleId="ListBullet3">
    <w:name w:val="List Bullet 3"/>
    <w:basedOn w:val="List3"/>
    <w:rsid w:val="000F3361"/>
    <w:pPr>
      <w:numPr>
        <w:numId w:val="14"/>
      </w:numPr>
      <w:tabs>
        <w:tab w:val="clear" w:pos="1021"/>
      </w:tabs>
      <w:ind w:left="1037" w:hanging="357"/>
    </w:pPr>
  </w:style>
  <w:style w:type="paragraph" w:styleId="ListBullet4">
    <w:name w:val="List Bullet 4"/>
    <w:basedOn w:val="List4"/>
    <w:rsid w:val="000F3361"/>
    <w:pPr>
      <w:numPr>
        <w:numId w:val="2"/>
      </w:numPr>
      <w:tabs>
        <w:tab w:val="clear" w:pos="1361"/>
      </w:tabs>
    </w:pPr>
  </w:style>
  <w:style w:type="paragraph" w:styleId="ListBullet5">
    <w:name w:val="List Bullet 5"/>
    <w:basedOn w:val="List5"/>
    <w:rsid w:val="000F3361"/>
    <w:pPr>
      <w:numPr>
        <w:numId w:val="3"/>
      </w:numPr>
    </w:pPr>
  </w:style>
  <w:style w:type="paragraph" w:styleId="ListContinue2">
    <w:name w:val="List Continue 2"/>
    <w:basedOn w:val="List2"/>
    <w:rsid w:val="000F3361"/>
    <w:pPr>
      <w:ind w:firstLine="0"/>
    </w:pPr>
  </w:style>
  <w:style w:type="paragraph" w:styleId="ListContinue3">
    <w:name w:val="List Continue 3"/>
    <w:basedOn w:val="List3"/>
    <w:rsid w:val="000F3361"/>
    <w:pPr>
      <w:ind w:left="1021" w:firstLine="0"/>
    </w:pPr>
  </w:style>
  <w:style w:type="paragraph" w:styleId="ListContinue4">
    <w:name w:val="List Continue 4"/>
    <w:basedOn w:val="List4"/>
    <w:rsid w:val="000F3361"/>
    <w:pPr>
      <w:ind w:firstLine="0"/>
    </w:pPr>
  </w:style>
  <w:style w:type="paragraph" w:styleId="ListContinue5">
    <w:name w:val="List Continue 5"/>
    <w:basedOn w:val="List5"/>
    <w:rsid w:val="000F3361"/>
    <w:pPr>
      <w:ind w:firstLine="0"/>
    </w:pPr>
  </w:style>
  <w:style w:type="paragraph" w:styleId="ListNumber3">
    <w:name w:val="List Number 3"/>
    <w:basedOn w:val="List3"/>
    <w:rsid w:val="000F3361"/>
    <w:pPr>
      <w:numPr>
        <w:numId w:val="4"/>
      </w:numPr>
    </w:pPr>
  </w:style>
  <w:style w:type="paragraph" w:styleId="ListNumber4">
    <w:name w:val="List Number 4"/>
    <w:basedOn w:val="List4"/>
    <w:rsid w:val="000F3361"/>
    <w:pPr>
      <w:numPr>
        <w:numId w:val="5"/>
      </w:numPr>
    </w:pPr>
  </w:style>
  <w:style w:type="paragraph" w:styleId="ListNumber5">
    <w:name w:val="List Number 5"/>
    <w:basedOn w:val="List5"/>
    <w:rsid w:val="000F3361"/>
    <w:pPr>
      <w:numPr>
        <w:numId w:val="6"/>
      </w:numPr>
    </w:pPr>
  </w:style>
  <w:style w:type="paragraph" w:styleId="BlockText">
    <w:name w:val="Block Text"/>
    <w:basedOn w:val="Normal"/>
    <w:rsid w:val="000F3361"/>
    <w:pPr>
      <w:spacing w:after="120"/>
      <w:ind w:left="1440" w:right="1440"/>
    </w:pPr>
  </w:style>
  <w:style w:type="character" w:customStyle="1" w:styleId="Subscript">
    <w:name w:val="Subscript"/>
    <w:basedOn w:val="DefaultParagraphFont"/>
    <w:rsid w:val="000F3361"/>
    <w:rPr>
      <w:sz w:val="16"/>
      <w:vertAlign w:val="subscript"/>
    </w:rPr>
  </w:style>
  <w:style w:type="character" w:customStyle="1" w:styleId="Superscript">
    <w:name w:val="Superscript"/>
    <w:basedOn w:val="DefaultParagraphFont"/>
    <w:rsid w:val="000F3361"/>
    <w:rPr>
      <w:sz w:val="16"/>
      <w:vertAlign w:val="superscript"/>
    </w:rPr>
  </w:style>
  <w:style w:type="character" w:customStyle="1" w:styleId="Symbols">
    <w:name w:val="Symbols"/>
    <w:basedOn w:val="DefaultParagraphFont"/>
    <w:rsid w:val="000F3361"/>
    <w:rPr>
      <w:rFonts w:ascii="Symbol" w:hAnsi="Symbol"/>
    </w:rPr>
  </w:style>
  <w:style w:type="character" w:customStyle="1" w:styleId="MenuOptions">
    <w:name w:val="Menu Options"/>
    <w:basedOn w:val="DefaultParagraphFont"/>
    <w:rsid w:val="000F3361"/>
    <w:rPr>
      <w:rFonts w:ascii="Arial Narrow" w:hAnsi="Arial Narrow"/>
      <w:smallCaps/>
    </w:rPr>
  </w:style>
  <w:style w:type="character" w:customStyle="1" w:styleId="Buttons">
    <w:name w:val="Buttons"/>
    <w:basedOn w:val="DefaultParagraphFont"/>
    <w:rsid w:val="000F3361"/>
    <w:rPr>
      <w:b/>
    </w:rPr>
  </w:style>
  <w:style w:type="character" w:customStyle="1" w:styleId="Underlined">
    <w:name w:val="Underlined"/>
    <w:basedOn w:val="DefaultParagraphFont"/>
    <w:rsid w:val="000F3361"/>
    <w:rPr>
      <w:u w:val="single"/>
    </w:rPr>
  </w:style>
  <w:style w:type="paragraph" w:customStyle="1" w:styleId="TableBodyTextRight">
    <w:name w:val="Table Body Text Right"/>
    <w:basedOn w:val="TableBodyText"/>
    <w:rsid w:val="000F3361"/>
    <w:pPr>
      <w:widowControl w:val="0"/>
      <w:autoSpaceDE w:val="0"/>
      <w:autoSpaceDN w:val="0"/>
      <w:adjustRightInd w:val="0"/>
      <w:jc w:val="right"/>
    </w:pPr>
    <w:rPr>
      <w:rFonts w:cs="Arial"/>
      <w:szCs w:val="18"/>
    </w:rPr>
  </w:style>
  <w:style w:type="paragraph" w:customStyle="1" w:styleId="CopyrightText">
    <w:name w:val="Copyright Text"/>
    <w:basedOn w:val="BodyText"/>
    <w:rsid w:val="000F3361"/>
    <w:rPr>
      <w:sz w:val="18"/>
    </w:rPr>
  </w:style>
  <w:style w:type="paragraph" w:customStyle="1" w:styleId="BodySmallRight">
    <w:name w:val="Body Small Right"/>
    <w:basedOn w:val="BodyTextRight"/>
    <w:rsid w:val="000F3361"/>
    <w:rPr>
      <w:sz w:val="18"/>
      <w:szCs w:val="18"/>
    </w:rPr>
  </w:style>
  <w:style w:type="paragraph" w:customStyle="1" w:styleId="MarginEdition">
    <w:name w:val="Margin Edition"/>
    <w:basedOn w:val="MarginNote"/>
    <w:rsid w:val="000F3361"/>
    <w:pPr>
      <w:spacing w:before="0" w:after="0"/>
    </w:pPr>
    <w:rPr>
      <w:rFonts w:ascii="Times New Roman" w:hAnsi="Times New Roman"/>
      <w:color w:val="999999"/>
    </w:rPr>
  </w:style>
  <w:style w:type="paragraph" w:customStyle="1" w:styleId="Spacer">
    <w:name w:val="Spacer"/>
    <w:basedOn w:val="Normal"/>
    <w:rsid w:val="000F3361"/>
    <w:rPr>
      <w:sz w:val="2"/>
      <w:szCs w:val="2"/>
    </w:rPr>
  </w:style>
  <w:style w:type="character" w:customStyle="1" w:styleId="Small">
    <w:name w:val="Small"/>
    <w:basedOn w:val="DefaultParagraphFont"/>
    <w:rsid w:val="000F3361"/>
    <w:rPr>
      <w:sz w:val="16"/>
    </w:rPr>
  </w:style>
  <w:style w:type="paragraph" w:customStyle="1" w:styleId="WideTable">
    <w:name w:val="Wide Table"/>
    <w:basedOn w:val="Normal"/>
    <w:rsid w:val="000F3361"/>
    <w:pPr>
      <w:ind w:left="-1418"/>
    </w:pPr>
    <w:rPr>
      <w:sz w:val="2"/>
      <w:szCs w:val="2"/>
    </w:rPr>
  </w:style>
  <w:style w:type="character" w:styleId="PageNumber">
    <w:name w:val="page number"/>
    <w:basedOn w:val="DefaultParagraphFont"/>
    <w:rsid w:val="000F3361"/>
  </w:style>
  <w:style w:type="paragraph" w:styleId="Quote">
    <w:name w:val="Quote"/>
    <w:basedOn w:val="Heading1"/>
    <w:link w:val="QuoteChar"/>
    <w:qFormat/>
    <w:rsid w:val="000F3361"/>
    <w:rPr>
      <w:b w:val="0"/>
      <w:sz w:val="72"/>
      <w:szCs w:val="72"/>
      <w:lang w:val="en-NZ"/>
    </w:rPr>
  </w:style>
  <w:style w:type="character" w:customStyle="1" w:styleId="QuoteChar">
    <w:name w:val="Quote Char"/>
    <w:basedOn w:val="DefaultParagraphFont"/>
    <w:link w:val="Quote"/>
    <w:rsid w:val="000F33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361"/>
    <w:pPr>
      <w:pageBreakBefore/>
    </w:pPr>
  </w:style>
  <w:style w:type="paragraph" w:customStyle="1" w:styleId="Border">
    <w:name w:val="Border"/>
    <w:basedOn w:val="Normal"/>
    <w:qFormat/>
    <w:rsid w:val="000F33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361"/>
    <w:rPr>
      <w:b/>
      <w:bCs/>
      <w:i/>
      <w:iCs/>
      <w:color w:val="auto"/>
    </w:rPr>
  </w:style>
  <w:style w:type="paragraph" w:styleId="IntenseQuote">
    <w:name w:val="Intense Quote"/>
    <w:basedOn w:val="Normal"/>
    <w:next w:val="Normal"/>
    <w:link w:val="IntenseQuoteChar"/>
    <w:uiPriority w:val="30"/>
    <w:qFormat/>
    <w:rsid w:val="000F33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3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361"/>
    <w:rPr>
      <w:smallCaps/>
      <w:color w:val="auto"/>
      <w:u w:val="single"/>
    </w:rPr>
  </w:style>
  <w:style w:type="character" w:styleId="IntenseReference">
    <w:name w:val="Intense Reference"/>
    <w:basedOn w:val="DefaultParagraphFont"/>
    <w:uiPriority w:val="32"/>
    <w:qFormat/>
    <w:rsid w:val="000F3361"/>
    <w:rPr>
      <w:b/>
      <w:bCs/>
      <w:smallCaps/>
      <w:color w:val="auto"/>
      <w:spacing w:val="5"/>
      <w:u w:val="single"/>
    </w:rPr>
  </w:style>
  <w:style w:type="paragraph" w:customStyle="1" w:styleId="2ColumnHeading">
    <w:name w:val="2Column Heading"/>
    <w:basedOn w:val="BodyText"/>
    <w:qFormat/>
    <w:rsid w:val="000F3361"/>
    <w:pPr>
      <w:spacing w:after="60"/>
      <w:ind w:left="-2268"/>
    </w:pPr>
    <w:rPr>
      <w:b/>
    </w:rPr>
  </w:style>
  <w:style w:type="paragraph" w:customStyle="1" w:styleId="Heading1TOC">
    <w:name w:val="Heading1 TOC"/>
    <w:basedOn w:val="Normal"/>
    <w:qFormat/>
    <w:rsid w:val="000F3361"/>
    <w:pPr>
      <w:spacing w:before="240" w:after="120"/>
    </w:pPr>
    <w:rPr>
      <w:rFonts w:ascii="Times New Roman" w:hAnsi="Times New Roman"/>
      <w:b/>
      <w:sz w:val="32"/>
    </w:rPr>
  </w:style>
  <w:style w:type="paragraph" w:customStyle="1" w:styleId="Heading2TOC">
    <w:name w:val="Heading2 TOC"/>
    <w:basedOn w:val="Normal"/>
    <w:qFormat/>
    <w:rsid w:val="000F3361"/>
    <w:pPr>
      <w:spacing w:before="240" w:after="60"/>
    </w:pPr>
    <w:rPr>
      <w:rFonts w:ascii="Times New Roman" w:hAnsi="Times New Roman"/>
      <w:b/>
      <w:sz w:val="28"/>
    </w:rPr>
  </w:style>
  <w:style w:type="character" w:customStyle="1" w:styleId="Underline">
    <w:name w:val="Underline"/>
    <w:basedOn w:val="DefaultParagraphFont"/>
    <w:qFormat/>
    <w:rsid w:val="000F3361"/>
    <w:rPr>
      <w:u w:val="single"/>
    </w:rPr>
  </w:style>
  <w:style w:type="character" w:customStyle="1" w:styleId="BoldandItalics">
    <w:name w:val="Bold and Italics"/>
    <w:qFormat/>
    <w:rsid w:val="000F3361"/>
    <w:rPr>
      <w:b/>
      <w:i/>
      <w:u w:val="none"/>
    </w:rPr>
  </w:style>
  <w:style w:type="paragraph" w:styleId="BalloonText">
    <w:name w:val="Balloon Text"/>
    <w:basedOn w:val="Normal"/>
    <w:link w:val="BalloonTextChar"/>
    <w:rsid w:val="000F3361"/>
    <w:rPr>
      <w:rFonts w:ascii="Tahoma" w:hAnsi="Tahoma" w:cs="Tahoma"/>
      <w:sz w:val="16"/>
      <w:szCs w:val="16"/>
    </w:rPr>
  </w:style>
  <w:style w:type="character" w:customStyle="1" w:styleId="BalloonTextChar">
    <w:name w:val="Balloon Text Char"/>
    <w:basedOn w:val="DefaultParagraphFont"/>
    <w:link w:val="BalloonText"/>
    <w:rsid w:val="000F33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3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33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361"/>
    <w:rPr>
      <w:b/>
      <w:color w:val="660033"/>
      <w:spacing w:val="0"/>
    </w:rPr>
  </w:style>
  <w:style w:type="paragraph" w:customStyle="1" w:styleId="Nameditemlist">
    <w:name w:val="Named item list"/>
    <w:basedOn w:val="BodyText"/>
    <w:qFormat/>
    <w:rsid w:val="000F3361"/>
    <w:pPr>
      <w:tabs>
        <w:tab w:val="left" w:pos="2835"/>
      </w:tabs>
      <w:ind w:left="2835" w:hanging="2835"/>
    </w:pPr>
  </w:style>
  <w:style w:type="paragraph" w:customStyle="1" w:styleId="BodyTextnopadding">
    <w:name w:val="Body Text no padding"/>
    <w:basedOn w:val="BodyText"/>
    <w:qFormat/>
    <w:rsid w:val="000F336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1203</Words>
  <Characters>7346</Characters>
  <Application>Microsoft Office Word</Application>
  <DocSecurity>0</DocSecurity>
  <Lines>341</Lines>
  <Paragraphs>165</Paragraphs>
  <ScaleCrop>false</ScaleCrop>
  <Company>Author-it Software Corporation Ltd.</Company>
  <LinksUpToDate>false</LinksUpToDate>
  <CharactersWithSpaces>8440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MSS407007 Respond to a major non-conformance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2018-10-22T06:57:00Z</dcterms:created>
  <dcterms:modified xsi:type="dcterms:W3CDTF">2018-10-22T06:57:00Z</dcterms:modified>
</cp:coreProperties>
</file>