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4B9" w:rsidP="00F744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MSS407001 Prepare for and implement change</w:t>
      </w:r>
      <w:r>
        <w:fldChar w:fldCharType="end"/>
      </w:r>
    </w:p>
    <w:p w:rsidR="00F744B9" w:rsidP="00F744B9">
      <w:pPr>
        <w:pStyle w:val="Version"/>
        <w:sectPr w:rsidSect="009304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497" w:rsidP="00930497">
      <w:pPr>
        <w:pStyle w:val="SuperHeading"/>
      </w:pPr>
      <w:r w:rsidRPr="00930497">
        <w:t>MSS407001 Prepare for and implement change</w:t>
      </w:r>
    </w:p>
    <w:p w:rsidR="00000000" w:rsidRPr="00930497" w:rsidP="00930497">
      <w:pPr>
        <w:pStyle w:val="Heading1"/>
      </w:pPr>
      <w:bookmarkStart w:id="1" w:name="O_921613"/>
      <w:bookmarkEnd w:id="1"/>
      <w:r w:rsidRPr="00930497">
        <w:t>Modification History</w:t>
      </w:r>
    </w:p>
    <w:p w:rsidR="00000000" w:rsidRPr="00930497" w:rsidP="00930497">
      <w:pPr>
        <w:pStyle w:val="BodyText"/>
      </w:pPr>
      <w:r w:rsidRPr="00930497">
        <w:t>Release 1. Supersedes and is equivalent to MSS407001A Prepare for and implement change</w:t>
      </w:r>
    </w:p>
    <w:p w:rsidR="00000000" w:rsidRPr="00930497" w:rsidP="00930497">
      <w:pPr>
        <w:pStyle w:val="AllowPageBreak"/>
      </w:pPr>
    </w:p>
    <w:p w:rsidR="00000000" w:rsidRPr="00930497" w:rsidP="00930497">
      <w:pPr>
        <w:pStyle w:val="Heading1"/>
      </w:pPr>
      <w:bookmarkStart w:id="2" w:name="O_921621"/>
      <w:bookmarkEnd w:id="2"/>
      <w:r w:rsidRPr="00930497">
        <w:t>Application</w:t>
      </w:r>
    </w:p>
    <w:p w:rsidR="00000000" w:rsidRPr="00930497" w:rsidP="00930497">
      <w:pPr>
        <w:pStyle w:val="BodyText"/>
      </w:pPr>
      <w:r w:rsidRPr="00930497">
        <w:t xml:space="preserve">This unit of competency covers the skills and knowledge required to establish the preconditions for the implementation </w:t>
      </w:r>
      <w:r w:rsidRPr="00930497">
        <w:t>of a change, such as a ‘step change’ or a change resulting from a problem-solving exercise, such as a kaizen blitz. The unit can be applied to subsections of an organisation, such as a team, area or department, or a small or medium sized enterprise (SME).</w:t>
      </w:r>
    </w:p>
    <w:p w:rsidR="00000000" w:rsidRPr="00930497" w:rsidP="00930497">
      <w:pPr>
        <w:pStyle w:val="BodyText"/>
      </w:pPr>
    </w:p>
    <w:p w:rsidR="00000000" w:rsidRPr="00930497" w:rsidP="00930497">
      <w:pPr>
        <w:pStyle w:val="BodyText"/>
      </w:pPr>
      <w:r w:rsidRPr="00930497">
        <w:t>This unit is intended for team leaders and people with a similar sphere of influence/scope of authority and responsibility. It applies to individuals who are already familiar with change leadership in a competitive systems and practices environment throug</w:t>
      </w:r>
      <w:r w:rsidRPr="00930497">
        <w:t xml:space="preserve">h either previous study or industry experience. </w:t>
      </w:r>
    </w:p>
    <w:p w:rsidR="00000000" w:rsidRPr="00930497" w:rsidP="00930497">
      <w:pPr>
        <w:pStyle w:val="BodyText"/>
      </w:pPr>
    </w:p>
    <w:p w:rsidR="00000000" w:rsidRPr="00930497" w:rsidP="00930497">
      <w:pPr>
        <w:pStyle w:val="BodyText"/>
      </w:pPr>
      <w:r w:rsidRPr="00930497">
        <w:t>Skills covered by this unit are applied in an organisation after a desired change has already been identified. This unit may also be applied in service organisations applying competitive systems and practic</w:t>
      </w:r>
      <w:r w:rsidRPr="00930497">
        <w:t>es principles.</w:t>
      </w:r>
    </w:p>
    <w:p w:rsidR="00000000" w:rsidRPr="00930497" w:rsidP="00930497">
      <w:pPr>
        <w:pStyle w:val="BodyText"/>
      </w:pPr>
    </w:p>
    <w:p w:rsidR="00000000" w:rsidRPr="00930497" w:rsidP="00930497">
      <w:pPr>
        <w:pStyle w:val="BodyText"/>
      </w:pPr>
      <w:r w:rsidRPr="00930497">
        <w:t>No licensing, legislative or certification requirements apply to this unit at the time of publication.</w:t>
      </w:r>
    </w:p>
    <w:p w:rsidR="00000000" w:rsidRPr="00930497" w:rsidP="00930497">
      <w:pPr>
        <w:pStyle w:val="AllowPageBreak"/>
      </w:pPr>
    </w:p>
    <w:p w:rsidR="00000000" w:rsidRPr="00930497" w:rsidP="00930497">
      <w:pPr>
        <w:pStyle w:val="Heading1"/>
      </w:pPr>
      <w:bookmarkStart w:id="3" w:name="O_921620"/>
      <w:bookmarkEnd w:id="3"/>
      <w:r w:rsidRPr="00930497">
        <w:t>Pre-requisite Unit</w:t>
      </w:r>
    </w:p>
    <w:p w:rsidR="00000000" w:rsidRPr="00930497" w:rsidP="00930497">
      <w:pPr>
        <w:pStyle w:val="BodyText"/>
      </w:pPr>
      <w:r w:rsidRPr="00930497">
        <w:t>Nil</w:t>
      </w:r>
    </w:p>
    <w:p w:rsidR="00000000" w:rsidRPr="00930497" w:rsidP="00930497">
      <w:pPr>
        <w:pStyle w:val="AllowPageBreak"/>
      </w:pPr>
    </w:p>
    <w:p w:rsidR="00000000" w:rsidRPr="00930497" w:rsidP="00930497">
      <w:pPr>
        <w:pStyle w:val="Heading1"/>
      </w:pPr>
      <w:bookmarkStart w:id="4" w:name="O_921619"/>
      <w:bookmarkEnd w:id="4"/>
      <w:r w:rsidRPr="00930497">
        <w:t>Competency Field</w:t>
      </w:r>
    </w:p>
    <w:p w:rsidR="00000000" w:rsidRPr="00930497" w:rsidP="00930497">
      <w:pPr>
        <w:pStyle w:val="BodyText"/>
      </w:pPr>
      <w:r w:rsidRPr="00930497">
        <w:t>Competitive systems and practices</w:t>
      </w:r>
    </w:p>
    <w:p w:rsidR="00000000" w:rsidRPr="00930497" w:rsidP="00930497">
      <w:pPr>
        <w:pStyle w:val="AllowPageBreak"/>
      </w:pPr>
    </w:p>
    <w:p w:rsidR="00000000" w:rsidRPr="00930497" w:rsidP="00930497">
      <w:pPr>
        <w:pStyle w:val="Heading1"/>
      </w:pPr>
      <w:bookmarkStart w:id="5" w:name="O_921618"/>
      <w:bookmarkEnd w:id="5"/>
      <w:r w:rsidRPr="00930497">
        <w:t>Unit Sector</w:t>
      </w:r>
    </w:p>
    <w:p w:rsidR="00000000" w:rsidRPr="00930497" w:rsidP="00930497">
      <w:pPr>
        <w:pStyle w:val="BodyText"/>
      </w:pPr>
      <w:r w:rsidRPr="00930497">
        <w:t>Not applicable</w:t>
      </w:r>
    </w:p>
    <w:p w:rsidR="00000000" w:rsidRPr="00930497" w:rsidP="00930497">
      <w:pPr>
        <w:pStyle w:val="AllowPageBreak"/>
      </w:pPr>
    </w:p>
    <w:p w:rsidR="00000000" w:rsidRPr="00930497" w:rsidP="00930497">
      <w:pPr>
        <w:pStyle w:val="Heading1"/>
      </w:pPr>
      <w:bookmarkStart w:id="6" w:name="O_921617"/>
      <w:bookmarkEnd w:id="6"/>
      <w:r w:rsidRPr="009304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 xml:space="preserve">Elements describe the </w:t>
            </w:r>
            <w:r w:rsidRPr="00930497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 xml:space="preserve">Performance criteria describe the performance needed to </w:t>
            </w:r>
            <w:r w:rsidRPr="00930497">
              <w:t>demonstrate achievement of the element.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BodyText"/>
            </w:pPr>
            <w:r w:rsidRPr="0093049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Define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Determine the purpose of the change.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Identify key change project personnel.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Record the current state that the change is addressing.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Develop a consensus view of the intended future state, including indicators of a successful change.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Develop an agreed statement of the solution.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Identify the health, safety and environment (HSE) impacts of the change.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Determine the scope of the change project, including taking into account the impact of the solution on any codes of practice, standards, contracts and commercial or industrial agreements.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Obtain sign-off from key change project personnel.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BodyText"/>
            </w:pPr>
            <w:r w:rsidRPr="0093049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Id</w:t>
            </w:r>
            <w:r w:rsidRPr="00930497">
              <w:rPr>
                <w:rStyle w:val="SpecialBold"/>
              </w:rPr>
              <w:t>entify personnel required to implement the change and their roles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Develop a high level change network map.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Identify employees, suppliers or customers who may be required to implement the change.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Identify other demands on these people during the change.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Investigate priorities, synergies and conflicts.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Take action to resolve conflicts.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BodyText"/>
            </w:pPr>
            <w:r w:rsidRPr="0093049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Assess and manage the change-related risks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Identify organisational capacity for the change, including available resources and ability to absorb any disruption during the change.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Clarify specific risk dimensions for this change.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Develop appropriate transition approach.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BodyText"/>
            </w:pPr>
            <w:r w:rsidRPr="0093049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 xml:space="preserve">Build high level </w:t>
            </w:r>
            <w:r w:rsidRPr="00930497">
              <w:rPr>
                <w:rStyle w:val="SpecialBold"/>
              </w:rPr>
              <w:t>change plans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Develop high level involvement plan.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Develop high level communication plan to all stakeholders.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Develop high level competency development plan for all implementers.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Develop high level alignment plan.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BodyText"/>
            </w:pPr>
            <w:r w:rsidRPr="0093049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Implement and sustain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Implement change plans.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Check change objectives have been met.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Transfer ownership of post-change operations from change agents, where relevant.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Ensure support structures are in place.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Check alignments have been obtained.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Check competencies have been developed and will be maintained.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Ensure base line is defined for continuous improvement.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Review project and capture learning from the project.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5.9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BodyText"/>
            </w:pPr>
            <w:r w:rsidRPr="00930497">
              <w:t>Take action to sustain improvement by standardising.</w:t>
            </w:r>
          </w:p>
        </w:tc>
      </w:tr>
    </w:tbl>
    <w:p w:rsidR="00000000" w:rsidRPr="00930497" w:rsidP="00930497">
      <w:pPr>
        <w:pStyle w:val="BodyText"/>
      </w:pPr>
    </w:p>
    <w:p w:rsidR="00000000" w:rsidRPr="00930497" w:rsidP="00930497">
      <w:pPr>
        <w:pStyle w:val="AllowPageBreak"/>
      </w:pPr>
    </w:p>
    <w:p w:rsidR="00000000" w:rsidRPr="00930497" w:rsidP="00930497">
      <w:pPr>
        <w:pStyle w:val="Heading1"/>
      </w:pPr>
      <w:bookmarkStart w:id="7" w:name="O_921616"/>
      <w:bookmarkEnd w:id="7"/>
      <w:r w:rsidRPr="00930497">
        <w:t>Foundation Skills</w:t>
      </w:r>
    </w:p>
    <w:p w:rsidR="00000000" w:rsidRPr="00930497" w:rsidP="00930497">
      <w:pPr>
        <w:pStyle w:val="BodyText"/>
      </w:pPr>
      <w:r w:rsidRPr="00930497">
        <w:t>This section describes those required skills (language, literacy and numeracy) that are essential to performance.</w:t>
      </w:r>
    </w:p>
    <w:p w:rsidR="00000000" w:rsidRPr="00930497" w:rsidP="00930497">
      <w:pPr>
        <w:pStyle w:val="BodyText"/>
      </w:pPr>
    </w:p>
    <w:p w:rsidR="00000000" w:rsidRPr="00930497" w:rsidP="00930497">
      <w:pPr>
        <w:pStyle w:val="BodyText"/>
      </w:pPr>
      <w:r w:rsidRPr="00930497">
        <w:t>Foundation skills essential to performance are expl</w:t>
      </w:r>
      <w:r w:rsidRPr="00930497">
        <w:t>icit in the performance criteria of this unit of competency.</w:t>
      </w:r>
    </w:p>
    <w:p w:rsidR="00000000" w:rsidRPr="00930497" w:rsidP="00930497">
      <w:pPr>
        <w:pStyle w:val="AllowPageBreak"/>
      </w:pPr>
    </w:p>
    <w:p w:rsidR="00000000" w:rsidRPr="00930497" w:rsidP="00930497">
      <w:pPr>
        <w:pStyle w:val="Heading1"/>
      </w:pPr>
      <w:bookmarkStart w:id="8" w:name="O_921615"/>
      <w:bookmarkEnd w:id="8"/>
      <w:r w:rsidRPr="0093049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7"/>
        <w:gridCol w:w="6865"/>
      </w:tblGrid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t>This field allows for different work environments and conditions that may affect performance. Essential operating conditions that may be present (depending on</w:t>
            </w:r>
            <w:r w:rsidRPr="00930497">
              <w:t xml:space="preserve"> the work situation, needs of the candidate, accessibility of the item, and local industry and regional contexts) are included.</w:t>
            </w: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lean operations</w:t>
            </w:r>
          </w:p>
          <w:p w:rsidR="00000000" w:rsidRPr="00930497" w:rsidP="00930497">
            <w:pPr>
              <w:pStyle w:val="ListBullet"/>
            </w:pPr>
            <w:r w:rsidRPr="00930497">
              <w:t>agile operations</w:t>
            </w:r>
          </w:p>
          <w:p w:rsidR="00000000" w:rsidRPr="00930497" w:rsidP="00930497">
            <w:pPr>
              <w:pStyle w:val="ListBullet"/>
            </w:pPr>
            <w:r w:rsidRPr="00930497">
              <w:t>preventative and predictive maintenance approaches</w:t>
            </w:r>
          </w:p>
          <w:p w:rsidR="00000000" w:rsidRPr="00930497" w:rsidP="00930497">
            <w:pPr>
              <w:pStyle w:val="ListBullet"/>
            </w:pPr>
            <w:r w:rsidRPr="00930497">
              <w:t>statistical process control systems, including six sigma and three sigma</w:t>
            </w:r>
          </w:p>
          <w:p w:rsidR="00000000" w:rsidRPr="00930497" w:rsidP="00930497">
            <w:pPr>
              <w:pStyle w:val="ListBullet"/>
            </w:pPr>
            <w:r w:rsidRPr="00930497">
              <w:t>Just in Time (JIT), kanban and other pull-related operations control systems</w:t>
            </w:r>
          </w:p>
          <w:p w:rsidR="00000000" w:rsidRPr="00930497" w:rsidP="00930497">
            <w:pPr>
              <w:pStyle w:val="ListBullet"/>
            </w:pPr>
            <w:r w:rsidRPr="00930497">
              <w:t>supply, value, and demand chain monitoring and analysis</w:t>
            </w:r>
          </w:p>
          <w:p w:rsidR="00000000" w:rsidRPr="00930497" w:rsidP="00930497">
            <w:pPr>
              <w:pStyle w:val="ListBullet"/>
            </w:pPr>
            <w:r w:rsidRPr="00930497">
              <w:t xml:space="preserve">5S </w:t>
            </w:r>
          </w:p>
          <w:p w:rsidR="00000000" w:rsidRPr="00930497" w:rsidP="00930497">
            <w:pPr>
              <w:pStyle w:val="ListBullet"/>
            </w:pPr>
            <w:r w:rsidRPr="00930497">
              <w:t>continuous improvement (kaizen)</w:t>
            </w:r>
          </w:p>
          <w:p w:rsidR="00000000" w:rsidRPr="00930497" w:rsidP="00930497">
            <w:pPr>
              <w:pStyle w:val="ListBullet"/>
            </w:pPr>
            <w:r w:rsidRPr="00930497">
              <w:t>breakthrough improvement (kaizen blitz)</w:t>
            </w:r>
          </w:p>
          <w:p w:rsidR="00000000" w:rsidRPr="00930497" w:rsidP="00930497">
            <w:pPr>
              <w:pStyle w:val="ListBullet"/>
            </w:pPr>
            <w:r w:rsidRPr="00930497">
              <w:t>cause/effect diagrams</w:t>
            </w:r>
          </w:p>
          <w:p w:rsidR="00000000" w:rsidRPr="00930497" w:rsidP="00930497">
            <w:pPr>
              <w:pStyle w:val="ListBullet"/>
            </w:pPr>
            <w:r w:rsidRPr="00930497">
              <w:t>overall equipment effectiveness (OEE)</w:t>
            </w:r>
          </w:p>
          <w:p w:rsidR="00000000" w:rsidRPr="00930497" w:rsidP="00930497">
            <w:pPr>
              <w:pStyle w:val="ListBullet"/>
            </w:pPr>
            <w:r w:rsidRPr="00930497">
              <w:t>takt time</w:t>
            </w:r>
          </w:p>
          <w:p w:rsidR="00000000" w:rsidRPr="00930497" w:rsidP="00930497">
            <w:pPr>
              <w:pStyle w:val="ListBullet"/>
            </w:pPr>
            <w:r w:rsidRPr="00930497">
              <w:t>process mapping</w:t>
            </w:r>
          </w:p>
          <w:p w:rsidR="00000000" w:rsidRPr="00930497" w:rsidP="00930497">
            <w:pPr>
              <w:pStyle w:val="ListBullet"/>
            </w:pPr>
            <w:r w:rsidRPr="00930497">
              <w:t xml:space="preserve">problem solving </w:t>
            </w:r>
          </w:p>
          <w:p w:rsidR="00000000" w:rsidRPr="00930497" w:rsidP="00930497">
            <w:pPr>
              <w:pStyle w:val="ListBullet"/>
            </w:pPr>
            <w:r w:rsidRPr="00930497">
              <w:t>run charts</w:t>
            </w:r>
          </w:p>
          <w:p w:rsidR="00000000" w:rsidRPr="00930497" w:rsidP="00930497">
            <w:pPr>
              <w:pStyle w:val="ListBullet"/>
            </w:pPr>
            <w:r w:rsidRPr="00930497">
              <w:t>standard procedures</w:t>
            </w:r>
          </w:p>
          <w:p w:rsidR="00000000" w:rsidRPr="00930497" w:rsidP="00930497">
            <w:pPr>
              <w:pStyle w:val="ListBullet"/>
            </w:pPr>
            <w:r w:rsidRPr="00930497">
              <w:t>current reality tree.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High level change network includes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sponsors</w:t>
            </w:r>
          </w:p>
          <w:p w:rsidR="00000000" w:rsidRPr="00930497" w:rsidP="00930497">
            <w:pPr>
              <w:pStyle w:val="ListBullet"/>
            </w:pPr>
            <w:r w:rsidRPr="00930497">
              <w:t>cascading change sponsors</w:t>
            </w:r>
          </w:p>
          <w:p w:rsidR="00000000" w:rsidRPr="00930497" w:rsidP="00930497">
            <w:pPr>
              <w:pStyle w:val="ListBullet"/>
            </w:pPr>
            <w:r w:rsidRPr="00930497">
              <w:t>targets</w:t>
            </w:r>
          </w:p>
          <w:p w:rsidR="00000000" w:rsidRPr="00930497" w:rsidP="00930497">
            <w:pPr>
              <w:pStyle w:val="ListBullet"/>
            </w:pPr>
            <w:r w:rsidRPr="00930497">
              <w:t>agents</w:t>
            </w:r>
          </w:p>
          <w:p w:rsidR="00000000" w:rsidRPr="00930497" w:rsidP="00930497">
            <w:pPr>
              <w:pStyle w:val="ListBullet"/>
            </w:pPr>
            <w:r w:rsidRPr="00930497">
              <w:t>advocates</w:t>
            </w:r>
          </w:p>
          <w:p w:rsidR="00000000" w:rsidRPr="00930497" w:rsidP="00930497">
            <w:pPr>
              <w:pStyle w:val="ListBullet"/>
            </w:pPr>
            <w:r w:rsidRPr="00930497">
              <w:t>enablers</w:t>
            </w:r>
          </w:p>
          <w:p w:rsidR="00000000" w:rsidRPr="00930497" w:rsidP="00930497">
            <w:pPr>
              <w:pStyle w:val="ListBullet"/>
            </w:pPr>
            <w:r w:rsidRPr="00930497">
              <w:t>impeders.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Organisation includes: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any part of a manufacturing or service organisation</w:t>
            </w:r>
          </w:p>
          <w:p w:rsidR="00000000" w:rsidRPr="00930497" w:rsidP="00930497">
            <w:pPr>
              <w:pStyle w:val="ListBullet"/>
            </w:pPr>
            <w:r w:rsidRPr="00930497">
              <w:t>companies, government bodies or other body of people aiming to produce a product to service a customer.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Key change project personnel include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project sponsors</w:t>
            </w:r>
          </w:p>
          <w:p w:rsidR="00000000" w:rsidRPr="00930497" w:rsidP="00930497">
            <w:pPr>
              <w:pStyle w:val="ListBullet"/>
            </w:pPr>
            <w:r w:rsidRPr="00930497">
              <w:t>cascading sponsors</w:t>
            </w:r>
          </w:p>
          <w:p w:rsidR="00000000" w:rsidRPr="00930497" w:rsidP="00930497">
            <w:pPr>
              <w:pStyle w:val="ListBullet"/>
            </w:pPr>
            <w:r w:rsidRPr="00930497">
              <w:t>relevant managers</w:t>
            </w:r>
          </w:p>
          <w:p w:rsidR="00000000" w:rsidRPr="00930497" w:rsidP="00930497">
            <w:pPr>
              <w:pStyle w:val="ListBullet"/>
            </w:pPr>
            <w:r w:rsidRPr="00930497">
              <w:t>change agents.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Risks include one or more</w:t>
            </w:r>
            <w:r w:rsidRPr="00930497">
              <w:rPr>
                <w:rStyle w:val="SpecialBold"/>
              </w:rPr>
              <w:t xml:space="preserve">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business risks (e.g. over-spending)</w:t>
            </w:r>
          </w:p>
          <w:p w:rsidR="00000000" w:rsidRPr="00930497" w:rsidP="00930497">
            <w:pPr>
              <w:pStyle w:val="ListBullet"/>
            </w:pPr>
            <w:r w:rsidRPr="00930497">
              <w:t>market risk (e.g. loss of market share)</w:t>
            </w:r>
          </w:p>
          <w:p w:rsidR="00000000" w:rsidRPr="00930497" w:rsidP="00930497">
            <w:pPr>
              <w:pStyle w:val="ListBullet"/>
            </w:pPr>
            <w:r w:rsidRPr="00930497">
              <w:t>HSE risks</w:t>
            </w:r>
          </w:p>
          <w:p w:rsidR="00000000" w:rsidRPr="00930497" w:rsidP="00930497">
            <w:pPr>
              <w:pStyle w:val="ListBullet"/>
            </w:pPr>
            <w:r w:rsidRPr="00930497">
              <w:t>relationship risks (e.g. to shareholders, employees, suppliers, customers or the community).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Organisation capacity includes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organisation history of implementing change</w:t>
            </w:r>
          </w:p>
          <w:p w:rsidR="00000000" w:rsidRPr="00930497" w:rsidP="00930497">
            <w:pPr>
              <w:pStyle w:val="ListBullet"/>
            </w:pPr>
            <w:r w:rsidRPr="00930497">
              <w:t>capability in change implementation</w:t>
            </w:r>
          </w:p>
          <w:p w:rsidR="00000000" w:rsidRPr="00930497" w:rsidP="00930497">
            <w:pPr>
              <w:pStyle w:val="ListBullet"/>
            </w:pPr>
            <w:r w:rsidRPr="00930497">
              <w:t>adaptability of people to change</w:t>
            </w:r>
          </w:p>
          <w:p w:rsidR="00000000" w:rsidRPr="00930497" w:rsidP="00930497">
            <w:pPr>
              <w:pStyle w:val="ListBullet"/>
            </w:pPr>
            <w:r w:rsidRPr="00930497">
              <w:t>demand for the change in the part of the organisation.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Specific risk dimensions include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impact of the solution (its potentia</w:t>
            </w:r>
            <w:r w:rsidRPr="00930497">
              <w:t>l for disruption to production, quality, delivery and budgets)</w:t>
            </w:r>
          </w:p>
          <w:p w:rsidR="00000000" w:rsidRPr="00930497" w:rsidP="00930497">
            <w:pPr>
              <w:pStyle w:val="ListBullet"/>
            </w:pPr>
            <w:r w:rsidRPr="00930497">
              <w:t>readiness of people to accept the change, including readiness to accept changes in role and responsibilities</w:t>
            </w:r>
          </w:p>
          <w:p w:rsidR="00000000" w:rsidRPr="00930497" w:rsidP="00930497">
            <w:pPr>
              <w:pStyle w:val="ListBullet"/>
            </w:pPr>
            <w:r w:rsidRPr="00930497">
              <w:t>availability of resources, including financial, plant and equipment, and dedicated p</w:t>
            </w:r>
            <w:r w:rsidRPr="00930497">
              <w:t>ersonnel.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Transition approach includes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transition style (top down/pilot/process focused/delegated change)</w:t>
            </w:r>
          </w:p>
          <w:p w:rsidR="00000000" w:rsidRPr="00930497" w:rsidP="00930497">
            <w:pPr>
              <w:pStyle w:val="ListBullet"/>
            </w:pPr>
            <w:r w:rsidRPr="00930497">
              <w:t>degree of sponsorship to be cascaded</w:t>
            </w:r>
          </w:p>
          <w:p w:rsidR="00000000" w:rsidRPr="00930497" w:rsidP="00930497">
            <w:pPr>
              <w:pStyle w:val="ListBullet"/>
            </w:pPr>
            <w:r w:rsidRPr="00930497">
              <w:t>balance of engagement/involvement</w:t>
            </w:r>
          </w:p>
          <w:p w:rsidR="00000000" w:rsidRPr="00930497" w:rsidP="00930497">
            <w:pPr>
              <w:pStyle w:val="ListBullet"/>
            </w:pPr>
            <w:r w:rsidRPr="00930497">
              <w:t>internal and/or external resources</w:t>
            </w:r>
          </w:p>
          <w:p w:rsidR="00000000" w:rsidRPr="00930497" w:rsidP="00930497">
            <w:pPr>
              <w:pStyle w:val="ListBullet"/>
            </w:pPr>
            <w:r w:rsidRPr="00930497">
              <w:t>use of change to build organisation capacity.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High level involvement plans involve groups within defined constraints which include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objectives for involvement</w:t>
            </w:r>
          </w:p>
          <w:p w:rsidR="00000000" w:rsidRPr="00930497" w:rsidP="00930497">
            <w:pPr>
              <w:pStyle w:val="ListBullet"/>
            </w:pPr>
            <w:r w:rsidRPr="00930497">
              <w:t xml:space="preserve">decision parameters </w:t>
            </w:r>
          </w:p>
          <w:p w:rsidR="00000000" w:rsidRPr="00930497" w:rsidP="00930497">
            <w:pPr>
              <w:pStyle w:val="ListBullet"/>
            </w:pPr>
            <w:r w:rsidRPr="00930497">
              <w:t>timing of involvement</w:t>
            </w:r>
          </w:p>
          <w:p w:rsidR="00000000" w:rsidRPr="00930497" w:rsidP="00930497">
            <w:pPr>
              <w:pStyle w:val="ListBullet"/>
            </w:pPr>
            <w:r w:rsidRPr="00930497">
              <w:t>problem/opportunity identification</w:t>
            </w:r>
          </w:p>
          <w:p w:rsidR="00000000" w:rsidRPr="00930497" w:rsidP="00930497">
            <w:pPr>
              <w:pStyle w:val="ListBullet"/>
            </w:pPr>
            <w:r w:rsidRPr="00930497">
              <w:t>s</w:t>
            </w:r>
            <w:r w:rsidRPr="00930497">
              <w:t>olution design</w:t>
            </w:r>
          </w:p>
          <w:p w:rsidR="00000000" w:rsidRPr="00930497" w:rsidP="00930497">
            <w:pPr>
              <w:pStyle w:val="ListBullet"/>
            </w:pPr>
            <w:r w:rsidRPr="00930497">
              <w:t>implementation/transition planning</w:t>
            </w:r>
          </w:p>
          <w:p w:rsidR="00000000" w:rsidRPr="00930497" w:rsidP="00930497">
            <w:pPr>
              <w:pStyle w:val="ListBullet"/>
            </w:pPr>
            <w:r w:rsidRPr="00930497">
              <w:t>solution building</w:t>
            </w:r>
          </w:p>
          <w:p w:rsidR="00000000" w:rsidRPr="00930497" w:rsidP="00930497">
            <w:pPr>
              <w:pStyle w:val="ListBullet"/>
            </w:pPr>
            <w:r w:rsidRPr="00930497">
              <w:t>solution testing</w:t>
            </w:r>
          </w:p>
          <w:p w:rsidR="00000000" w:rsidRPr="00930497" w:rsidP="00930497">
            <w:pPr>
              <w:pStyle w:val="ListBullet"/>
            </w:pPr>
            <w:r w:rsidRPr="00930497">
              <w:t>solution piloting</w:t>
            </w:r>
          </w:p>
          <w:p w:rsidR="00000000" w:rsidRPr="00930497" w:rsidP="00930497">
            <w:pPr>
              <w:pStyle w:val="ListBullet"/>
            </w:pPr>
            <w:r w:rsidRPr="00930497">
              <w:t>training design</w:t>
            </w:r>
          </w:p>
          <w:p w:rsidR="00000000" w:rsidRPr="00930497" w:rsidP="00930497">
            <w:pPr>
              <w:pStyle w:val="ListBullet"/>
            </w:pPr>
            <w:r w:rsidRPr="00930497">
              <w:t>training delivery</w:t>
            </w:r>
          </w:p>
          <w:p w:rsidR="00000000" w:rsidRPr="00930497" w:rsidP="00930497">
            <w:pPr>
              <w:pStyle w:val="ListBullet"/>
            </w:pPr>
            <w:r w:rsidRPr="00930497">
              <w:t>communication roll out</w:t>
            </w:r>
          </w:p>
          <w:p w:rsidR="00000000" w:rsidRPr="00930497" w:rsidP="00930497">
            <w:pPr>
              <w:pStyle w:val="ListBullet"/>
            </w:pPr>
            <w:r w:rsidRPr="00930497">
              <w:t>solution roll out.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Alignment plan ensures alignment and sustainability between: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policies, processes and procedures</w:t>
            </w:r>
          </w:p>
          <w:p w:rsidR="00000000" w:rsidRPr="00930497" w:rsidP="00930497">
            <w:pPr>
              <w:pStyle w:val="ListBullet"/>
            </w:pPr>
            <w:r w:rsidRPr="00930497">
              <w:t>incentives and rewards (KPIs and intended outcomes)</w:t>
            </w:r>
          </w:p>
          <w:p w:rsidR="00000000" w:rsidRPr="00930497" w:rsidP="00930497">
            <w:pPr>
              <w:pStyle w:val="ListBullet"/>
            </w:pPr>
            <w:r w:rsidRPr="00930497">
              <w:t>consequences and penalties for non-compliance</w:t>
            </w:r>
          </w:p>
          <w:p w:rsidR="00000000" w:rsidRPr="00930497" w:rsidP="00930497">
            <w:pPr>
              <w:pStyle w:val="ListBullet"/>
            </w:pPr>
            <w:r w:rsidRPr="00930497">
              <w:t>preventing pre-change behaviours and patterns recurring.</w:t>
            </w:r>
          </w:p>
          <w:p w:rsidR="00000000" w:rsidP="00930497">
            <w:pPr>
              <w:pStyle w:val="BodyText"/>
              <w:rPr>
                <w:lang w:val="en-NZ"/>
              </w:rPr>
            </w:pPr>
          </w:p>
        </w:tc>
      </w:tr>
      <w:tr w:rsidTr="009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97">
            <w:pPr>
              <w:pStyle w:val="BodyText"/>
              <w:rPr>
                <w:lang w:val="en-NZ"/>
              </w:rPr>
            </w:pPr>
            <w:r w:rsidRPr="00930497">
              <w:rPr>
                <w:rStyle w:val="SpecialBold"/>
              </w:rPr>
              <w:t>Sustaining improvement includes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97" w:rsidP="00930497">
            <w:pPr>
              <w:pStyle w:val="ListBullet"/>
            </w:pPr>
            <w:r w:rsidRPr="00930497">
              <w:t>standard proced</w:t>
            </w:r>
            <w:r w:rsidRPr="00930497">
              <w:t>ures and work instructions</w:t>
            </w:r>
          </w:p>
          <w:p w:rsidR="00000000" w:rsidRPr="00930497" w:rsidP="00930497">
            <w:pPr>
              <w:pStyle w:val="ListBullet"/>
            </w:pPr>
            <w:r w:rsidRPr="00930497">
              <w:t>standard practice</w:t>
            </w:r>
          </w:p>
          <w:p w:rsidR="00000000" w:rsidRPr="00930497" w:rsidP="00930497">
            <w:pPr>
              <w:pStyle w:val="ListBullet"/>
            </w:pPr>
            <w:r w:rsidRPr="00930497">
              <w:t>other relevant documents and practices.</w:t>
            </w:r>
          </w:p>
          <w:p w:rsidR="00000000" w:rsidRPr="00930497" w:rsidP="00930497">
            <w:pPr>
              <w:pStyle w:val="BodyText"/>
            </w:pPr>
          </w:p>
        </w:tc>
      </w:tr>
    </w:tbl>
    <w:p w:rsidR="00000000" w:rsidRPr="00930497" w:rsidP="00930497">
      <w:pPr>
        <w:pStyle w:val="BodyText"/>
      </w:pPr>
    </w:p>
    <w:p w:rsidR="00000000" w:rsidRPr="00930497" w:rsidP="00930497">
      <w:pPr>
        <w:pStyle w:val="AllowPageBreak"/>
      </w:pPr>
    </w:p>
    <w:p w:rsidR="00000000" w:rsidRPr="00930497" w:rsidP="00930497">
      <w:pPr>
        <w:pStyle w:val="Heading1"/>
      </w:pPr>
      <w:bookmarkStart w:id="9" w:name="O_921614"/>
      <w:bookmarkEnd w:id="9"/>
      <w:r w:rsidRPr="00930497">
        <w:t>Unit Mapping Information</w:t>
      </w:r>
    </w:p>
    <w:p w:rsidR="00000000" w:rsidRPr="00930497" w:rsidP="00930497">
      <w:pPr>
        <w:pStyle w:val="BodyText"/>
      </w:pPr>
      <w:r w:rsidRPr="00930497">
        <w:t>Release 1. Supersedes and is equivalent to MSS407001A Prepare for and implement change</w:t>
      </w:r>
    </w:p>
    <w:p w:rsidR="00000000" w:rsidRPr="00930497" w:rsidP="00930497">
      <w:pPr>
        <w:pStyle w:val="AllowPageBreak"/>
      </w:pPr>
    </w:p>
    <w:p w:rsidR="00000000" w:rsidRPr="00930497" w:rsidP="00930497">
      <w:pPr>
        <w:pStyle w:val="Heading1"/>
      </w:pPr>
      <w:bookmarkStart w:id="10" w:name="O_921607"/>
      <w:bookmarkEnd w:id="10"/>
      <w:r w:rsidRPr="00930497">
        <w:t>Links</w:t>
      </w:r>
    </w:p>
    <w:p w:rsidR="00000000" w:rsidRPr="00930497" w:rsidP="00930497">
      <w:pPr>
        <w:pStyle w:val="BodyText"/>
      </w:pPr>
      <w:r w:rsidRPr="00930497">
        <w:t xml:space="preserve">Companion Volume implementation guides are found in VETNet - </w:t>
      </w:r>
      <w:r w:rsidRPr="00930497">
        <w:t>https://vetnet.education.gov.au/Pages/TrainingDocs.aspx?q=5b04f318-804f-4dc0-9463-c3fb9a3fe998</w:t>
      </w:r>
    </w:p>
    <w:p w:rsidR="00000000" w:rsidRPr="00930497" w:rsidP="00930497"/>
    <w:sectPr w:rsidSect="009304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97" w:rsidRPr="00F744B9" w:rsidP="00F744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B9" w:rsidP="00930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44B9" w:rsidP="00930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44B9" w:rsidP="009304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497" w:rsidRPr="00F744B9" w:rsidP="00F744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B9" w:rsidRPr="002D2AF8" w:rsidP="00930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MSS407001 Prepare for and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F744B9" w:rsidP="009304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347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D6C0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4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4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4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4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4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4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4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4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4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4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4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497"/>
  </w:style>
  <w:style w:type="character" w:customStyle="1" w:styleId="Heading1Char">
    <w:name w:val="Heading 1 Char"/>
    <w:basedOn w:val="DefaultParagraphFont"/>
    <w:link w:val="Heading1"/>
    <w:rsid w:val="009304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4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4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4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497"/>
    <w:rPr>
      <w:b/>
      <w:spacing w:val="0"/>
    </w:rPr>
  </w:style>
  <w:style w:type="paragraph" w:customStyle="1" w:styleId="SuperHeading">
    <w:name w:val="SuperHeading"/>
    <w:basedOn w:val="Normal"/>
    <w:rsid w:val="009304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4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4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4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4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4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4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4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4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4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4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4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4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4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4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4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4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4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4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4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4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4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4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4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4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4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4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4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4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4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4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497"/>
    <w:rPr>
      <w:i/>
    </w:rPr>
  </w:style>
  <w:style w:type="paragraph" w:styleId="Caption">
    <w:name w:val="caption"/>
    <w:basedOn w:val="BodyText"/>
    <w:next w:val="Normal"/>
    <w:qFormat/>
    <w:rsid w:val="009304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4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4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497"/>
  </w:style>
  <w:style w:type="paragraph" w:styleId="TableofFigures">
    <w:name w:val="table of figures"/>
    <w:basedOn w:val="Normal"/>
    <w:next w:val="Normal"/>
    <w:semiHidden/>
    <w:rsid w:val="009304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497"/>
    <w:pPr>
      <w:numPr>
        <w:numId w:val="10"/>
      </w:numPr>
    </w:pPr>
  </w:style>
  <w:style w:type="character" w:customStyle="1" w:styleId="WingdingSymbols">
    <w:name w:val="Wingding Symbols"/>
    <w:rsid w:val="00930497"/>
    <w:rPr>
      <w:rFonts w:ascii="Wingdings" w:hAnsi="Wingdings"/>
    </w:rPr>
  </w:style>
  <w:style w:type="paragraph" w:customStyle="1" w:styleId="TableHeading">
    <w:name w:val="Table Heading"/>
    <w:basedOn w:val="HeadingBase"/>
    <w:rsid w:val="009304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497"/>
    <w:rPr>
      <w:color w:val="0033CC"/>
      <w:u w:val="none"/>
    </w:rPr>
  </w:style>
  <w:style w:type="paragraph" w:customStyle="1" w:styleId="BodyTextRight">
    <w:name w:val="Body Text Right"/>
    <w:basedOn w:val="BodyText"/>
    <w:rsid w:val="009304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4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4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4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4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4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497"/>
    <w:rPr>
      <w:sz w:val="32"/>
    </w:rPr>
  </w:style>
  <w:style w:type="paragraph" w:customStyle="1" w:styleId="HeadingProcedure">
    <w:name w:val="Heading Procedure"/>
    <w:basedOn w:val="HeadingBase"/>
    <w:next w:val="Normal"/>
    <w:rsid w:val="009304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497"/>
    <w:pPr>
      <w:spacing w:before="60" w:after="60"/>
    </w:pPr>
  </w:style>
  <w:style w:type="paragraph" w:styleId="ListContinue">
    <w:name w:val="List Continue"/>
    <w:basedOn w:val="List"/>
    <w:rsid w:val="00930497"/>
    <w:pPr>
      <w:ind w:firstLine="0"/>
    </w:pPr>
  </w:style>
  <w:style w:type="paragraph" w:customStyle="1" w:styleId="ListNote">
    <w:name w:val="List Note"/>
    <w:basedOn w:val="List"/>
    <w:rsid w:val="009304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4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4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497"/>
    <w:rPr>
      <w:rFonts w:ascii="Courier New" w:hAnsi="Courier New"/>
    </w:rPr>
  </w:style>
  <w:style w:type="paragraph" w:customStyle="1" w:styleId="NoteBullet">
    <w:name w:val="Note Bullet"/>
    <w:basedOn w:val="Note"/>
    <w:rsid w:val="009304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4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4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4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4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4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4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497"/>
    <w:rPr>
      <w:b/>
      <w:smallCaps/>
    </w:rPr>
  </w:style>
  <w:style w:type="paragraph" w:customStyle="1" w:styleId="TableListNumber">
    <w:name w:val="Table List Number"/>
    <w:basedOn w:val="ListNumber"/>
    <w:rsid w:val="009304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4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497"/>
    <w:pPr>
      <w:numPr>
        <w:numId w:val="8"/>
      </w:numPr>
    </w:pPr>
  </w:style>
  <w:style w:type="paragraph" w:customStyle="1" w:styleId="ListAlpha2">
    <w:name w:val="List Alpha 2"/>
    <w:basedOn w:val="List2"/>
    <w:rsid w:val="00930497"/>
    <w:pPr>
      <w:numPr>
        <w:numId w:val="7"/>
      </w:numPr>
    </w:pPr>
  </w:style>
  <w:style w:type="paragraph" w:styleId="List2">
    <w:name w:val="List 2"/>
    <w:basedOn w:val="BodyText"/>
    <w:rsid w:val="009304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4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4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4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4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4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0497"/>
    <w:pPr>
      <w:numPr>
        <w:numId w:val="3"/>
      </w:numPr>
    </w:pPr>
  </w:style>
  <w:style w:type="paragraph" w:styleId="ListContinue2">
    <w:name w:val="List Continue 2"/>
    <w:basedOn w:val="List2"/>
    <w:rsid w:val="00930497"/>
    <w:pPr>
      <w:ind w:firstLine="0"/>
    </w:pPr>
  </w:style>
  <w:style w:type="paragraph" w:styleId="ListContinue3">
    <w:name w:val="List Continue 3"/>
    <w:basedOn w:val="List3"/>
    <w:rsid w:val="00930497"/>
    <w:pPr>
      <w:ind w:left="1021" w:firstLine="0"/>
    </w:pPr>
  </w:style>
  <w:style w:type="paragraph" w:styleId="ListContinue4">
    <w:name w:val="List Continue 4"/>
    <w:basedOn w:val="List4"/>
    <w:rsid w:val="00930497"/>
    <w:pPr>
      <w:ind w:firstLine="0"/>
    </w:pPr>
  </w:style>
  <w:style w:type="paragraph" w:styleId="ListContinue5">
    <w:name w:val="List Continue 5"/>
    <w:basedOn w:val="List5"/>
    <w:rsid w:val="00930497"/>
    <w:pPr>
      <w:ind w:firstLine="0"/>
    </w:pPr>
  </w:style>
  <w:style w:type="paragraph" w:styleId="ListNumber3">
    <w:name w:val="List Number 3"/>
    <w:basedOn w:val="List3"/>
    <w:rsid w:val="00930497"/>
    <w:pPr>
      <w:numPr>
        <w:numId w:val="4"/>
      </w:numPr>
    </w:pPr>
  </w:style>
  <w:style w:type="paragraph" w:styleId="ListNumber4">
    <w:name w:val="List Number 4"/>
    <w:basedOn w:val="List4"/>
    <w:rsid w:val="00930497"/>
    <w:pPr>
      <w:numPr>
        <w:numId w:val="5"/>
      </w:numPr>
    </w:pPr>
  </w:style>
  <w:style w:type="paragraph" w:styleId="ListNumber5">
    <w:name w:val="List Number 5"/>
    <w:basedOn w:val="List5"/>
    <w:rsid w:val="00930497"/>
    <w:pPr>
      <w:numPr>
        <w:numId w:val="6"/>
      </w:numPr>
    </w:pPr>
  </w:style>
  <w:style w:type="paragraph" w:styleId="BlockText">
    <w:name w:val="Block Text"/>
    <w:basedOn w:val="Normal"/>
    <w:rsid w:val="009304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4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497"/>
    <w:rPr>
      <w:sz w:val="16"/>
      <w:vertAlign w:val="superscript"/>
    </w:rPr>
  </w:style>
  <w:style w:type="character" w:customStyle="1" w:styleId="Symbols">
    <w:name w:val="Symbols"/>
    <w:basedOn w:val="DefaultParagraphFont"/>
    <w:rsid w:val="00930497"/>
    <w:rPr>
      <w:rFonts w:ascii="Symbol" w:hAnsi="Symbol"/>
    </w:rPr>
  </w:style>
  <w:style w:type="character" w:customStyle="1" w:styleId="MenuOptions">
    <w:name w:val="Menu Options"/>
    <w:basedOn w:val="DefaultParagraphFont"/>
    <w:rsid w:val="009304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497"/>
    <w:rPr>
      <w:b/>
    </w:rPr>
  </w:style>
  <w:style w:type="character" w:customStyle="1" w:styleId="Underlined">
    <w:name w:val="Underlined"/>
    <w:basedOn w:val="DefaultParagraphFont"/>
    <w:rsid w:val="00930497"/>
    <w:rPr>
      <w:u w:val="single"/>
    </w:rPr>
  </w:style>
  <w:style w:type="paragraph" w:customStyle="1" w:styleId="TableBodyTextRight">
    <w:name w:val="Table Body Text Right"/>
    <w:basedOn w:val="TableBodyText"/>
    <w:rsid w:val="009304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497"/>
    <w:rPr>
      <w:sz w:val="18"/>
    </w:rPr>
  </w:style>
  <w:style w:type="paragraph" w:customStyle="1" w:styleId="BodySmallRight">
    <w:name w:val="Body Small Right"/>
    <w:basedOn w:val="BodyTextRight"/>
    <w:rsid w:val="00930497"/>
    <w:rPr>
      <w:sz w:val="18"/>
      <w:szCs w:val="18"/>
    </w:rPr>
  </w:style>
  <w:style w:type="paragraph" w:customStyle="1" w:styleId="MarginEdition">
    <w:name w:val="Margin Edition"/>
    <w:basedOn w:val="MarginNote"/>
    <w:rsid w:val="009304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497"/>
    <w:rPr>
      <w:sz w:val="2"/>
      <w:szCs w:val="2"/>
    </w:rPr>
  </w:style>
  <w:style w:type="character" w:customStyle="1" w:styleId="Small">
    <w:name w:val="Small"/>
    <w:basedOn w:val="DefaultParagraphFont"/>
    <w:rsid w:val="00930497"/>
    <w:rPr>
      <w:sz w:val="16"/>
    </w:rPr>
  </w:style>
  <w:style w:type="paragraph" w:customStyle="1" w:styleId="WideTable">
    <w:name w:val="Wide Table"/>
    <w:basedOn w:val="Normal"/>
    <w:rsid w:val="009304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497"/>
  </w:style>
  <w:style w:type="paragraph" w:styleId="Quote">
    <w:name w:val="Quote"/>
    <w:basedOn w:val="Heading1"/>
    <w:link w:val="QuoteChar"/>
    <w:qFormat/>
    <w:rsid w:val="009304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4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497"/>
    <w:pPr>
      <w:pageBreakBefore/>
    </w:pPr>
  </w:style>
  <w:style w:type="paragraph" w:customStyle="1" w:styleId="Border">
    <w:name w:val="Border"/>
    <w:basedOn w:val="Normal"/>
    <w:qFormat/>
    <w:rsid w:val="009304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4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4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4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4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4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4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4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4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497"/>
    <w:rPr>
      <w:u w:val="single"/>
    </w:rPr>
  </w:style>
  <w:style w:type="character" w:customStyle="1" w:styleId="BoldandItalics">
    <w:name w:val="Bold and Italics"/>
    <w:qFormat/>
    <w:rsid w:val="00930497"/>
    <w:rPr>
      <w:b/>
      <w:i/>
      <w:u w:val="none"/>
    </w:rPr>
  </w:style>
  <w:style w:type="paragraph" w:styleId="BalloonText">
    <w:name w:val="Balloon Text"/>
    <w:basedOn w:val="Normal"/>
    <w:link w:val="BalloonTextChar"/>
    <w:rsid w:val="009304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4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4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4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4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4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49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1003</Words>
  <Characters>6261</Characters>
  <Application>Microsoft Office Word</Application>
  <DocSecurity>0</DocSecurity>
  <Lines>330</Lines>
  <Paragraphs>173</Paragraphs>
  <ScaleCrop>false</ScaleCrop>
  <Company>Author-it Software Corporation Ltd.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MSS407001 Prepare for and implement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2018-02-01T00:03:00Z</dcterms:created>
  <dcterms:modified xsi:type="dcterms:W3CDTF">2018-02-01T00:03:00Z</dcterms:modified>
</cp:coreProperties>
</file>